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046" w:rsidRDefault="001C7046" w:rsidP="001C7046">
      <w:pPr>
        <w:spacing w:after="26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 </w:t>
      </w:r>
      <w:r w:rsidRPr="001723AD">
        <w:rPr>
          <w:sz w:val="24"/>
          <w:szCs w:val="24"/>
        </w:rPr>
        <w:t xml:space="preserve">nr 8 </w:t>
      </w:r>
      <w:r>
        <w:rPr>
          <w:sz w:val="24"/>
          <w:szCs w:val="24"/>
        </w:rPr>
        <w:t xml:space="preserve">do SWZ </w:t>
      </w:r>
    </w:p>
    <w:p w:rsidR="001C7046" w:rsidRPr="00205310" w:rsidRDefault="001C7046" w:rsidP="001C7046">
      <w:pPr>
        <w:jc w:val="center"/>
        <w:rPr>
          <w:rFonts w:cs="Calibri"/>
          <w:b/>
          <w:bCs/>
          <w:sz w:val="24"/>
          <w:szCs w:val="24"/>
          <w:u w:val="single"/>
        </w:rPr>
      </w:pPr>
      <w:r w:rsidRPr="00205310">
        <w:rPr>
          <w:rFonts w:cs="Calibri"/>
          <w:b/>
          <w:bCs/>
          <w:sz w:val="24"/>
          <w:szCs w:val="24"/>
          <w:u w:val="single"/>
        </w:rPr>
        <w:t>OPIS PRZEDMIOTU ZAMÓWIENIA</w:t>
      </w:r>
    </w:p>
    <w:p w:rsidR="001C7046" w:rsidRPr="00205310" w:rsidRDefault="001C7046" w:rsidP="001C7046">
      <w:pPr>
        <w:spacing w:line="276" w:lineRule="auto"/>
        <w:jc w:val="both"/>
        <w:rPr>
          <w:rFonts w:cs="Calibri"/>
          <w:color w:val="000000"/>
          <w:sz w:val="24"/>
          <w:szCs w:val="24"/>
          <w:u w:val="single"/>
        </w:rPr>
      </w:pPr>
      <w:r w:rsidRPr="00205310">
        <w:rPr>
          <w:rFonts w:cs="Calibri"/>
          <w:sz w:val="24"/>
          <w:szCs w:val="24"/>
          <w:u w:val="single"/>
        </w:rPr>
        <w:t xml:space="preserve">Przedmiotem zamówienia jest </w:t>
      </w:r>
      <w:r w:rsidRPr="00205310">
        <w:rPr>
          <w:rFonts w:cs="Calibri"/>
          <w:color w:val="000000"/>
          <w:sz w:val="24"/>
          <w:szCs w:val="24"/>
          <w:u w:val="single"/>
        </w:rPr>
        <w:t xml:space="preserve">konserwacja bieżąca w budynku Sądu Rejonowego w Świnoujściu ul. </w:t>
      </w:r>
      <w:r w:rsidRPr="00205310">
        <w:rPr>
          <w:rFonts w:cs="Calibri"/>
          <w:color w:val="4D5156"/>
          <w:sz w:val="24"/>
          <w:szCs w:val="24"/>
          <w:u w:val="single"/>
          <w:shd w:val="clear" w:color="auto" w:fill="FFFFFF"/>
        </w:rPr>
        <w:t>Paderewskiego 6.</w:t>
      </w:r>
    </w:p>
    <w:p w:rsidR="001C7046" w:rsidRDefault="001C7046" w:rsidP="001C7046">
      <w:pPr>
        <w:numPr>
          <w:ilvl w:val="0"/>
          <w:numId w:val="1"/>
        </w:numPr>
        <w:spacing w:after="260" w:line="240" w:lineRule="auto"/>
        <w:jc w:val="both"/>
        <w:rPr>
          <w:rFonts w:ascii="Arial" w:hAnsi="Arial" w:cs="Arial"/>
          <w:b/>
          <w:color w:val="000000"/>
          <w:spacing w:val="-7"/>
          <w:sz w:val="20"/>
          <w:szCs w:val="20"/>
        </w:rPr>
      </w:pPr>
      <w:r w:rsidRPr="00725C5F">
        <w:rPr>
          <w:rFonts w:ascii="Arial" w:hAnsi="Arial" w:cs="Arial"/>
          <w:b/>
          <w:color w:val="000000"/>
          <w:spacing w:val="-7"/>
          <w:sz w:val="20"/>
          <w:szCs w:val="20"/>
        </w:rPr>
        <w:t>OGÓLNE DANE</w:t>
      </w:r>
      <w:r>
        <w:rPr>
          <w:rFonts w:ascii="Arial" w:hAnsi="Arial" w:cs="Arial"/>
          <w:b/>
          <w:color w:val="000000"/>
          <w:spacing w:val="-7"/>
          <w:sz w:val="20"/>
          <w:szCs w:val="20"/>
        </w:rPr>
        <w:t xml:space="preserve"> OBIEKTU:</w:t>
      </w:r>
    </w:p>
    <w:p w:rsidR="001C7046" w:rsidRPr="001328DD" w:rsidRDefault="001C7046" w:rsidP="001C7046">
      <w:pPr>
        <w:pStyle w:val="Teksttreci0"/>
        <w:numPr>
          <w:ilvl w:val="1"/>
          <w:numId w:val="1"/>
        </w:numPr>
        <w:tabs>
          <w:tab w:val="left" w:pos="686"/>
          <w:tab w:val="left" w:pos="715"/>
        </w:tabs>
        <w:spacing w:after="0" w:line="240" w:lineRule="auto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Lokalizacja i forma budynku</w:t>
      </w:r>
    </w:p>
    <w:p w:rsidR="001C7046" w:rsidRPr="001328DD" w:rsidRDefault="001C7046" w:rsidP="001C7046">
      <w:pPr>
        <w:pStyle w:val="Teksttreci0"/>
        <w:ind w:firstLine="708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 xml:space="preserve">Budynek zlokalizowany przy ul. Ignacego Paderewskiego 6 w Świnoujściu na działce 230/2 </w:t>
      </w:r>
      <w:proofErr w:type="spellStart"/>
      <w:r w:rsidRPr="001328DD">
        <w:rPr>
          <w:color w:val="000000"/>
          <w:sz w:val="24"/>
          <w:szCs w:val="24"/>
          <w:lang w:eastAsia="pl-PL" w:bidi="pl-PL"/>
        </w:rPr>
        <w:t>obr</w:t>
      </w:r>
      <w:proofErr w:type="spellEnd"/>
      <w:r w:rsidRPr="001328DD">
        <w:rPr>
          <w:color w:val="000000"/>
          <w:sz w:val="24"/>
          <w:szCs w:val="24"/>
          <w:lang w:eastAsia="pl-PL" w:bidi="pl-PL"/>
        </w:rPr>
        <w:t>. 06. Budynek wzniesiony przed 1945 rokiem. Rzut budynku w formie litery L z dziedzińcem wewnętrznym. Budynek posiada pełne podpiwniczenie oraz cztery kondygnacje nadziemne w tym poddasze użytkowe. Dach stromy kryty dachówką. Budynek średniowysoki.</w:t>
      </w:r>
      <w:r>
        <w:rPr>
          <w:color w:val="000000"/>
          <w:sz w:val="24"/>
          <w:szCs w:val="24"/>
          <w:lang w:eastAsia="pl-PL" w:bidi="pl-PL"/>
        </w:rPr>
        <w:t xml:space="preserve"> </w:t>
      </w:r>
      <w:r w:rsidRPr="001328DD">
        <w:rPr>
          <w:color w:val="000000"/>
          <w:sz w:val="24"/>
          <w:szCs w:val="24"/>
          <w:lang w:eastAsia="pl-PL" w:bidi="pl-PL"/>
        </w:rPr>
        <w:t>W poziomie piwnic znajdują się pomieszczenia techniczne i magazynowe</w:t>
      </w:r>
      <w:r>
        <w:rPr>
          <w:color w:val="000000"/>
          <w:sz w:val="24"/>
          <w:szCs w:val="24"/>
          <w:lang w:eastAsia="pl-PL" w:bidi="pl-PL"/>
        </w:rPr>
        <w:t xml:space="preserve"> oraz archiwum</w:t>
      </w:r>
      <w:r w:rsidRPr="001328DD">
        <w:rPr>
          <w:color w:val="000000"/>
          <w:sz w:val="24"/>
          <w:szCs w:val="24"/>
          <w:lang w:eastAsia="pl-PL" w:bidi="pl-PL"/>
        </w:rPr>
        <w:t xml:space="preserve">. W poziomie parteru, 1 i 2 piętra - pomieszczenia biurowe i sale sądowe. W poziomie kondygnacji IV (poddasza) znajdują się pomieszczenia pełniące funkcję gospodarczo </w:t>
      </w:r>
      <w:r>
        <w:rPr>
          <w:color w:val="000000"/>
          <w:sz w:val="24"/>
          <w:szCs w:val="24"/>
          <w:lang w:eastAsia="pl-PL" w:bidi="pl-PL"/>
        </w:rPr>
        <w:t>–</w:t>
      </w:r>
      <w:r w:rsidRPr="001328DD">
        <w:rPr>
          <w:color w:val="000000"/>
          <w:sz w:val="24"/>
          <w:szCs w:val="24"/>
          <w:lang w:eastAsia="pl-PL" w:bidi="pl-PL"/>
        </w:rPr>
        <w:t xml:space="preserve"> administracyjną</w:t>
      </w:r>
      <w:r>
        <w:rPr>
          <w:color w:val="000000"/>
          <w:sz w:val="24"/>
          <w:szCs w:val="24"/>
          <w:lang w:eastAsia="pl-PL" w:bidi="pl-PL"/>
        </w:rPr>
        <w:t xml:space="preserve"> i </w:t>
      </w:r>
      <w:r w:rsidRPr="001328DD">
        <w:rPr>
          <w:color w:val="000000"/>
          <w:sz w:val="24"/>
          <w:szCs w:val="24"/>
          <w:lang w:eastAsia="pl-PL" w:bidi="pl-PL"/>
        </w:rPr>
        <w:t>biurową</w:t>
      </w:r>
      <w:r>
        <w:rPr>
          <w:color w:val="000000"/>
          <w:sz w:val="24"/>
          <w:szCs w:val="24"/>
          <w:lang w:eastAsia="pl-PL" w:bidi="pl-PL"/>
        </w:rPr>
        <w:t>.</w:t>
      </w:r>
      <w:bookmarkStart w:id="0" w:name="_GoBack"/>
      <w:bookmarkEnd w:id="0"/>
    </w:p>
    <w:p w:rsidR="001C7046" w:rsidRPr="001328DD" w:rsidRDefault="001C7046" w:rsidP="001C7046">
      <w:pPr>
        <w:pStyle w:val="Teksttreci0"/>
        <w:numPr>
          <w:ilvl w:val="1"/>
          <w:numId w:val="1"/>
        </w:numPr>
        <w:tabs>
          <w:tab w:val="left" w:pos="686"/>
          <w:tab w:val="left" w:pos="715"/>
        </w:tabs>
        <w:spacing w:after="0" w:line="240" w:lineRule="auto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Dostępność komunikacyjna.</w:t>
      </w:r>
    </w:p>
    <w:p w:rsidR="001C7046" w:rsidRPr="001328DD" w:rsidRDefault="001C7046" w:rsidP="001C7046">
      <w:pPr>
        <w:pStyle w:val="Teksttreci0"/>
        <w:spacing w:after="200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Działka posiada dostęp do pieszej i kołowej komunikacji publicznej poprzez istniejący wjazd z ulicy Ignacego Paderewskiego. Na dziedziniec wewnętrzny, pełniący jednocześnie funkcję parkingu, wjazd poprzez przejazd bramowy.</w:t>
      </w:r>
    </w:p>
    <w:p w:rsidR="001C7046" w:rsidRPr="001328DD" w:rsidRDefault="001C7046" w:rsidP="001C7046">
      <w:pPr>
        <w:pStyle w:val="Teksttreci0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 xml:space="preserve">Wejście główne do budynku prowadzi z chodnika ul. Paderewskiego poprzez schody zewnętrzne i dalej wewnętrzne. Wejście to przeznaczone jest dla klientów oraz pracowników Sądu. Ponadto dla celów ewakuacyjnych i dostawczych obiekt posiada 3 wyjścia od strony podwórka: jedno z klatki bocznej, dwa do klatki głównej w tym jedno - bezpośrednio do piwnic. Obiekt jest obecnie </w:t>
      </w:r>
      <w:r>
        <w:rPr>
          <w:color w:val="000000"/>
          <w:sz w:val="24"/>
          <w:szCs w:val="24"/>
          <w:lang w:eastAsia="pl-PL" w:bidi="pl-PL"/>
        </w:rPr>
        <w:t xml:space="preserve">częściowo (na poziomie parteru) </w:t>
      </w:r>
      <w:r w:rsidRPr="001328DD">
        <w:rPr>
          <w:color w:val="000000"/>
          <w:sz w:val="24"/>
          <w:szCs w:val="24"/>
          <w:lang w:eastAsia="pl-PL" w:bidi="pl-PL"/>
        </w:rPr>
        <w:t>przystosowany dla osób niepełnosprawnych.</w:t>
      </w:r>
    </w:p>
    <w:p w:rsidR="001C7046" w:rsidRPr="001328DD" w:rsidRDefault="001C7046" w:rsidP="001C7046">
      <w:pPr>
        <w:pStyle w:val="Teksttreci0"/>
        <w:numPr>
          <w:ilvl w:val="1"/>
          <w:numId w:val="1"/>
        </w:numPr>
        <w:tabs>
          <w:tab w:val="left" w:pos="707"/>
          <w:tab w:val="left" w:pos="715"/>
        </w:tabs>
        <w:spacing w:after="0" w:line="221" w:lineRule="auto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Ukształtowanie terenu.</w:t>
      </w:r>
    </w:p>
    <w:p w:rsidR="001C7046" w:rsidRPr="001328DD" w:rsidRDefault="001C7046" w:rsidP="001C7046">
      <w:pPr>
        <w:pStyle w:val="Teksttreci0"/>
        <w:spacing w:after="240" w:line="221" w:lineRule="auto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Teren płaski bez znaczących różnic wysokości. Zieleń istniejąca.</w:t>
      </w:r>
    </w:p>
    <w:p w:rsidR="001C7046" w:rsidRPr="001328DD" w:rsidRDefault="001C7046" w:rsidP="001C7046">
      <w:pPr>
        <w:pStyle w:val="Teksttreci0"/>
        <w:spacing w:after="240" w:line="221" w:lineRule="auto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Przed budynkiem, od strony ulicy Ignacego Paderewskiego i Marszałka Józefa Piłsudskiego znajdują się trawniki. Teren dziedzińca utwardzony, z bocznym pasem zieleni .</w:t>
      </w:r>
    </w:p>
    <w:p w:rsidR="001C7046" w:rsidRPr="001328DD" w:rsidRDefault="001C7046" w:rsidP="001C7046">
      <w:pPr>
        <w:pStyle w:val="Teksttreci0"/>
        <w:numPr>
          <w:ilvl w:val="1"/>
          <w:numId w:val="1"/>
        </w:numPr>
        <w:tabs>
          <w:tab w:val="left" w:pos="707"/>
        </w:tabs>
        <w:spacing w:after="0" w:line="221" w:lineRule="auto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Miejsce gromadzenia odpadów stałych</w:t>
      </w:r>
    </w:p>
    <w:p w:rsidR="001C7046" w:rsidRPr="001328DD" w:rsidRDefault="001C7046" w:rsidP="001C7046">
      <w:pPr>
        <w:pStyle w:val="Teksttreci0"/>
        <w:spacing w:after="240" w:line="221" w:lineRule="auto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Śmietnik zlokalizowany na dziedzińcu wewnętrznym z dostępem poprzez bramę wjazdową - bez zmian.</w:t>
      </w:r>
    </w:p>
    <w:p w:rsidR="001C7046" w:rsidRPr="001328DD" w:rsidRDefault="001C7046" w:rsidP="001C7046">
      <w:pPr>
        <w:pStyle w:val="Teksttreci0"/>
        <w:numPr>
          <w:ilvl w:val="1"/>
          <w:numId w:val="1"/>
        </w:numPr>
        <w:tabs>
          <w:tab w:val="left" w:pos="707"/>
        </w:tabs>
        <w:spacing w:after="0" w:line="221" w:lineRule="auto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Sieci i instalacje, ogrzewanie</w:t>
      </w:r>
    </w:p>
    <w:p w:rsidR="001C7046" w:rsidRPr="00205310" w:rsidRDefault="001C7046" w:rsidP="001C7046">
      <w:pPr>
        <w:pStyle w:val="Teksttreci0"/>
        <w:spacing w:after="300" w:line="221" w:lineRule="auto"/>
        <w:jc w:val="both"/>
        <w:rPr>
          <w:sz w:val="24"/>
          <w:szCs w:val="24"/>
        </w:rPr>
      </w:pPr>
      <w:r w:rsidRPr="001328DD">
        <w:rPr>
          <w:color w:val="000000"/>
          <w:sz w:val="24"/>
          <w:szCs w:val="24"/>
          <w:lang w:eastAsia="pl-PL" w:bidi="pl-PL"/>
        </w:rPr>
        <w:t>Do budynku doprowadzone są  przyłącza: wodociągowe, kanalizacji sanitarnej, ciepłownicze, energetyczne i teletechniczne. Budynek posiada własny węzeł ciepłowniczy w odrębnym budynku technicznym zlokalizowanym na posesji. Czynni</w:t>
      </w:r>
      <w:r>
        <w:rPr>
          <w:color w:val="000000"/>
          <w:sz w:val="24"/>
          <w:szCs w:val="24"/>
          <w:lang w:eastAsia="pl-PL" w:bidi="pl-PL"/>
        </w:rPr>
        <w:t>k</w:t>
      </w:r>
      <w:r w:rsidRPr="001328DD">
        <w:rPr>
          <w:color w:val="000000"/>
          <w:sz w:val="24"/>
          <w:szCs w:val="24"/>
          <w:lang w:eastAsia="pl-PL" w:bidi="pl-PL"/>
        </w:rPr>
        <w:t xml:space="preserve"> ciepła dostarczany z Ciepłowni Miejskiej- Przedsiębiorstwa Energetyki Cieplnej w Świnoujściu.</w:t>
      </w:r>
    </w:p>
    <w:p w:rsidR="001C7046" w:rsidRDefault="001C7046" w:rsidP="001C7046">
      <w:pPr>
        <w:pStyle w:val="Teksttreci0"/>
        <w:numPr>
          <w:ilvl w:val="0"/>
          <w:numId w:val="1"/>
        </w:numPr>
        <w:tabs>
          <w:tab w:val="left" w:pos="730"/>
        </w:tabs>
        <w:spacing w:after="260" w:line="240" w:lineRule="auto"/>
        <w:jc w:val="both"/>
        <w:rPr>
          <w:b/>
          <w:sz w:val="24"/>
          <w:szCs w:val="24"/>
        </w:rPr>
      </w:pPr>
      <w:r w:rsidRPr="001B5E50">
        <w:rPr>
          <w:b/>
          <w:sz w:val="24"/>
          <w:szCs w:val="24"/>
        </w:rPr>
        <w:t>Zakres robót</w:t>
      </w:r>
      <w:r>
        <w:rPr>
          <w:b/>
          <w:sz w:val="24"/>
          <w:szCs w:val="24"/>
        </w:rPr>
        <w:t xml:space="preserve"> konserwacji bieżącej </w:t>
      </w:r>
      <w:r w:rsidRPr="001B5E50">
        <w:rPr>
          <w:b/>
          <w:sz w:val="24"/>
          <w:szCs w:val="24"/>
        </w:rPr>
        <w:t>:</w:t>
      </w:r>
    </w:p>
    <w:p w:rsidR="001C7046" w:rsidRPr="001B5E50" w:rsidRDefault="001C7046" w:rsidP="001C7046">
      <w:pPr>
        <w:pStyle w:val="Teksttreci0"/>
        <w:tabs>
          <w:tab w:val="left" w:pos="730"/>
        </w:tabs>
        <w:spacing w:after="260" w:line="240" w:lineRule="auto"/>
        <w:ind w:left="78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Branża budowlana 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przygotowanie powierzchni pod malowanie wraz z </w:t>
      </w:r>
      <w:proofErr w:type="spellStart"/>
      <w:r>
        <w:rPr>
          <w:sz w:val="24"/>
          <w:szCs w:val="24"/>
        </w:rPr>
        <w:t>podszpachlowaniem</w:t>
      </w:r>
      <w:proofErr w:type="spellEnd"/>
      <w:r>
        <w:rPr>
          <w:sz w:val="24"/>
          <w:szCs w:val="24"/>
        </w:rPr>
        <w:t xml:space="preserve"> ewentualnych nierówności, likwidacją widocznych rys i pęknięć,</w:t>
      </w:r>
    </w:p>
    <w:p w:rsidR="001C7046" w:rsidRPr="00FA70D8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- malowanie dwukrotne sufitów farbami emulsyjnymi białymi</w:t>
      </w:r>
      <w:r w:rsidRPr="00FA70D8">
        <w:rPr>
          <w:b/>
          <w:sz w:val="24"/>
          <w:szCs w:val="24"/>
        </w:rPr>
        <w:t>, kolor RAL 9003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malowanie dwukrotne ścian farbami lateksowymi (odpornymi na zabrudzenia i uszkodzenia mechaniczne) wraz z zagruntowaniem powierzchni,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malowanie rur instalacji c.o. farbami lateksowymi i emulsyjnymi dwukrotnie w kolorach ścian,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zabezpieczenie podłóg do robót malarskich,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wyniesienie i ponowne wniesienie mebli (biurek, szaf, krzeseł, regałów) wraz z ich zawartością (akta sądowe),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zabezpieczenie okien i drzwi do robót malarskich,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zdemontowanie okratowania wewnątrz balustrad betonowych, zeskrobanie i zmycie istniejącej powłoki malarskiej metodą piaskowania,</w:t>
      </w:r>
    </w:p>
    <w:p w:rsidR="001C7046" w:rsidRPr="00FA70D8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dwukrotne malowanie okratowania wewnątrz balustrad farbą do metalu w kolorze czarny mat, </w:t>
      </w:r>
      <w:r w:rsidRPr="00FA70D8">
        <w:rPr>
          <w:b/>
          <w:sz w:val="24"/>
          <w:szCs w:val="24"/>
        </w:rPr>
        <w:t>kolor RAL 9005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przygotowanie powierzchni balustrad betonowych pod malowanie,</w:t>
      </w:r>
    </w:p>
    <w:p w:rsidR="001C7046" w:rsidRPr="00FA70D8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malowanie dwukrotne balustrad betonowych farbami lateksowymi odpornymi na zabrudzenia i uszkodzenia mechaniczne, </w:t>
      </w:r>
      <w:r w:rsidRPr="00FA70D8">
        <w:rPr>
          <w:b/>
          <w:sz w:val="24"/>
          <w:szCs w:val="24"/>
        </w:rPr>
        <w:t xml:space="preserve">kolor RAL </w:t>
      </w:r>
      <w:r>
        <w:rPr>
          <w:b/>
          <w:sz w:val="24"/>
          <w:szCs w:val="24"/>
        </w:rPr>
        <w:t>6005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zabezpieczenie podłóg i mebli (krzesła na korytarzach) do robót malarskich,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 w:rsidRPr="004B1678">
        <w:rPr>
          <w:sz w:val="24"/>
          <w:szCs w:val="24"/>
        </w:rPr>
        <w:t>- demontaż i ponowny montaż (po malowaniu ścian) odbojników drewnianych na ścianach</w:t>
      </w:r>
      <w:r>
        <w:rPr>
          <w:sz w:val="24"/>
          <w:szCs w:val="24"/>
        </w:rPr>
        <w:t>,</w:t>
      </w:r>
    </w:p>
    <w:p w:rsidR="001C7046" w:rsidRPr="004B1678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demontaż i ponowny montaż (po malowaniu) osprzętu elektrycznego, tj. gniazd, włączników i lamp (w tym w przypadku części lamp montaż nowych lamp zakupionych przez Zamawiającego)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2. Gruntowanie powierzchni pod farbę lateksową wykonać należy preparatem zgodnym z zaleceniami producenta farb.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3. Farby muszą spełniać normy przewidziane dla budynków użyteczności publicznej oraz być odporne na zabrudzenia i uszkodzenia mechaniczne (</w:t>
      </w:r>
      <w:r w:rsidRPr="0012337B">
        <w:rPr>
          <w:sz w:val="24"/>
          <w:szCs w:val="24"/>
        </w:rPr>
        <w:t>norma jakości EN 13300, klasa odporności 1 bądź 2).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4. W wycenie uwzględnić należy ewentualne mycie po robotach malarskich.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Wykładziny odpowiadać powinny celowi zastosowania i odpowiadać normom państwowym (norma PN-EN ISO 10581:2014-02). Wykładzina podłogowa powinna </w:t>
      </w:r>
      <w:r>
        <w:rPr>
          <w:sz w:val="24"/>
          <w:szCs w:val="24"/>
        </w:rPr>
        <w:lastRenderedPageBreak/>
        <w:t xml:space="preserve">posiadać właściwą Ocenę Higieniczną i Certyfikat Instytutu Technologii Budowlanej. Kleje zastosowane do przyklejenia wykładzin powinny odpowiadać zaleceniom producenta wykładziny, materiały powinny odpowiadać wymaganiom norm państwowych oraz posiadać świadectwa dopuszczenia do stosowania w budownictwie. Do wykładzin należy zastosować systemowe listwy przyścienne w zestawie kolorystycznym z wykładziną, montaż ściśle wedle zaleceń producenta. Wykładziny PVC (linoleum) należy montować metodą zgrzewania. </w:t>
      </w:r>
    </w:p>
    <w:p w:rsidR="001C7046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</w:pPr>
      <w:r w:rsidRPr="00FA30EE">
        <w:rPr>
          <w:b/>
          <w:sz w:val="24"/>
          <w:szCs w:val="24"/>
          <w:u w:val="single"/>
        </w:rPr>
        <w:t>POWIERZCHNIA BALUSTRAD BETONOWYCH</w:t>
      </w:r>
      <w:r>
        <w:rPr>
          <w:sz w:val="24"/>
          <w:szCs w:val="24"/>
        </w:rPr>
        <w:t xml:space="preserve">: </w:t>
      </w:r>
      <w:r w:rsidRPr="00194487">
        <w:rPr>
          <w:b/>
          <w:sz w:val="24"/>
          <w:szCs w:val="24"/>
        </w:rPr>
        <w:t>26,21 m</w:t>
      </w:r>
      <w:r w:rsidRPr="00194487">
        <w:rPr>
          <w:b/>
          <w:sz w:val="24"/>
          <w:szCs w:val="24"/>
          <w:vertAlign w:val="superscript"/>
        </w:rPr>
        <w:t>2</w:t>
      </w:r>
    </w:p>
    <w:p w:rsidR="001C7046" w:rsidRPr="00194487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</w:pPr>
      <w:r>
        <w:rPr>
          <w:b/>
          <w:sz w:val="24"/>
          <w:szCs w:val="24"/>
          <w:u w:val="single"/>
        </w:rPr>
        <w:t>OKRATOWANIE WEWNĄTRZ BALUSTRAD:</w:t>
      </w:r>
      <w:r>
        <w:t xml:space="preserve"> </w:t>
      </w:r>
      <w:r w:rsidRPr="00194487">
        <w:rPr>
          <w:sz w:val="24"/>
          <w:szCs w:val="24"/>
        </w:rPr>
        <w:t>27 szt. w wymiarach 0,50 m x 0,50 m (łączna powierzchnia: 6,75 m</w:t>
      </w:r>
      <w:r w:rsidRPr="00194487">
        <w:rPr>
          <w:sz w:val="24"/>
          <w:szCs w:val="24"/>
          <w:vertAlign w:val="superscript"/>
        </w:rPr>
        <w:t>2</w:t>
      </w:r>
      <w:r w:rsidRPr="00194487">
        <w:rPr>
          <w:sz w:val="24"/>
          <w:szCs w:val="24"/>
        </w:rPr>
        <w:t>)</w:t>
      </w:r>
    </w:p>
    <w:p w:rsidR="001C7046" w:rsidRPr="001328DD" w:rsidRDefault="001C7046" w:rsidP="001C7046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="Calibri"/>
          <w:b/>
          <w:bCs/>
          <w:sz w:val="24"/>
          <w:szCs w:val="24"/>
        </w:rPr>
      </w:pPr>
      <w:r w:rsidRPr="001328DD">
        <w:rPr>
          <w:rFonts w:cs="Calibri"/>
          <w:b/>
          <w:bCs/>
          <w:sz w:val="24"/>
          <w:szCs w:val="24"/>
        </w:rPr>
        <w:t>Instalacje elektryczne</w:t>
      </w:r>
    </w:p>
    <w:p w:rsidR="001C7046" w:rsidRPr="001328DD" w:rsidRDefault="001C7046" w:rsidP="001C7046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="Calibri"/>
          <w:bCs/>
          <w:sz w:val="24"/>
          <w:szCs w:val="24"/>
        </w:rPr>
      </w:pPr>
      <w:r w:rsidRPr="001328DD">
        <w:rPr>
          <w:rFonts w:cs="Calibri"/>
          <w:bCs/>
          <w:sz w:val="24"/>
          <w:szCs w:val="24"/>
        </w:rPr>
        <w:t xml:space="preserve">Demontaż i ponowny montaż oświetlenia na energooszczędne typu LED – materiał inwestora </w:t>
      </w:r>
    </w:p>
    <w:p w:rsidR="001C7046" w:rsidRPr="001328DD" w:rsidRDefault="001C7046" w:rsidP="001C7046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="Calibri"/>
          <w:bCs/>
          <w:sz w:val="24"/>
          <w:szCs w:val="24"/>
        </w:rPr>
      </w:pPr>
      <w:r w:rsidRPr="001328DD">
        <w:rPr>
          <w:rFonts w:cs="Calibri"/>
          <w:bCs/>
          <w:sz w:val="24"/>
          <w:szCs w:val="24"/>
        </w:rPr>
        <w:t>Demontaż i ponowny montaż  osprzętu elektrycznego i teletechnicznego, gniazd oraz łączników -  materiał inwestora</w:t>
      </w:r>
    </w:p>
    <w:p w:rsidR="001C7046" w:rsidRPr="001328DD" w:rsidRDefault="001C7046" w:rsidP="001C7046">
      <w:pPr>
        <w:pStyle w:val="Teksttreci0"/>
        <w:tabs>
          <w:tab w:val="left" w:pos="730"/>
        </w:tabs>
        <w:spacing w:after="260" w:line="240" w:lineRule="auto"/>
        <w:ind w:left="426"/>
        <w:jc w:val="both"/>
        <w:rPr>
          <w:sz w:val="24"/>
          <w:szCs w:val="24"/>
        </w:rPr>
      </w:pPr>
    </w:p>
    <w:p w:rsidR="001C7046" w:rsidRPr="00C20548" w:rsidRDefault="001C7046" w:rsidP="001C7046">
      <w:pPr>
        <w:rPr>
          <w:b/>
          <w:u w:val="single"/>
        </w:rPr>
      </w:pPr>
      <w:r w:rsidRPr="001328DD">
        <w:t xml:space="preserve">       </w:t>
      </w:r>
      <w:r w:rsidRPr="001328DD">
        <w:rPr>
          <w:b/>
          <w:u w:val="single"/>
        </w:rPr>
        <w:t>Wykaz pomieszczeń przeznaczonych do konserwacji bieżącej  stanowi załącznik nr 1 do OPZ</w:t>
      </w:r>
      <w:r>
        <w:rPr>
          <w:b/>
          <w:u w:val="single"/>
        </w:rPr>
        <w:t xml:space="preserve"> </w:t>
      </w:r>
    </w:p>
    <w:p w:rsidR="00CE6854" w:rsidRDefault="00CE6854"/>
    <w:sectPr w:rsidR="00CE6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4C6272"/>
    <w:multiLevelType w:val="hybridMultilevel"/>
    <w:tmpl w:val="B192C542"/>
    <w:lvl w:ilvl="0" w:tplc="F34676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46"/>
    <w:rsid w:val="001C7046"/>
    <w:rsid w:val="00CE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9F68A-CF98-412F-812E-87F5D7A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704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1C7046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1C7046"/>
    <w:pPr>
      <w:widowControl w:val="0"/>
      <w:spacing w:line="254" w:lineRule="auto"/>
    </w:pPr>
    <w:rPr>
      <w:rFonts w:cs="Calibri"/>
    </w:rPr>
  </w:style>
  <w:style w:type="character" w:styleId="Odwoaniedokomentarza">
    <w:name w:val="annotation reference"/>
    <w:uiPriority w:val="99"/>
    <w:semiHidden/>
    <w:unhideWhenUsed/>
    <w:rsid w:val="001C7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70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704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C70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C704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0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Markiewicz Jakub</dc:creator>
  <cp:keywords/>
  <dc:description/>
  <cp:lastModifiedBy>Markiewicz Jakub</cp:lastModifiedBy>
  <cp:revision>1</cp:revision>
  <dcterms:created xsi:type="dcterms:W3CDTF">2024-09-17T13:09:00Z</dcterms:created>
  <dcterms:modified xsi:type="dcterms:W3CDTF">2024-09-17T13:10:00Z</dcterms:modified>
</cp:coreProperties>
</file>