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EBB23AB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607C5022" w14:textId="77777777" w:rsidR="00EF4E53" w:rsidRPr="00A639C4" w:rsidRDefault="00EF4E53" w:rsidP="009E1376">
            <w:pPr>
              <w:ind w:left="300" w:hanging="300"/>
              <w:jc w:val="both"/>
              <w:rPr>
                <w:b/>
              </w:rPr>
            </w:pPr>
          </w:p>
          <w:p w14:paraId="5229A85C" w14:textId="524CC913" w:rsidR="00676B9F" w:rsidRPr="00B64810" w:rsidRDefault="00EF4E53" w:rsidP="00676B9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„</w:t>
            </w:r>
            <w:r w:rsidR="00676B9F" w:rsidRPr="00B64810">
              <w:rPr>
                <w:b/>
                <w:bCs/>
                <w:i/>
                <w:iCs/>
              </w:rPr>
              <w:t xml:space="preserve"> Remont bramy wjazdowej na plac RDW  Miel</w:t>
            </w:r>
            <w:r w:rsidR="00FC12E4">
              <w:rPr>
                <w:b/>
                <w:bCs/>
                <w:i/>
                <w:iCs/>
              </w:rPr>
              <w:t>e</w:t>
            </w:r>
            <w:r w:rsidR="00676B9F" w:rsidRPr="00B64810">
              <w:rPr>
                <w:b/>
                <w:bCs/>
                <w:i/>
                <w:iCs/>
              </w:rPr>
              <w:t>c</w:t>
            </w:r>
            <w:r w:rsidR="00FC12E4">
              <w:rPr>
                <w:b/>
                <w:bCs/>
                <w:i/>
                <w:iCs/>
              </w:rPr>
              <w:t xml:space="preserve"> przy ul. Korczaka 6a w Mielcu</w:t>
            </w:r>
            <w:r w:rsidR="00676B9F" w:rsidRPr="00B64810">
              <w:rPr>
                <w:b/>
                <w:bCs/>
                <w:i/>
                <w:iCs/>
              </w:rPr>
              <w:t xml:space="preserve">”. </w:t>
            </w:r>
          </w:p>
          <w:p w14:paraId="7AE33A1B" w14:textId="2D0DB8CD" w:rsidR="009E1376" w:rsidRDefault="009E1376" w:rsidP="009E1376">
            <w:pPr>
              <w:jc w:val="both"/>
              <w:rPr>
                <w:b/>
                <w:bCs/>
                <w:i/>
                <w:iCs/>
              </w:rPr>
            </w:pPr>
          </w:p>
          <w:p w14:paraId="02774AFF" w14:textId="77777777" w:rsidR="00676B9F" w:rsidRPr="00A639C4" w:rsidRDefault="00676B9F" w:rsidP="009E1376">
            <w:pPr>
              <w:jc w:val="both"/>
              <w:rPr>
                <w:b/>
                <w:color w:val="000000"/>
              </w:rPr>
            </w:pP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4A78EBFB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  <w:r w:rsidR="00AC755D">
              <w:rPr>
                <w:bCs/>
              </w:rPr>
              <w:t xml:space="preserve">                                     </w:t>
            </w: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46A7429C" w14:textId="77777777" w:rsid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</w:p>
          <w:p w14:paraId="12336F50" w14:textId="638FA73E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Przedmiot zamówienia obejmuje 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remont</w:t>
            </w: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 bramy wjazdowej  na plac RDW Mielec</w:t>
            </w:r>
            <w:r w:rsidR="00D2377E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 przy ul. Korczaka 6a w Mielcu </w:t>
            </w: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w tym:</w:t>
            </w:r>
          </w:p>
          <w:p w14:paraId="5A41FD05" w14:textId="19CA3349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demontaż starej bramy</w:t>
            </w:r>
          </w:p>
          <w:p w14:paraId="3094820F" w14:textId="7D1E496A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wykonanie fundamentów</w:t>
            </w:r>
          </w:p>
          <w:p w14:paraId="4C4E39BD" w14:textId="0DF355CE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montaż nowej bramy </w:t>
            </w:r>
          </w:p>
          <w:p w14:paraId="7009DBA7" w14:textId="4B2F81B3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- 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podłączenie sterowania</w:t>
            </w:r>
          </w:p>
          <w:p w14:paraId="453C8742" w14:textId="77777777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</w:pPr>
          </w:p>
          <w:p w14:paraId="3E1DD6E7" w14:textId="33B791B2" w:rsidR="00676B9F" w:rsidRPr="00676B9F" w:rsidRDefault="00676B9F" w:rsidP="00676B9F">
            <w:pPr>
              <w:widowControl/>
              <w:autoSpaceDE/>
              <w:autoSpaceDN/>
              <w:adjustRightInd/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standardContextual"/>
              </w:rPr>
            </w:pP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Roboty należy wykonać zgodnie z Opisem Przedmiotu Zamówienia oraz sposób realizacji zamówienia zawiera   kosztorys ofertowy stanowiąc</w:t>
            </w:r>
            <w:r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>y</w:t>
            </w:r>
            <w:r w:rsidRPr="00676B9F">
              <w:rPr>
                <w:rFonts w:ascii="Calibri" w:hAnsi="Calibri" w:cs="Calibri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676B9F">
              <w:rPr>
                <w:rFonts w:ascii="Calibri" w:hAnsi="Calibri" w:cs="Calibri"/>
                <w:b/>
                <w:sz w:val="22"/>
                <w:szCs w:val="22"/>
                <w:lang w:eastAsia="en-US"/>
                <w14:ligatures w14:val="standardContextual"/>
              </w:rPr>
              <w:t>Załącznik do SWZ.</w:t>
            </w:r>
          </w:p>
          <w:p w14:paraId="2130F7F8" w14:textId="77777777" w:rsidR="009E1376" w:rsidRPr="00A639C4" w:rsidRDefault="009E1376" w:rsidP="00676B9F">
            <w:pPr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1A82983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00B1F66" w14:textId="77777777" w:rsidR="00EE72D8" w:rsidRDefault="00EE72D8" w:rsidP="009E1376">
            <w:pPr>
              <w:ind w:left="300" w:hanging="300"/>
              <w:jc w:val="both"/>
              <w:rPr>
                <w:b/>
              </w:rPr>
            </w:pPr>
          </w:p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76ED556F" w14:textId="573A6FE1" w:rsidR="00EF4E53" w:rsidRPr="00B164BF" w:rsidRDefault="00EF4E53" w:rsidP="00EF4E53">
            <w:pPr>
              <w:pStyle w:val="Bezodstpw"/>
              <w:jc w:val="both"/>
              <w:rPr>
                <w:b/>
              </w:rPr>
            </w:pPr>
            <w:r w:rsidRPr="00B164BF">
              <w:rPr>
                <w:b/>
              </w:rPr>
              <w:t>45.00.00.00 - 7 – roboty budowlane</w:t>
            </w:r>
          </w:p>
          <w:p w14:paraId="09F38388" w14:textId="77E2EE04" w:rsidR="00EF4E53" w:rsidRPr="008A519A" w:rsidRDefault="00EF4E53" w:rsidP="00EF4E53">
            <w:pPr>
              <w:pStyle w:val="Bezodstpw"/>
              <w:rPr>
                <w:b/>
                <w:bCs/>
              </w:rPr>
            </w:pPr>
            <w:r w:rsidRPr="008A519A">
              <w:rPr>
                <w:b/>
                <w:bCs/>
              </w:rPr>
              <w:t>45.11.13.00 - 1   roboty rozbiórkowe</w:t>
            </w:r>
          </w:p>
          <w:p w14:paraId="5E09A3CA" w14:textId="57D20324" w:rsidR="00EF4E53" w:rsidRPr="008A519A" w:rsidRDefault="00EF4E53" w:rsidP="00EF4E53">
            <w:pPr>
              <w:pStyle w:val="Bezodstpw"/>
              <w:rPr>
                <w:b/>
                <w:bCs/>
              </w:rPr>
            </w:pPr>
            <w:r w:rsidRPr="008A519A">
              <w:rPr>
                <w:b/>
                <w:bCs/>
              </w:rPr>
              <w:t xml:space="preserve">45.22.00.00 - 5  </w:t>
            </w:r>
            <w:r>
              <w:rPr>
                <w:b/>
                <w:bCs/>
              </w:rPr>
              <w:t xml:space="preserve"> </w:t>
            </w:r>
            <w:r w:rsidRPr="008A519A">
              <w:rPr>
                <w:b/>
                <w:bCs/>
              </w:rPr>
              <w:t>roboty inżynierskie i budowlane</w:t>
            </w:r>
          </w:p>
          <w:p w14:paraId="32DD5CBE" w14:textId="77777777" w:rsidR="00EF4E53" w:rsidRPr="008A519A" w:rsidRDefault="00EF4E53" w:rsidP="00EF4E53">
            <w:pPr>
              <w:pStyle w:val="Bezodstpw"/>
              <w:rPr>
                <w:b/>
                <w:bCs/>
              </w:rPr>
            </w:pPr>
            <w:r w:rsidRPr="008A519A">
              <w:rPr>
                <w:b/>
                <w:bCs/>
              </w:rPr>
              <w:t xml:space="preserve">45.34.20.00 – 6  </w:t>
            </w:r>
            <w:r>
              <w:rPr>
                <w:b/>
                <w:bCs/>
              </w:rPr>
              <w:t xml:space="preserve"> </w:t>
            </w:r>
            <w:r w:rsidRPr="008A519A">
              <w:rPr>
                <w:b/>
                <w:bCs/>
              </w:rPr>
              <w:t>wznoszenie  ogrodzeń</w:t>
            </w:r>
          </w:p>
          <w:p w14:paraId="35CBC523" w14:textId="77777777" w:rsidR="00EE72D8" w:rsidRPr="00A639C4" w:rsidRDefault="00EE72D8" w:rsidP="00EF4E53">
            <w:pPr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57EA5771" w14:textId="77BDAE89" w:rsidR="009E1376" w:rsidRPr="00A639C4" w:rsidRDefault="009E1376" w:rsidP="00EE72D8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</w:p>
          <w:p w14:paraId="562B8DFF" w14:textId="64B3CF59" w:rsidR="009E1376" w:rsidRPr="00A639C4" w:rsidRDefault="009E1376" w:rsidP="00EE72D8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</w:pPr>
            <w:r w:rsidRPr="00A639C4">
              <w:t>projektowanymi postanowieniami umowy w sprawie zamówienia publicznego</w:t>
            </w:r>
          </w:p>
          <w:p w14:paraId="79D8A9F3" w14:textId="7C3E7F9C" w:rsidR="009E1376" w:rsidRDefault="009E1376" w:rsidP="00FC38E3">
            <w:pPr>
              <w:numPr>
                <w:ilvl w:val="0"/>
                <w:numId w:val="9"/>
              </w:numPr>
              <w:jc w:val="both"/>
            </w:pPr>
            <w:r w:rsidRPr="00A639C4">
              <w:t>Kosztorysem ofertowym (KO)</w:t>
            </w:r>
          </w:p>
          <w:p w14:paraId="1905E865" w14:textId="2BB6F222" w:rsidR="00EE72D8" w:rsidRPr="00A639C4" w:rsidRDefault="007E369F" w:rsidP="00676B9F">
            <w:pPr>
              <w:numPr>
                <w:ilvl w:val="0"/>
                <w:numId w:val="9"/>
              </w:numPr>
              <w:jc w:val="both"/>
            </w:pPr>
            <w:r>
              <w:t>Opisem Przedmiotu Z</w:t>
            </w:r>
            <w:r w:rsidR="00EF4E53">
              <w:t xml:space="preserve">amówienia </w:t>
            </w:r>
          </w:p>
          <w:p w14:paraId="6F5C1478" w14:textId="454CBC29" w:rsidR="0006539D" w:rsidRPr="00A639C4" w:rsidRDefault="0006539D" w:rsidP="0006539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142CFF8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22DDD51" w14:textId="20F8C7F3" w:rsidR="00EE72D8" w:rsidRPr="00EE72D8" w:rsidRDefault="00EE72D8" w:rsidP="00EE72D8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A639C4">
              <w:rPr>
                <w:b/>
              </w:rPr>
              <w:t>kres gwarancji i rękojmi za wady</w:t>
            </w:r>
            <w:r w:rsidR="00FC38E3">
              <w:rPr>
                <w:b/>
              </w:rPr>
              <w:t xml:space="preserve"> na okres min. 3</w:t>
            </w:r>
            <w:r>
              <w:rPr>
                <w:b/>
              </w:rPr>
              <w:t xml:space="preserve"> lat.</w:t>
            </w:r>
          </w:p>
          <w:p w14:paraId="57554596" w14:textId="77777777" w:rsidR="009E1376" w:rsidRPr="00A639C4" w:rsidRDefault="009E1376" w:rsidP="00FC38E3">
            <w:pPr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3EF694C" w14:textId="77777777" w:rsidR="00206C23" w:rsidRDefault="00206C23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  <w:p w14:paraId="22B7ADAB" w14:textId="77777777" w:rsidR="009E1376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504A0D5C" w14:textId="77777777" w:rsidR="00206C23" w:rsidRPr="00A639C4" w:rsidRDefault="00206C23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  <w:p w14:paraId="20F80362" w14:textId="4EC7D7B0" w:rsidR="0006539D" w:rsidRPr="00FC38E3" w:rsidRDefault="009E1376" w:rsidP="00FC38E3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lastRenderedPageBreak/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2D63CF32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5BD06759" w14:textId="49E2A091" w:rsidR="009E1376" w:rsidRPr="00A639C4" w:rsidRDefault="009E1376" w:rsidP="009F7482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 xml:space="preserve">Zamawiający od dnia 1 stycznia 2022r. wykonuje, zleca lub powierza wykonywanie zadań publicznych, podmiotom, których łączny udział pojazdów elektrycznych lub pojazdów napędzanych gazem ziemnym we flocie pojazdów samochodowych w rozumieniu art. 2 pkt 33 ustawy </w:t>
            </w:r>
            <w:r w:rsidR="00AC755D">
              <w:rPr>
                <w:b/>
                <w:bCs/>
                <w:color w:val="000000"/>
              </w:rPr>
              <w:t xml:space="preserve">                                      </w:t>
            </w:r>
            <w:r w:rsidRPr="00A639C4">
              <w:rPr>
                <w:b/>
                <w:bCs/>
                <w:color w:val="000000"/>
              </w:rPr>
              <w:t>z dnia 20 czerwca 1997r. - Prawo o ruchu drogowym używanych</w:t>
            </w:r>
            <w:r w:rsidR="00AC755D">
              <w:rPr>
                <w:b/>
                <w:bCs/>
                <w:color w:val="000000"/>
              </w:rPr>
              <w:t xml:space="preserve">                                          </w:t>
            </w:r>
            <w:r w:rsidRPr="00A639C4">
              <w:rPr>
                <w:b/>
                <w:bCs/>
                <w:color w:val="000000"/>
              </w:rPr>
              <w:t xml:space="preserve"> przy wykonywaniu tego zadania będzie wynosił co najmniej 10%</w:t>
            </w:r>
          </w:p>
          <w:p w14:paraId="6519BA6A" w14:textId="52A77182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</w:t>
            </w:r>
            <w:r w:rsidR="00206C23">
              <w:rPr>
                <w:color w:val="000000"/>
              </w:rPr>
              <w:t xml:space="preserve">                     </w:t>
            </w:r>
            <w:bookmarkStart w:id="0" w:name="_GoBack"/>
            <w:bookmarkEnd w:id="0"/>
            <w:r w:rsidRPr="00A639C4">
              <w:rPr>
                <w:color w:val="000000"/>
              </w:rPr>
              <w:t xml:space="preserve">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przy wykonywaniu przedmiotowego zamówienia w sposób zgodny z art. 68 ust. 3 ustawy </w:t>
            </w:r>
            <w:r w:rsidR="00621C71">
              <w:rPr>
                <w:color w:val="000000"/>
              </w:rPr>
              <w:t xml:space="preserve">                </w:t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35DA672C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 , art. 76 Ustawy z dnia 11 stycznia 2018r.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16B4E452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1998r. o samorządzie województwa</w:t>
            </w:r>
          </w:p>
          <w:p w14:paraId="5F29827D" w14:textId="34A7CF6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1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1"/>
          </w:p>
          <w:p w14:paraId="1C044D92" w14:textId="77777777" w:rsidR="00A639C4" w:rsidRPr="00A639C4" w:rsidRDefault="00A639C4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503BEB7" w14:textId="77777777" w:rsidR="001E5AE7" w:rsidRDefault="001E5AE7" w:rsidP="001E5AE7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1BB84B20" w14:textId="0D33303C" w:rsidR="009F7482" w:rsidRDefault="009E1376" w:rsidP="001E5AE7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Organizacja ruchu</w:t>
            </w:r>
            <w:r w:rsidR="001E5AE7">
              <w:rPr>
                <w:b/>
                <w:bCs/>
              </w:rPr>
              <w:t xml:space="preserve"> - nie dotyczy</w:t>
            </w:r>
            <w:r w:rsidRPr="00A639C4">
              <w:rPr>
                <w:b/>
                <w:bCs/>
              </w:rPr>
              <w:t xml:space="preserve"> </w:t>
            </w:r>
          </w:p>
          <w:p w14:paraId="1332AF73" w14:textId="3BFAF131" w:rsidR="001E5AE7" w:rsidRPr="001E5AE7" w:rsidRDefault="001E5AE7" w:rsidP="001E5AE7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5CC6A1C3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</w:p>
          <w:p w14:paraId="4B3890CD" w14:textId="77B9EEA8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1642A710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wraz </w:t>
            </w:r>
            <w:r w:rsidR="00340C64">
              <w:rPr>
                <w:b/>
                <w:color w:val="000000"/>
              </w:rPr>
              <w:t xml:space="preserve">                                         </w:t>
            </w:r>
            <w:r w:rsidRPr="00A639C4">
              <w:rPr>
                <w:b/>
                <w:color w:val="000000"/>
              </w:rPr>
              <w:t>z załącznikami towarzyszy zwrot: „lub równoważne”.</w:t>
            </w:r>
          </w:p>
          <w:p w14:paraId="2C2B886A" w14:textId="7803A45E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</w:t>
            </w:r>
            <w:r w:rsidR="00340C64">
              <w:rPr>
                <w:color w:val="000000"/>
              </w:rPr>
              <w:t xml:space="preserve">                    </w:t>
            </w:r>
            <w:r w:rsidRPr="00A639C4">
              <w:rPr>
                <w:color w:val="000000"/>
              </w:rPr>
              <w:t xml:space="preserve">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</w:t>
            </w:r>
            <w:r w:rsidRPr="00A639C4">
              <w:rPr>
                <w:color w:val="000000"/>
              </w:rPr>
              <w:lastRenderedPageBreak/>
              <w:t xml:space="preserve">parametry jakościowe, funkcjonalne oraz użytkowe, niż określony </w:t>
            </w:r>
            <w:r w:rsidR="00340C64">
              <w:rPr>
                <w:color w:val="000000"/>
              </w:rPr>
              <w:t xml:space="preserve">                                              </w:t>
            </w:r>
            <w:r w:rsidRPr="00A639C4">
              <w:rPr>
                <w:color w:val="000000"/>
              </w:rPr>
              <w:t xml:space="preserve">przez Zamawiającego.  </w:t>
            </w: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45425085" w:rsidR="00265C7D" w:rsidRPr="00F97859" w:rsidRDefault="00F97859" w:rsidP="00F97859">
            <w:pPr>
              <w:pStyle w:val="Akapitzlist"/>
              <w:numPr>
                <w:ilvl w:val="0"/>
                <w:numId w:val="33"/>
              </w:numPr>
              <w:spacing w:before="80" w:after="80"/>
              <w:jc w:val="both"/>
            </w:pPr>
            <w:r>
              <w:t>cena</w:t>
            </w: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2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18C163E" w14:textId="77777777" w:rsidR="00F97859" w:rsidRDefault="00F97859" w:rsidP="0006539D">
            <w:pPr>
              <w:jc w:val="both"/>
            </w:pPr>
          </w:p>
          <w:p w14:paraId="4B63EB13" w14:textId="7EB1F052" w:rsidR="0006539D" w:rsidRPr="00A639C4" w:rsidRDefault="0006539D" w:rsidP="0006539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bCs/>
              </w:rPr>
              <w:t>nie przewiduje</w:t>
            </w:r>
            <w:r w:rsidRPr="00A639C4">
              <w:t xml:space="preserve"> możliwości skorzystania z „prawa opcji” </w:t>
            </w:r>
            <w:r w:rsidR="00A639C4">
              <w:br/>
            </w:r>
            <w:r w:rsidRPr="00A639C4">
              <w:t>tzn. dodatkowych robót budowlanych, dostaw i usług</w:t>
            </w:r>
            <w:r w:rsidRPr="00A639C4">
              <w:rPr>
                <w:u w:val="single"/>
              </w:rPr>
              <w:t xml:space="preserve"> </w:t>
            </w:r>
            <w:bookmarkStart w:id="3" w:name="_Hlk123634413"/>
          </w:p>
          <w:bookmarkEnd w:id="3"/>
          <w:p w14:paraId="3B96E6F9" w14:textId="74F6506A" w:rsidR="0006539D" w:rsidRPr="00F97859" w:rsidRDefault="0006539D" w:rsidP="00F97859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 xml:space="preserve"> </w:t>
            </w:r>
          </w:p>
        </w:tc>
      </w:tr>
      <w:bookmarkEnd w:id="2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6293A09" w14:textId="77777777" w:rsidR="00F97859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Wymagania związane z realizacją zamówienia w zakresie zatrudnienia</w:t>
            </w:r>
            <w:r w:rsidR="00F97859">
              <w:rPr>
                <w:b/>
                <w:bCs/>
              </w:rPr>
              <w:t xml:space="preserve">                              </w:t>
            </w:r>
            <w:r w:rsidRPr="00A639C4">
              <w:rPr>
                <w:b/>
                <w:bCs/>
              </w:rPr>
              <w:t xml:space="preserve"> przez wykonawcę lub podwykonawcę na podstawie stosunku pracy osób wykonujących wskazane przez zamawiającego czynności w zakresie realizacji </w:t>
            </w:r>
          </w:p>
          <w:p w14:paraId="222DCC33" w14:textId="77777777" w:rsidR="00F97859" w:rsidRDefault="00F97859" w:rsidP="009E1376">
            <w:pPr>
              <w:jc w:val="both"/>
              <w:rPr>
                <w:b/>
                <w:bCs/>
              </w:rPr>
            </w:pPr>
          </w:p>
          <w:p w14:paraId="37E68364" w14:textId="51FF72A7" w:rsidR="009E1376" w:rsidRPr="00A639C4" w:rsidRDefault="009E1376" w:rsidP="00F9785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 xml:space="preserve">zamówienia, jeżeli wykonanie tych czynności polega na wykonywaniu pracy </w:t>
            </w:r>
            <w:r w:rsidR="00F97859">
              <w:rPr>
                <w:b/>
                <w:bCs/>
              </w:rPr>
              <w:t xml:space="preserve">               </w:t>
            </w:r>
            <w:r w:rsidRPr="00A639C4">
              <w:rPr>
                <w:b/>
                <w:bCs/>
              </w:rPr>
              <w:t>w sposób określony w art. 22 § 1 ustawy z dnia 26 czerwca 1974r.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546463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396021A2" w14:textId="77777777" w:rsidR="00F97859" w:rsidRDefault="00F97859" w:rsidP="009E1376">
            <w:pPr>
              <w:jc w:val="both"/>
            </w:pPr>
          </w:p>
          <w:p w14:paraId="7E866006" w14:textId="04B5F7DF" w:rsidR="009E1376" w:rsidRPr="00A639C4" w:rsidRDefault="009E1376" w:rsidP="009E1376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pracy.</w:t>
            </w:r>
          </w:p>
          <w:p w14:paraId="12F2B928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2C316B50" w14:textId="0D8AF40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 w:rsidR="00621C71"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14:paraId="275EF84C" w14:textId="77777777" w:rsidR="00F97859" w:rsidRPr="00A639C4" w:rsidRDefault="00F97859" w:rsidP="00F97859">
            <w:pPr>
              <w:jc w:val="both"/>
            </w:pPr>
          </w:p>
          <w:p w14:paraId="4C6DD87C" w14:textId="5D81370B" w:rsidR="00C56269" w:rsidRPr="00C56269" w:rsidRDefault="00C56269" w:rsidP="00C56269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C56269">
              <w:rPr>
                <w:lang w:eastAsia="en-US"/>
                <w14:ligatures w14:val="standardContextual"/>
              </w:rPr>
              <w:t xml:space="preserve">Zamawiający wymaga zatrudnienia na podstawie stosunku pracy przez wykonawcę lub podwykonawcę osób wykonujących w trakcie realizacji zamówienia czynności obsługi administracyjno-biurowej oraz czynności bezpośrednio związane </w:t>
            </w:r>
            <w:r>
              <w:rPr>
                <w:lang w:eastAsia="en-US"/>
                <w14:ligatures w14:val="standardContextual"/>
              </w:rPr>
              <w:t xml:space="preserve">                                      </w:t>
            </w:r>
            <w:r w:rsidRPr="00C56269">
              <w:rPr>
                <w:lang w:eastAsia="en-US"/>
                <w14:ligatures w14:val="standardContextual"/>
              </w:rPr>
              <w:t xml:space="preserve">z wykonywaniem robót (bezpośrednie wykonywanie robót budowlanych w zakresie wszystkich branż przewidzianych w </w:t>
            </w:r>
            <w:r w:rsidR="007E369F">
              <w:rPr>
                <w:lang w:eastAsia="en-US"/>
                <w14:ligatures w14:val="standardContextual"/>
              </w:rPr>
              <w:t>kosztorysie ofertowym</w:t>
            </w:r>
            <w:r w:rsidRPr="00C56269">
              <w:rPr>
                <w:lang w:eastAsia="en-US"/>
                <w14:ligatures w14:val="standardContextual"/>
              </w:rPr>
              <w:t xml:space="preserve">) czyli tzw. pracowników fizycznych, niezależnie od tego czy prace te będzie wykonywał Wykonawca </w:t>
            </w:r>
            <w:r>
              <w:rPr>
                <w:lang w:eastAsia="en-US"/>
                <w14:ligatures w14:val="standardContextual"/>
              </w:rPr>
              <w:t xml:space="preserve">                              </w:t>
            </w:r>
            <w:r w:rsidRPr="00C56269">
              <w:rPr>
                <w:lang w:eastAsia="en-US"/>
                <w14:ligatures w14:val="standardContextual"/>
              </w:rPr>
              <w:t>czy podwykonawca.</w:t>
            </w:r>
          </w:p>
          <w:p w14:paraId="5575C3FF" w14:textId="77777777" w:rsidR="00B612FE" w:rsidRPr="00A639C4" w:rsidRDefault="00B612FE" w:rsidP="009E1376">
            <w:pPr>
              <w:jc w:val="both"/>
            </w:pPr>
          </w:p>
          <w:p w14:paraId="216A271A" w14:textId="173C5861" w:rsidR="00A639C4" w:rsidRDefault="009E1376" w:rsidP="009E1376">
            <w:pPr>
              <w:jc w:val="both"/>
            </w:pPr>
            <w:r w:rsidRPr="00A639C4">
              <w:t>Zamawiający nie 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</w:t>
            </w:r>
            <w:r w:rsidR="000B08D5">
              <w:t xml:space="preserve">                      </w:t>
            </w:r>
            <w:r w:rsidRPr="00A639C4">
              <w:t xml:space="preserve"> i urządzeń teletechnicznych, energetycznych, gazowniczych, wodociągowych </w:t>
            </w:r>
            <w:r w:rsidR="000B08D5">
              <w:t xml:space="preserve">                            </w:t>
            </w:r>
            <w:r w:rsidRPr="00A639C4">
              <w:t xml:space="preserve">i oświetlenia.  </w:t>
            </w:r>
          </w:p>
          <w:p w14:paraId="011732FF" w14:textId="77777777" w:rsidR="00A74BE2" w:rsidRPr="00A639C4" w:rsidRDefault="00A74BE2" w:rsidP="009E1376">
            <w:pPr>
              <w:jc w:val="both"/>
            </w:pPr>
          </w:p>
          <w:p w14:paraId="29EA9E72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14:paraId="28CD51BC" w14:textId="77777777" w:rsidR="009E1376" w:rsidRPr="00A639C4" w:rsidRDefault="009E1376" w:rsidP="009E1376">
            <w:pPr>
              <w:jc w:val="both"/>
            </w:pPr>
          </w:p>
          <w:p w14:paraId="67C5565D" w14:textId="53D8828A" w:rsidR="009E1376" w:rsidRPr="00A639C4" w:rsidRDefault="009E1376" w:rsidP="009E1376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14:paraId="188F090D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425AF457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lastRenderedPageBreak/>
              <w:t>3) uprawnienia zamawiającego w zakresie kontroli spełniania przez wykonawcę wymagań związanych z zatrudnianiem tych osób oraz sankcji z tytułu niespełnienia tych wymagań.</w:t>
            </w:r>
          </w:p>
          <w:p w14:paraId="365C856C" w14:textId="77777777" w:rsidR="009E1376" w:rsidRPr="00A639C4" w:rsidRDefault="009E1376" w:rsidP="009E1376">
            <w:pPr>
              <w:jc w:val="both"/>
            </w:pPr>
          </w:p>
          <w:p w14:paraId="16775595" w14:textId="12C09B74" w:rsidR="009E1376" w:rsidRPr="00A639C4" w:rsidRDefault="009E1376" w:rsidP="009E1376">
            <w:pPr>
              <w:jc w:val="both"/>
            </w:pPr>
            <w:r w:rsidRPr="00A639C4">
              <w:t xml:space="preserve">Zamawiający ma prawo do skontrolowania Wykonawcy w zakresie zatrudnienia osób, o których mowa w art. 95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wzywając go na piśmie do przekazania informacji w terminie 14 dni od otrzymania takiego wezwania. W przypadku gdy Wykonawca nie dochowa ww. terminu Zamawiający obciąży Wykonawcę karami umownymi </w:t>
            </w:r>
            <w:r w:rsidR="0039128C">
              <w:t xml:space="preserve"> </w:t>
            </w:r>
            <w:r w:rsidR="0039128C" w:rsidRPr="0039128C">
              <w:t>określon</w:t>
            </w:r>
            <w:r w:rsidR="0039128C">
              <w:t>ymi</w:t>
            </w:r>
            <w:r w:rsidR="0039128C" w:rsidRPr="0039128C">
              <w:t xml:space="preserve"> w projektowanych postanowieniach umownych.</w:t>
            </w:r>
          </w:p>
          <w:p w14:paraId="51B67B5A" w14:textId="77777777" w:rsidR="00914A8C" w:rsidRPr="00A639C4" w:rsidRDefault="00914A8C" w:rsidP="009E1376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DB4D9CA" w14:textId="77777777" w:rsidR="00914A8C" w:rsidRDefault="00914A8C" w:rsidP="009E1376">
            <w:pPr>
              <w:tabs>
                <w:tab w:val="left" w:pos="408"/>
              </w:tabs>
              <w:rPr>
                <w:bCs/>
              </w:rPr>
            </w:pPr>
          </w:p>
          <w:p w14:paraId="021876FA" w14:textId="40BACE1A" w:rsidR="001E7F66" w:rsidRPr="00A639C4" w:rsidRDefault="009E1376" w:rsidP="00C56269">
            <w:pPr>
              <w:tabs>
                <w:tab w:val="left" w:pos="408"/>
              </w:tabs>
              <w:rPr>
                <w:bCs/>
              </w:rPr>
            </w:pPr>
            <w:r w:rsidRPr="00A639C4">
              <w:rPr>
                <w:bCs/>
              </w:rPr>
              <w:t xml:space="preserve">Zamawiający </w:t>
            </w:r>
            <w:r w:rsidRPr="00A639C4">
              <w:rPr>
                <w:b/>
                <w:bCs/>
                <w:u w:val="single"/>
              </w:rPr>
              <w:t>nie dopuszcza</w:t>
            </w:r>
            <w:r w:rsidRPr="00A639C4">
              <w:rPr>
                <w:bCs/>
              </w:rPr>
              <w:t xml:space="preserve"> składania </w:t>
            </w:r>
            <w:r w:rsidR="00B612FE" w:rsidRPr="00A639C4">
              <w:rPr>
                <w:bCs/>
              </w:rPr>
              <w:t>ofert częściowych</w:t>
            </w:r>
            <w:r w:rsidRPr="00A639C4">
              <w:rPr>
                <w:bCs/>
              </w:rPr>
              <w:t>.</w:t>
            </w:r>
          </w:p>
          <w:p w14:paraId="62DF8677" w14:textId="77777777" w:rsidR="007C6877" w:rsidRDefault="007C6877" w:rsidP="009E1376">
            <w:pPr>
              <w:tabs>
                <w:tab w:val="left" w:pos="16874"/>
                <w:tab w:val="left" w:pos="17157"/>
              </w:tabs>
              <w:jc w:val="both"/>
            </w:pPr>
          </w:p>
          <w:p w14:paraId="690FEAFB" w14:textId="14A6D07B" w:rsidR="009E1376" w:rsidRPr="00A639C4" w:rsidRDefault="009E1376" w:rsidP="009E1376">
            <w:pPr>
              <w:tabs>
                <w:tab w:val="left" w:pos="16874"/>
                <w:tab w:val="left" w:pos="17157"/>
              </w:tabs>
              <w:jc w:val="both"/>
            </w:pPr>
            <w:r w:rsidRPr="00A639C4">
              <w:t xml:space="preserve">Przedmiot zamówienia nie został podzielony na części. </w:t>
            </w:r>
          </w:p>
          <w:p w14:paraId="22B68B4F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500B0D4C" w14:textId="79E8D4B2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5309EDE8" w14:textId="369DE824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jaki sposób i jaką metodologią. </w:t>
            </w:r>
          </w:p>
          <w:p w14:paraId="65E8EBD2" w14:textId="49B818D8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Przepisy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</w:t>
            </w:r>
            <w:r w:rsidRPr="00A639C4">
              <w:rPr>
                <w:color w:val="000000"/>
              </w:rPr>
              <w:t xml:space="preserve">nie nakładają na </w:t>
            </w:r>
            <w:r w:rsidR="00B612FE" w:rsidRPr="00A639C4">
              <w:rPr>
                <w:color w:val="000000"/>
              </w:rPr>
              <w:t>Zamawiającego bezwzględnego</w:t>
            </w:r>
            <w:r w:rsidRPr="00A639C4">
              <w:rPr>
                <w:color w:val="000000"/>
              </w:rPr>
              <w:t xml:space="preserve"> obowiązku podziału zamówienia na części, stanowi natomiast o uprawnieniu zamawiającego </w:t>
            </w:r>
            <w:r w:rsidR="007C6877">
              <w:rPr>
                <w:color w:val="000000"/>
              </w:rPr>
              <w:t xml:space="preserve">                 </w:t>
            </w:r>
            <w:r w:rsidRPr="00A639C4">
              <w:rPr>
                <w:color w:val="000000"/>
              </w:rPr>
              <w:t>do podziału zamówienia i nie zawiera wprost obowiązku wyjaśniania przez Zamawiającego przyczyn, dla których nie zastosował takiego podziału. Zamawiający musi być w stanie uzasadnić i wytłumaczyć obiektywnie podjętą przez siebie decyzję o sposobie udzielenia zamówienia.</w:t>
            </w:r>
          </w:p>
          <w:p w14:paraId="670BCCA1" w14:textId="6BD74C92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 </w:t>
            </w:r>
            <w:r w:rsidR="008029D0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na części, jednocześnie zachowując swobodę autonomicznego podejmowania decyzji na każdej podstawie, jaką uzna za stosowną, nie podlegając nadzorowi administracyjnemu ani sądowemu; zatem zamawiający rozważa to, czy podział zamówienia na części jest celowy i jeśli decyzja o zaniechaniu podziału zostanie podjęta i uzasadniona należy uznać, że czynność została dokonana </w:t>
            </w:r>
            <w:r w:rsidR="008029D0">
              <w:rPr>
                <w:color w:val="000000"/>
              </w:rPr>
              <w:t xml:space="preserve">                                     </w:t>
            </w:r>
            <w:r w:rsidRPr="00A639C4">
              <w:rPr>
                <w:color w:val="000000"/>
              </w:rPr>
              <w:t>przez zamawiającego prawidłowo.</w:t>
            </w:r>
          </w:p>
          <w:p w14:paraId="4AB62CBB" w14:textId="38A4E422" w:rsidR="009E1376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dokonał szacowania wartości zamówienia i ustalił swoje potrzeby w tym zakresie. W ocenie </w:t>
            </w:r>
            <w:r w:rsidR="00B612FE" w:rsidRPr="00A639C4">
              <w:rPr>
                <w:color w:val="000000"/>
              </w:rPr>
              <w:t>Zamawiającego zakres</w:t>
            </w:r>
            <w:r w:rsidRPr="00A639C4">
              <w:rPr>
                <w:color w:val="000000"/>
              </w:rPr>
              <w:t xml:space="preserve"> zamówienia uzasadnia udzielenie zamówienia jednemu wykonawcy, który przyjmie na siebie odpowiedzialność za ryzyko niepowodzenia zadania, a dokonanie podziału zamówienia na części mogłoby </w:t>
            </w:r>
            <w:r w:rsidR="007C6877"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to ryzyko przenieść na Zamawiającego i w konsekwencji uczynić niemożliwym osiągnięcie celu zamówienia publicznego. </w:t>
            </w:r>
          </w:p>
          <w:p w14:paraId="522D8813" w14:textId="77777777" w:rsidR="00A74BE2" w:rsidRPr="00A639C4" w:rsidRDefault="00A74BE2" w:rsidP="009E1376">
            <w:pPr>
              <w:ind w:firstLine="708"/>
              <w:jc w:val="both"/>
              <w:rPr>
                <w:color w:val="000000"/>
              </w:rPr>
            </w:pPr>
          </w:p>
          <w:p w14:paraId="49DEDF85" w14:textId="322828F5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 zwrócił uwagę, że brak jest podstaw do podziału zamówienia</w:t>
            </w:r>
            <w:r w:rsidR="007C6877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 na zasadzie jakościowej, z uwzględnieniem różnych zaangażowanych branż </w:t>
            </w:r>
            <w:r w:rsidR="007C6877">
              <w:rPr>
                <w:color w:val="000000"/>
              </w:rPr>
              <w:t xml:space="preserve">                                       </w:t>
            </w:r>
            <w:r w:rsidRPr="00A639C4">
              <w:rPr>
                <w:color w:val="000000"/>
              </w:rPr>
              <w:t xml:space="preserve">i specjalizacji, tak by w większym stopniu dostosować treść poszczególnych zamówień do wyspecjalizowanych sektorów MŚP – całość zamówienia dotyczy specyficznej </w:t>
            </w:r>
            <w:r w:rsidR="007C6877"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i wyspecjalizowanej branży. </w:t>
            </w:r>
          </w:p>
          <w:p w14:paraId="0631C62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maksymalne, możliwe rozdrobnienie zamówienia mógłby powodować niekorzystne skutki dla zamawiającego w postaci np. zwiększenia oferowanych cen czy też niemożliwości rozstrzygnięcia postępowania z uwagi na fakt, </w:t>
            </w:r>
            <w:r w:rsidRPr="00A639C4">
              <w:rPr>
                <w:color w:val="000000"/>
              </w:rPr>
              <w:lastRenderedPageBreak/>
              <w:t>że złożenie ofert na tak małe części zamówienia byłoby dla wykonawców nieopłacalne;</w:t>
            </w:r>
          </w:p>
          <w:p w14:paraId="3E8AF7DE" w14:textId="4C6C2F5E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Dokonanie podziału zamówienia na części byłoby sztuczne i nieracjonalne, groziłoby nie tylko nadmiernymi trudnościami technicznymi czy nadmiernymi kosztami wykonania </w:t>
            </w:r>
            <w:r w:rsidR="00B612FE" w:rsidRPr="00A639C4">
              <w:rPr>
                <w:color w:val="000000"/>
              </w:rPr>
              <w:t>zamówienia,</w:t>
            </w:r>
            <w:r w:rsidRPr="00A639C4">
              <w:rPr>
                <w:color w:val="000000"/>
              </w:rPr>
              <w:t xml:space="preserve"> ale </w:t>
            </w:r>
            <w:r w:rsidR="00B612FE" w:rsidRPr="00A639C4">
              <w:rPr>
                <w:color w:val="000000"/>
              </w:rPr>
              <w:t>również potrzebą</w:t>
            </w:r>
            <w:r w:rsidRPr="00A639C4">
              <w:rPr>
                <w:color w:val="000000"/>
              </w:rPr>
              <w:t xml:space="preserve"> skoordynowania działań różnych wykonawców realizujących poszczególne części zamówienia co mogłoby poważnie zagrozić właściwemu wykonaniu zamówienia. </w:t>
            </w:r>
          </w:p>
          <w:p w14:paraId="50DC75CC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349FE4B5" w14:textId="5EACD6D3" w:rsidR="009E1376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przy podziale zamówienia na części prawdopodobna i wręcz granicząca z pewnością jest </w:t>
            </w:r>
            <w:r w:rsidR="00B612FE" w:rsidRPr="00A639C4">
              <w:rPr>
                <w:color w:val="000000"/>
              </w:rPr>
              <w:t>sytuacja,</w:t>
            </w:r>
            <w:r w:rsidRPr="00A639C4">
              <w:rPr>
                <w:color w:val="000000"/>
              </w:rPr>
              <w:t xml:space="preserve"> w której kilku wykonawców, których łączny efekt prac decyduje o prawidłowym wykonaniu przedmiotu </w:t>
            </w:r>
            <w:r w:rsidR="00B612FE" w:rsidRPr="00A639C4">
              <w:rPr>
                <w:color w:val="000000"/>
              </w:rPr>
              <w:t>umowy</w:t>
            </w:r>
            <w:r w:rsidR="00B612FE" w:rsidRPr="00A639C4">
              <w:rPr>
                <w:strike/>
                <w:color w:val="000000"/>
              </w:rPr>
              <w:t xml:space="preserve"> </w:t>
            </w:r>
            <w:r w:rsidR="00B612FE" w:rsidRPr="00A639C4">
              <w:rPr>
                <w:color w:val="000000"/>
              </w:rPr>
              <w:t>unika</w:t>
            </w:r>
            <w:r w:rsidRPr="00A639C4">
              <w:rPr>
                <w:color w:val="000000"/>
              </w:rPr>
              <w:t xml:space="preserve"> odpowiedzialności z uwagi na trudności z jednoznacznym ustaleniem przyczyn wystąpienia wad czy usterek.</w:t>
            </w:r>
          </w:p>
          <w:p w14:paraId="2B3F5B78" w14:textId="77777777" w:rsidR="007C6877" w:rsidRPr="00A639C4" w:rsidRDefault="007C6877" w:rsidP="009E1376">
            <w:pPr>
              <w:ind w:firstLine="708"/>
              <w:jc w:val="both"/>
              <w:rPr>
                <w:color w:val="000000"/>
              </w:rPr>
            </w:pPr>
          </w:p>
          <w:p w14:paraId="7515C62C" w14:textId="3DA16005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uznał, że niedokonanie podziału przedmiotu zamówienia </w:t>
            </w:r>
            <w:r w:rsidR="008029D0">
              <w:rPr>
                <w:color w:val="000000"/>
              </w:rPr>
              <w:t xml:space="preserve">                        </w:t>
            </w:r>
            <w:r w:rsidRPr="00A639C4">
              <w:rPr>
                <w:color w:val="000000"/>
              </w:rPr>
              <w:t xml:space="preserve">na części nie ma wpływu na konkurencyjność, nie utrudnia dostępu do zamówienia MŚP i jest determinowane specyfiką zamówienia </w:t>
            </w:r>
            <w:r w:rsidR="00B612FE" w:rsidRPr="00A639C4">
              <w:rPr>
                <w:color w:val="000000"/>
              </w:rPr>
              <w:t>(okolicznościami</w:t>
            </w:r>
            <w:r w:rsidRPr="00A639C4">
              <w:rPr>
                <w:color w:val="000000"/>
              </w:rPr>
              <w:t xml:space="preserve"> danego przypadku), w szczególności rodzajem przedmiotu zamówienia, jego specyfiką, planowanym sposobem realizacji zamówienia </w:t>
            </w:r>
            <w:r w:rsidR="00D101E2" w:rsidRPr="00A639C4">
              <w:rPr>
                <w:color w:val="000000"/>
              </w:rPr>
              <w:t>i jego</w:t>
            </w:r>
            <w:r w:rsidRPr="00A639C4">
              <w:rPr>
                <w:color w:val="000000"/>
              </w:rPr>
              <w:t xml:space="preserve"> zakresem. Zamówienie ma zwiększyć </w:t>
            </w:r>
            <w:r w:rsidR="00B612FE" w:rsidRPr="00A639C4">
              <w:rPr>
                <w:color w:val="000000"/>
              </w:rPr>
              <w:t>konkurencyjność,</w:t>
            </w:r>
            <w:r w:rsidRPr="00A639C4">
              <w:rPr>
                <w:color w:val="000000"/>
              </w:rPr>
              <w:t xml:space="preserve"> ale nie kosztem interesów zamawiającego.</w:t>
            </w:r>
          </w:p>
          <w:p w14:paraId="5F607EB1" w14:textId="1B163711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dokonując </w:t>
            </w:r>
            <w:r w:rsidR="00B612FE" w:rsidRPr="00A639C4">
              <w:rPr>
                <w:color w:val="000000"/>
              </w:rPr>
              <w:t>agregacji -</w:t>
            </w:r>
            <w:r w:rsidRPr="00A639C4">
              <w:rPr>
                <w:color w:val="000000"/>
              </w:rPr>
              <w:t xml:space="preserve"> planując udzielenie zamówienia jako całości jednemu wykonawcy miał na uwadze swoje obiektywne, uzasadnione </w:t>
            </w:r>
            <w:r w:rsidR="008029D0">
              <w:rPr>
                <w:color w:val="000000"/>
              </w:rPr>
              <w:t xml:space="preserve">                             </w:t>
            </w:r>
            <w:r w:rsidRPr="00A639C4">
              <w:rPr>
                <w:color w:val="000000"/>
              </w:rPr>
              <w:t xml:space="preserve">i racjonalne potrzeby oraz dbałość o zapewnienie konkurencyjności – brak podziału </w:t>
            </w:r>
            <w:r w:rsidR="008029D0">
              <w:rPr>
                <w:color w:val="000000"/>
              </w:rPr>
              <w:t xml:space="preserve">                 </w:t>
            </w:r>
            <w:r w:rsidRPr="00A639C4">
              <w:rPr>
                <w:color w:val="000000"/>
              </w:rPr>
              <w:t xml:space="preserve">nie uniemożliwia złożenia oferty małym przedsiębiorcom działającym na rynku. </w:t>
            </w:r>
          </w:p>
          <w:p w14:paraId="7600DB5D" w14:textId="720E97F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korzystniejsze warunki realizacji zamówienia będą miały miejsce w sytuacji, w której udzielenie zamówienia nastąpi w całości jednemu wykonawcy. Nie wpływa to na </w:t>
            </w:r>
            <w:r w:rsidR="00B612FE" w:rsidRPr="00A639C4">
              <w:rPr>
                <w:color w:val="000000"/>
              </w:rPr>
              <w:t>zmniejszenie konkurencyjności</w:t>
            </w:r>
            <w:r w:rsidRPr="00A639C4">
              <w:rPr>
                <w:color w:val="000000"/>
              </w:rPr>
              <w:t xml:space="preserve"> MŚP, nie zaburza konkurencyjności, pozwala na racjonalne i efektywne wykorzystanie środków publicznych.</w:t>
            </w:r>
          </w:p>
          <w:p w14:paraId="19EC7028" w14:textId="3E4B58A0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</w:t>
            </w:r>
            <w:r w:rsidR="00B612FE" w:rsidRPr="00A639C4">
              <w:rPr>
                <w:color w:val="000000"/>
              </w:rPr>
              <w:t>Zamawiającego brak</w:t>
            </w:r>
            <w:r w:rsidRPr="00A639C4">
              <w:rPr>
                <w:color w:val="000000"/>
              </w:rPr>
              <w:t xml:space="preserve"> podziału zamówienia na części nie narusza zasad uczciwej konkurencji oraz równego traktowania wykonawców, mający przejawiać się w opisie przedmiotu zamówienia oraz ograniczeniu dostępu </w:t>
            </w:r>
            <w:r w:rsidR="008029D0">
              <w:rPr>
                <w:color w:val="000000"/>
              </w:rPr>
              <w:t xml:space="preserve">                                 </w:t>
            </w:r>
            <w:r w:rsidRPr="00A639C4">
              <w:rPr>
                <w:color w:val="000000"/>
              </w:rPr>
              <w:t xml:space="preserve">do zamówienia małym i średnim przedsiębiorstwom. </w:t>
            </w:r>
          </w:p>
          <w:p w14:paraId="1E975B4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2F95040A" w14:textId="289F7F0B" w:rsidR="009E1376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</w:t>
            </w:r>
            <w:r w:rsidRPr="00A639C4">
              <w:rPr>
                <w:color w:val="000000"/>
                <w:u w:val="single"/>
              </w:rPr>
              <w:t>niewielkimi</w:t>
            </w:r>
            <w:r w:rsidRPr="00A639C4">
              <w:rPr>
                <w:color w:val="000000"/>
              </w:rPr>
              <w:t xml:space="preserve"> trudnościami czy kosztami bądź </w:t>
            </w:r>
            <w:r w:rsidRPr="00A639C4">
              <w:rPr>
                <w:color w:val="000000"/>
                <w:u w:val="single"/>
              </w:rPr>
              <w:t>nieznacznymi</w:t>
            </w:r>
            <w:r w:rsidRPr="00A639C4">
              <w:rPr>
                <w:color w:val="000000"/>
              </w:rPr>
              <w:t xml:space="preserve"> problemami z koordynowaniem działań wykonawców a tym bardziej wygoda zamawiającego.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opinii Zamawiającego przyczyny niedokonania podziału nie są błahe oraz łatwe </w:t>
            </w:r>
            <w:r w:rsidR="007C6877"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do usunięcia. </w:t>
            </w:r>
          </w:p>
          <w:p w14:paraId="37CA120D" w14:textId="77777777" w:rsidR="00A74BE2" w:rsidRPr="00A639C4" w:rsidRDefault="00A74BE2" w:rsidP="009E1376">
            <w:pPr>
              <w:ind w:firstLine="708"/>
              <w:jc w:val="both"/>
              <w:rPr>
                <w:color w:val="000000"/>
              </w:rPr>
            </w:pPr>
          </w:p>
          <w:p w14:paraId="02C8C04A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6A858363" w14:textId="5F62028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25571511" w14:textId="77777777" w:rsidR="009E1376" w:rsidRDefault="009E1376" w:rsidP="009E1376">
            <w:pPr>
              <w:jc w:val="both"/>
              <w:rPr>
                <w:bCs/>
              </w:rPr>
            </w:pPr>
          </w:p>
          <w:p w14:paraId="09F3499D" w14:textId="77777777" w:rsidR="00727B3D" w:rsidRPr="00A639C4" w:rsidRDefault="00727B3D" w:rsidP="009E1376">
            <w:pPr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C183695" w14:textId="77777777" w:rsidR="007C6877" w:rsidRDefault="007C6877" w:rsidP="00914A8C">
            <w:pPr>
              <w:tabs>
                <w:tab w:val="left" w:pos="408"/>
              </w:tabs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304DC019" w14:textId="7C799ADA" w:rsidR="00914A8C" w:rsidRPr="00A639C4" w:rsidRDefault="00914A8C" w:rsidP="00914A8C">
            <w:pPr>
              <w:tabs>
                <w:tab w:val="left" w:pos="408"/>
              </w:tabs>
              <w:spacing w:line="276" w:lineRule="auto"/>
              <w:jc w:val="both"/>
              <w:rPr>
                <w:bCs/>
                <w:color w:val="000000"/>
              </w:rPr>
            </w:pPr>
            <w:r w:rsidRPr="00914A8C">
              <w:rPr>
                <w:rFonts w:eastAsiaTheme="minorHAnsi"/>
                <w:lang w:eastAsia="en-US"/>
              </w:rPr>
              <w:t>Zamawiający</w:t>
            </w:r>
            <w:r w:rsidR="008029D0">
              <w:rPr>
                <w:rFonts w:eastAsiaTheme="minorHAnsi"/>
                <w:lang w:eastAsia="en-US"/>
              </w:rPr>
              <w:t xml:space="preserve"> </w:t>
            </w:r>
            <w:r w:rsidR="008029D0" w:rsidRPr="008029D0">
              <w:rPr>
                <w:rFonts w:eastAsiaTheme="minorHAnsi"/>
                <w:b/>
                <w:u w:val="single"/>
                <w:lang w:eastAsia="en-US"/>
              </w:rPr>
              <w:t>nie</w:t>
            </w:r>
            <w:r w:rsidR="008029D0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  <w:r w:rsidRPr="00914A8C">
              <w:rPr>
                <w:rFonts w:eastAsiaTheme="minorHAnsi"/>
                <w:b/>
                <w:u w:val="single"/>
                <w:lang w:eastAsia="en-US"/>
              </w:rPr>
              <w:t xml:space="preserve">przewiduje </w:t>
            </w:r>
            <w:r w:rsidR="008029D0">
              <w:rPr>
                <w:rFonts w:eastAsiaTheme="minorHAnsi"/>
                <w:lang w:eastAsia="en-US"/>
              </w:rPr>
              <w:t xml:space="preserve"> możliwości </w:t>
            </w:r>
            <w:r w:rsidRPr="00914A8C">
              <w:rPr>
                <w:rFonts w:eastAsiaTheme="minorHAnsi"/>
                <w:lang w:eastAsia="en-US"/>
              </w:rPr>
              <w:t>udzielenia</w:t>
            </w:r>
            <w:r w:rsidR="008029D0">
              <w:rPr>
                <w:rFonts w:eastAsiaTheme="minorHAnsi"/>
                <w:lang w:eastAsia="en-US"/>
              </w:rPr>
              <w:t xml:space="preserve"> zamówien</w:t>
            </w:r>
            <w:r w:rsidR="00727B3D">
              <w:rPr>
                <w:rFonts w:eastAsiaTheme="minorHAnsi"/>
                <w:lang w:eastAsia="en-US"/>
              </w:rPr>
              <w:t xml:space="preserve">ia </w:t>
            </w:r>
            <w:r w:rsidRPr="00914A8C">
              <w:rPr>
                <w:rFonts w:eastAsiaTheme="minorHAnsi"/>
                <w:lang w:eastAsia="en-US"/>
              </w:rPr>
              <w:t xml:space="preserve"> w </w:t>
            </w:r>
            <w:r w:rsidR="008029D0">
              <w:rPr>
                <w:rFonts w:eastAsiaTheme="minorHAnsi"/>
                <w:lang w:eastAsia="en-US"/>
              </w:rPr>
              <w:t>art.</w:t>
            </w:r>
            <w:r w:rsidR="00727B3D">
              <w:rPr>
                <w:rFonts w:eastAsiaTheme="minorHAnsi"/>
                <w:lang w:eastAsia="en-US"/>
              </w:rPr>
              <w:t xml:space="preserve"> </w:t>
            </w:r>
            <w:r w:rsidR="008029D0">
              <w:rPr>
                <w:rFonts w:eastAsiaTheme="minorHAnsi"/>
                <w:lang w:eastAsia="en-US"/>
              </w:rPr>
              <w:t xml:space="preserve">305 pkt 1  </w:t>
            </w:r>
            <w:r w:rsidR="00727B3D">
              <w:rPr>
                <w:rFonts w:eastAsiaTheme="minorHAnsi"/>
                <w:lang w:eastAsia="en-US"/>
              </w:rPr>
              <w:t xml:space="preserve">                         </w:t>
            </w:r>
            <w:r w:rsidR="008029D0">
              <w:rPr>
                <w:rFonts w:eastAsiaTheme="minorHAnsi"/>
                <w:lang w:eastAsia="en-US"/>
              </w:rPr>
              <w:t>z zw</w:t>
            </w:r>
            <w:r w:rsidRPr="00914A8C">
              <w:rPr>
                <w:bCs/>
                <w:color w:val="000000"/>
              </w:rPr>
              <w:t>.</w:t>
            </w:r>
            <w:r w:rsidR="008029D0">
              <w:rPr>
                <w:bCs/>
                <w:color w:val="000000"/>
              </w:rPr>
              <w:t xml:space="preserve"> z art. 214 ust.1 pkt 7 </w:t>
            </w:r>
            <w:proofErr w:type="spellStart"/>
            <w:r w:rsidR="008029D0">
              <w:rPr>
                <w:bCs/>
                <w:color w:val="000000"/>
              </w:rPr>
              <w:t>Pzp</w:t>
            </w:r>
            <w:proofErr w:type="spellEnd"/>
            <w:r w:rsidR="008029D0">
              <w:rPr>
                <w:bCs/>
                <w:color w:val="000000"/>
              </w:rPr>
              <w:t>.</w:t>
            </w:r>
          </w:p>
          <w:p w14:paraId="1B06481F" w14:textId="77777777" w:rsidR="009E1376" w:rsidRPr="00A639C4" w:rsidRDefault="009E1376" w:rsidP="008029D0">
            <w:pPr>
              <w:widowControl/>
              <w:rPr>
                <w:bCs/>
              </w:rPr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66991CF" w14:textId="77777777" w:rsidR="00D24FBE" w:rsidRPr="00BB7EC1" w:rsidRDefault="00D24FBE" w:rsidP="00D24FBE">
            <w:pPr>
              <w:jc w:val="both"/>
              <w:rPr>
                <w:bCs/>
              </w:rPr>
            </w:pPr>
            <w:r w:rsidRPr="00BB7EC1">
              <w:rPr>
                <w:bCs/>
              </w:rPr>
              <w:t xml:space="preserve">W przypadku kiedy wizja lokalna dotyczy budowli, budynków oraz terenów Baz Materiałowych, placów składowych, placów manewrowych, parkingów itp. administrowanych przez PZDW w Rzeszowie i poszczególne Rejony Dróg Wojewódzkich Zamawiający </w:t>
            </w:r>
            <w:r w:rsidRPr="00BB7EC1">
              <w:rPr>
                <w:b/>
                <w:bCs/>
              </w:rPr>
              <w:t xml:space="preserve">wymaga </w:t>
            </w:r>
            <w:r w:rsidRPr="00BB7EC1">
              <w:rPr>
                <w:bCs/>
              </w:rPr>
              <w:t xml:space="preserve">dokonania wizji lokalnej w obecności personelu Zamawiającego. </w:t>
            </w:r>
          </w:p>
          <w:p w14:paraId="4B0BB240" w14:textId="77777777" w:rsidR="00D24FBE" w:rsidRDefault="00D24FBE" w:rsidP="00D24FBE">
            <w:pPr>
              <w:rPr>
                <w:b/>
              </w:rPr>
            </w:pPr>
          </w:p>
          <w:p w14:paraId="1AC22B6D" w14:textId="567164F2" w:rsidR="00D24FBE" w:rsidRDefault="00D24FBE" w:rsidP="00D24FBE">
            <w:pPr>
              <w:rPr>
                <w:bCs/>
              </w:rPr>
            </w:pPr>
            <w:r w:rsidRPr="00A639C4">
              <w:rPr>
                <w:b/>
              </w:rPr>
              <w:t>Zamawiający</w:t>
            </w:r>
            <w:r>
              <w:rPr>
                <w:b/>
              </w:rPr>
              <w:t xml:space="preserve"> </w:t>
            </w:r>
            <w:r w:rsidRPr="00A639C4">
              <w:rPr>
                <w:b/>
                <w:u w:val="single"/>
              </w:rPr>
              <w:t>wymaga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14:paraId="2608B6D6" w14:textId="77777777" w:rsidR="00D24FBE" w:rsidRPr="00594DD7" w:rsidRDefault="00D24FBE" w:rsidP="00D24FBE">
            <w:pPr>
              <w:rPr>
                <w:bCs/>
              </w:rPr>
            </w:pPr>
          </w:p>
          <w:p w14:paraId="375AF919" w14:textId="77777777" w:rsidR="00D24FBE" w:rsidRPr="00594DD7" w:rsidRDefault="00D24FBE" w:rsidP="00D24FBE">
            <w:pPr>
              <w:jc w:val="both"/>
              <w:rPr>
                <w:bCs/>
              </w:rPr>
            </w:pPr>
            <w:r w:rsidRPr="00594DD7">
              <w:rPr>
                <w:bCs/>
              </w:rPr>
              <w:t xml:space="preserve">Zamawiający </w:t>
            </w:r>
            <w:r w:rsidRPr="00594DD7">
              <w:rPr>
                <w:b/>
                <w:bCs/>
              </w:rPr>
              <w:t xml:space="preserve">wymaga </w:t>
            </w:r>
            <w:r w:rsidRPr="00594DD7">
              <w:rPr>
                <w:bCs/>
              </w:rPr>
              <w:t xml:space="preserve">dokonania wizji lokalnej w obecności personelu Zamawiającego. </w:t>
            </w:r>
          </w:p>
          <w:p w14:paraId="38130741" w14:textId="77777777" w:rsidR="00D24FBE" w:rsidRPr="00594DD7" w:rsidRDefault="00D24FBE" w:rsidP="00D24FBE">
            <w:pPr>
              <w:jc w:val="both"/>
              <w:rPr>
                <w:bCs/>
              </w:rPr>
            </w:pPr>
          </w:p>
          <w:p w14:paraId="4D0A13EA" w14:textId="77777777" w:rsidR="00D24FBE" w:rsidRPr="00594DD7" w:rsidRDefault="00D24FBE" w:rsidP="00D24FBE">
            <w:pPr>
              <w:spacing w:line="276" w:lineRule="auto"/>
              <w:jc w:val="both"/>
            </w:pPr>
            <w:r w:rsidRPr="00594DD7">
              <w:rPr>
                <w:bCs/>
              </w:rPr>
              <w:t>W celu odbycia wizji lokalnej Wykonawca przekazuje</w:t>
            </w:r>
            <w:r w:rsidRPr="00594DD7">
              <w:t xml:space="preserve"> stosowny wniosek na adres </w:t>
            </w:r>
            <w:r>
              <w:t xml:space="preserve">                    </w:t>
            </w:r>
            <w:r w:rsidRPr="00594DD7">
              <w:t xml:space="preserve">e-mail: </w:t>
            </w:r>
            <w:hyperlink r:id="rId8" w:history="1">
              <w:r w:rsidRPr="00594DD7">
                <w:rPr>
                  <w:rStyle w:val="Hipercze"/>
                </w:rPr>
                <w:t>biuro@pzdw.pl</w:t>
              </w:r>
            </w:hyperlink>
            <w:r w:rsidRPr="00594DD7">
              <w:t xml:space="preserve"> wraz z podaniem danych osobowych, tj. imienia i nazwiska, nazwy i adresu Wykonawcy oraz nr telefonu kontaktowego w celu ustalenia terminu przeprowadzenia wizji </w:t>
            </w:r>
            <w:r w:rsidRPr="00594DD7">
              <w:rPr>
                <w:bCs/>
              </w:rPr>
              <w:t>i miejsca spotkania.</w:t>
            </w:r>
          </w:p>
          <w:p w14:paraId="16AAE6E8" w14:textId="77777777" w:rsidR="00D24FBE" w:rsidRPr="00594DD7" w:rsidRDefault="00D24FBE" w:rsidP="00D24FBE">
            <w:pPr>
              <w:spacing w:line="276" w:lineRule="auto"/>
              <w:ind w:left="346" w:hanging="173"/>
              <w:jc w:val="both"/>
            </w:pPr>
            <w:r>
              <w:t xml:space="preserve">• </w:t>
            </w:r>
            <w:r w:rsidRPr="00594DD7">
              <w:t>Udział w wizji lokalnej zostanie potwierdzony protokołem, którego kopię Wykonawca dołącza do oferty.</w:t>
            </w:r>
          </w:p>
          <w:p w14:paraId="3568FF2A" w14:textId="77777777" w:rsidR="00D24FBE" w:rsidRPr="00594DD7" w:rsidRDefault="00D24FBE" w:rsidP="00D24FBE">
            <w:pPr>
              <w:spacing w:line="276" w:lineRule="auto"/>
              <w:ind w:left="346" w:hanging="173"/>
              <w:jc w:val="both"/>
            </w:pPr>
            <w:r>
              <w:t xml:space="preserve">•  </w:t>
            </w:r>
            <w:r w:rsidRPr="00594DD7">
              <w:t xml:space="preserve">Zamawiający informuje, że w trakcie wizji lokalnej nie będzie udzielał wyjaśnień treści SWZ w trybie art. 135 </w:t>
            </w:r>
            <w:proofErr w:type="spellStart"/>
            <w:r w:rsidRPr="00594DD7">
              <w:t>Pzp</w:t>
            </w:r>
            <w:proofErr w:type="spellEnd"/>
            <w:r w:rsidRPr="00594DD7">
              <w:t xml:space="preserve">. </w:t>
            </w:r>
          </w:p>
          <w:p w14:paraId="1811C088" w14:textId="77777777" w:rsidR="00D24FBE" w:rsidRPr="00594DD7" w:rsidRDefault="00D24FBE" w:rsidP="00D24FBE">
            <w:pPr>
              <w:spacing w:line="276" w:lineRule="auto"/>
              <w:ind w:left="346" w:hanging="173"/>
              <w:jc w:val="both"/>
            </w:pPr>
            <w:r>
              <w:t xml:space="preserve">• </w:t>
            </w:r>
            <w:r w:rsidRPr="00594DD7">
              <w:t xml:space="preserve">Zamawiający informuje, że oferta złożona bez odbycia wizji lokalnej podlega odrzuceniu zgodnie z art. 226 ust. 1 pkt 18 </w:t>
            </w:r>
            <w:proofErr w:type="spellStart"/>
            <w:r w:rsidRPr="00594DD7">
              <w:t>Pzp</w:t>
            </w:r>
            <w:proofErr w:type="spellEnd"/>
            <w:r w:rsidRPr="00594DD7">
              <w:t>.</w:t>
            </w:r>
          </w:p>
          <w:p w14:paraId="7C13E5D0" w14:textId="77777777" w:rsidR="00D24FBE" w:rsidRDefault="00D24FBE" w:rsidP="00D24FBE">
            <w:pPr>
              <w:jc w:val="both"/>
              <w:rPr>
                <w:b/>
              </w:rPr>
            </w:pPr>
          </w:p>
          <w:p w14:paraId="2264568C" w14:textId="77777777" w:rsidR="00D24FBE" w:rsidRPr="00A639C4" w:rsidRDefault="00D24FBE" w:rsidP="00D24FBE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</w:t>
            </w:r>
            <w:r>
              <w:rPr>
                <w:b/>
              </w:rPr>
              <w:t xml:space="preserve">                      </w:t>
            </w:r>
            <w:r w:rsidRPr="00A639C4">
              <w:rPr>
                <w:b/>
              </w:rPr>
              <w:t>u Zamawiającego.</w:t>
            </w:r>
          </w:p>
          <w:p w14:paraId="4E9E49F2" w14:textId="77777777" w:rsidR="009E1376" w:rsidRPr="00A639C4" w:rsidRDefault="009E1376" w:rsidP="00D24FBE">
            <w:pPr>
              <w:jc w:val="both"/>
            </w:pP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520A0A0" w14:textId="6B34EEB2" w:rsidR="00347D74" w:rsidRPr="00A639C4" w:rsidRDefault="00347D74" w:rsidP="00347D74">
            <w:pPr>
              <w:spacing w:line="276" w:lineRule="auto"/>
              <w:jc w:val="both"/>
            </w:pPr>
          </w:p>
          <w:p w14:paraId="771F2971" w14:textId="3FA2CC1B" w:rsidR="00347D74" w:rsidRPr="00A639C4" w:rsidRDefault="00347D74" w:rsidP="00347D74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A74BE2" w:rsidRPr="00A639C4" w:rsidRDefault="00A74BE2" w:rsidP="00914A8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D9038F" w14:textId="77777777" w:rsidR="009E1376" w:rsidRPr="00A639C4" w:rsidRDefault="009E1376" w:rsidP="009E1376">
            <w:pPr>
              <w:jc w:val="both"/>
            </w:pPr>
          </w:p>
          <w:p w14:paraId="2C5A90FB" w14:textId="6B28E0A6" w:rsidR="009E1376" w:rsidRDefault="009E1376" w:rsidP="00914A8C">
            <w:pPr>
              <w:rPr>
                <w:b/>
              </w:rPr>
            </w:pPr>
            <w:r w:rsidRPr="00A639C4">
              <w:rPr>
                <w:b/>
              </w:rPr>
              <w:t xml:space="preserve">Termin wykonania zamówienia: </w:t>
            </w:r>
            <w:r w:rsidR="009F5135">
              <w:rPr>
                <w:b/>
              </w:rPr>
              <w:t>do 30.11.2024r.</w:t>
            </w:r>
          </w:p>
          <w:p w14:paraId="636F02CA" w14:textId="77777777" w:rsidR="009F5135" w:rsidRDefault="009F5135" w:rsidP="009F5135">
            <w:pPr>
              <w:tabs>
                <w:tab w:val="center" w:pos="4536"/>
              </w:tabs>
              <w:jc w:val="both"/>
            </w:pPr>
          </w:p>
          <w:p w14:paraId="5E24CD5F" w14:textId="5389AAEC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44E78BAE" w14:textId="2473C38B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</w:t>
            </w:r>
            <w:r w:rsidR="00676B9F">
              <w:t xml:space="preserve">                     </w:t>
            </w:r>
            <w:r w:rsidRPr="00A639C4">
              <w:t xml:space="preserve">w przepisach o zamówieniach publicznych. </w:t>
            </w:r>
          </w:p>
          <w:p w14:paraId="01E667B5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lastRenderedPageBreak/>
              <w:t xml:space="preserve">Podstawą gospodarki finansowej jednostki samorządu terytorialnego w danym roku budżetowym jest uchwała budżetowa. </w:t>
            </w:r>
          </w:p>
          <w:p w14:paraId="7F2547E4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Zamawiający ponosi wydatki publiczne na cele i w wysokościach ustalonych w:</w:t>
            </w:r>
          </w:p>
          <w:p w14:paraId="5443FE6C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9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4F846B19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260D6D35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6C235CE6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23AFCACF" w14:textId="77777777" w:rsidR="009F5135" w:rsidRPr="00A639C4" w:rsidRDefault="009F5135" w:rsidP="009F5135">
            <w:pPr>
              <w:spacing w:before="100" w:beforeAutospacing="1" w:after="100" w:afterAutospacing="1"/>
              <w:jc w:val="both"/>
            </w:pPr>
            <w:r w:rsidRPr="00A639C4">
              <w:t>Podstawowy plan rzeczowo - finansowy obejmuje jednoroczny okres realizacji zadań bieżących jak i majątkowych, dlatego niezbędne jest określenie zakończenia realizacji zadania maksymalnie do końca grudnia bieżącego roku. Termin ten pozwala na zwrot niewykorzystanych środków do Urzędu Marszałkowskiego oraz ewentualnie JST zaangażowanych w realizację przedmiotu umowy czy rozliczenie przyznanych dotacji.</w:t>
            </w:r>
          </w:p>
          <w:p w14:paraId="2A04265E" w14:textId="77777777" w:rsidR="009F5135" w:rsidRPr="00A639C4" w:rsidRDefault="009F5135" w:rsidP="009F5135">
            <w:pPr>
              <w:spacing w:before="100" w:beforeAutospacing="1" w:after="100" w:afterAutospacing="1"/>
            </w:pPr>
            <w:r w:rsidRPr="00A639C4">
              <w:t xml:space="preserve">Sytuacja taka jest podyktowana min. tym, że Zamawiający prowadzi gospodarkę finansową w oparciu o zasady gospodarki budżetowej przyjętej dla jednostek samorządowych. Pomimo braku osobowości prawnej zasady te obowiązują, a podstawową zasadą jest jednoroczny budżet jednostki. </w:t>
            </w:r>
          </w:p>
          <w:p w14:paraId="7C409C57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55BABEA6" w14:textId="77777777" w:rsidR="009F5135" w:rsidRPr="00A639C4" w:rsidRDefault="009F5135" w:rsidP="009F5135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>realizuje gospodarkę finansową w oparciu o zasady budżetu rocznego które obligują Kierownika Jednostki do wydatkowania środków planu finansowego na zadania realizowane w oparciu o zamówienia publiczne do końca danego roku budżetowego, jeśli Kierownik Jednostki nie posiada dodatkowych upoważnień od Zarządu Województwa Podkarpackiego do zaciągania zobowiązań finansowych w danym roku budżetowym obciążającym lata przyszłe;</w:t>
            </w:r>
          </w:p>
          <w:p w14:paraId="7830C8AF" w14:textId="08216006" w:rsidR="009F5135" w:rsidRPr="00A639C4" w:rsidRDefault="009F5135" w:rsidP="009F5135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jako jednostka sektora finansów publicznych może zaciągać zobowiązania </w:t>
            </w:r>
            <w:r w:rsidR="00676B9F">
              <w:t xml:space="preserve">                </w:t>
            </w:r>
            <w:r w:rsidRPr="00A639C4">
              <w:t xml:space="preserve">do sfinansowania w danym roku do wysokości wynikającej z planu wydatków, </w:t>
            </w:r>
          </w:p>
          <w:p w14:paraId="028FCE60" w14:textId="77777777" w:rsidR="009F5135" w:rsidRPr="00A639C4" w:rsidRDefault="009F5135" w:rsidP="009F5135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61ECE275" w14:textId="77777777" w:rsidR="009F5135" w:rsidRPr="00A639C4" w:rsidRDefault="009F5135" w:rsidP="009F5135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14A11A98" w14:textId="65B9E8D7" w:rsidR="009E1376" w:rsidRPr="00A639C4" w:rsidRDefault="009E1376" w:rsidP="009F5135">
            <w:pPr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1EE5E3C9" w:rsidR="009E1376" w:rsidRPr="00A639C4" w:rsidRDefault="009E1376" w:rsidP="009E1376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7A34C4A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6901A0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2A445E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8DA8EF" w14:textId="39B4DF20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 xml:space="preserve">uprawnień do prowadzenia określonej działalności gospodarczej </w:t>
            </w:r>
            <w:r w:rsidR="007C6877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Pr="00A639C4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przepisów:</w:t>
            </w:r>
          </w:p>
          <w:p w14:paraId="2096AA0C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06644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3898199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DD20D" w14:textId="64ACE70A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7B0262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D7330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35C07B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25F738" w14:textId="58286956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47E7B56" w14:textId="54658EA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81D5A4A" w14:textId="59D1E043" w:rsidR="009E1376" w:rsidRPr="00A639C4" w:rsidRDefault="009E1376" w:rsidP="00FA7E88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27B3BC80" w14:textId="77777777" w:rsidR="008029D0" w:rsidRPr="00A639C4" w:rsidRDefault="008029D0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45747F" w14:textId="6794FC17" w:rsidR="009E1376" w:rsidRDefault="009E1376" w:rsidP="009E1376">
            <w:pPr>
              <w:widowControl/>
              <w:numPr>
                <w:ilvl w:val="0"/>
                <w:numId w:val="21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Doświadczenie wykonawcy </w:t>
            </w:r>
          </w:p>
          <w:p w14:paraId="5A43B8A8" w14:textId="30CD7E42" w:rsidR="00D21A59" w:rsidRDefault="00D21A59" w:rsidP="00D21A59">
            <w:pPr>
              <w:spacing w:line="276" w:lineRule="auto"/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 xml:space="preserve">Wykonawca spełni ten warunek udziału w postępowaniu, jeżeli wykaże, że </w:t>
            </w:r>
            <w:r w:rsidR="007715D7">
              <w:rPr>
                <w:color w:val="000000"/>
              </w:rPr>
              <w:t>w ci</w:t>
            </w:r>
            <w:r w:rsidRPr="00A44DB1">
              <w:rPr>
                <w:color w:val="000000"/>
              </w:rPr>
              <w:t xml:space="preserve">ągu ostatnich 5 lat przed upływem terminu składania ofert, (a jeżeli okres prowadzenia działalności jest krótszy w tym okresie) </w:t>
            </w:r>
            <w:r w:rsidRPr="00A44DB1">
              <w:rPr>
                <w:b/>
                <w:bCs/>
                <w:color w:val="000000"/>
              </w:rPr>
              <w:t>wykonał</w:t>
            </w:r>
            <w:r w:rsidRPr="00A44DB1">
              <w:rPr>
                <w:color w:val="000000"/>
              </w:rPr>
              <w:t xml:space="preserve"> </w:t>
            </w:r>
            <w:r w:rsidRPr="00A44DB1">
              <w:rPr>
                <w:b/>
                <w:color w:val="000000"/>
              </w:rPr>
              <w:t xml:space="preserve">min. 1 </w:t>
            </w:r>
            <w:r w:rsidRPr="00A44DB1">
              <w:rPr>
                <w:b/>
                <w:spacing w:val="-6"/>
              </w:rPr>
              <w:t>budowę, p</w:t>
            </w:r>
            <w:r w:rsidRPr="00A44DB1">
              <w:rPr>
                <w:b/>
              </w:rPr>
              <w:t xml:space="preserve">rzebudowę </w:t>
            </w:r>
            <w:r w:rsidR="00A74BE2">
              <w:rPr>
                <w:b/>
              </w:rPr>
              <w:t xml:space="preserve">                      </w:t>
            </w:r>
            <w:r w:rsidRPr="00A44DB1">
              <w:rPr>
                <w:b/>
              </w:rPr>
              <w:t>lub remont ogrodzenia wraz z bram</w:t>
            </w:r>
            <w:r>
              <w:rPr>
                <w:b/>
              </w:rPr>
              <w:t>ą</w:t>
            </w:r>
            <w:r w:rsidRPr="00A44DB1">
              <w:rPr>
                <w:b/>
              </w:rPr>
              <w:t xml:space="preserve"> wjazdową </w:t>
            </w:r>
            <w:r w:rsidR="007715D7">
              <w:rPr>
                <w:b/>
              </w:rPr>
              <w:t xml:space="preserve">o łącznej długości </w:t>
            </w:r>
            <w:r w:rsidRPr="00A44DB1">
              <w:rPr>
                <w:b/>
              </w:rPr>
              <w:t xml:space="preserve">min. 20 </w:t>
            </w:r>
            <w:proofErr w:type="spellStart"/>
            <w:r w:rsidRPr="00A44DB1">
              <w:rPr>
                <w:b/>
              </w:rPr>
              <w:t>mb</w:t>
            </w:r>
            <w:proofErr w:type="spellEnd"/>
            <w:r w:rsidRPr="00A44DB1">
              <w:rPr>
                <w:b/>
              </w:rPr>
              <w:t xml:space="preserve"> </w:t>
            </w:r>
            <w:r w:rsidRPr="00A44DB1">
              <w:rPr>
                <w:spacing w:val="-6"/>
              </w:rPr>
              <w:t xml:space="preserve">poparte dokumentami (dowodami) </w:t>
            </w:r>
            <w:r w:rsidRPr="00A44DB1">
              <w:t>potwierdzającymi, że roboty zostały wykonane zgodnie z zasadami sztuki budowlanej i prawidłowo ukończone (np. referencje)</w:t>
            </w:r>
            <w:r w:rsidRPr="00A44DB1">
              <w:rPr>
                <w:color w:val="000000"/>
              </w:rPr>
              <w:t>.</w:t>
            </w:r>
          </w:p>
          <w:p w14:paraId="68528ECF" w14:textId="77777777" w:rsidR="00D21A59" w:rsidRPr="00A44DB1" w:rsidRDefault="00D21A59" w:rsidP="00D21A59">
            <w:pPr>
              <w:spacing w:line="276" w:lineRule="auto"/>
              <w:jc w:val="both"/>
              <w:rPr>
                <w:color w:val="000000"/>
              </w:rPr>
            </w:pPr>
          </w:p>
          <w:p w14:paraId="423D7710" w14:textId="77777777" w:rsidR="00D21A59" w:rsidRPr="00A44DB1" w:rsidRDefault="00D21A59" w:rsidP="00D21A59">
            <w:pPr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>Zamawiający</w:t>
            </w:r>
            <w:r w:rsidRPr="00A44DB1">
              <w:rPr>
                <w:b/>
                <w:color w:val="000000"/>
              </w:rPr>
              <w:t xml:space="preserve"> </w:t>
            </w:r>
            <w:r w:rsidRPr="00A44DB1">
              <w:rPr>
                <w:b/>
                <w:color w:val="000000"/>
                <w:u w:val="single"/>
              </w:rPr>
              <w:t>wymaga</w:t>
            </w:r>
            <w:r w:rsidRPr="00A44DB1">
              <w:rPr>
                <w:b/>
                <w:color w:val="000000"/>
              </w:rPr>
              <w:t>,</w:t>
            </w:r>
            <w:r w:rsidRPr="00A44DB1">
              <w:rPr>
                <w:color w:val="000000"/>
              </w:rPr>
              <w:t xml:space="preserve"> aby </w:t>
            </w:r>
            <w:r w:rsidRPr="00A44DB1">
              <w:rPr>
                <w:b/>
              </w:rPr>
              <w:t xml:space="preserve">ww. zakres </w:t>
            </w:r>
            <w:r w:rsidRPr="00A44DB1">
              <w:rPr>
                <w:color w:val="000000"/>
              </w:rPr>
              <w:t>był wykonany w ramach jednego zadania/ zlecenia/ zamówienia/inwestycji.</w:t>
            </w:r>
          </w:p>
          <w:p w14:paraId="4B0D6ED0" w14:textId="77777777" w:rsidR="00D21A59" w:rsidRPr="00A44DB1" w:rsidRDefault="00D21A59" w:rsidP="00D21A59">
            <w:pPr>
              <w:jc w:val="both"/>
              <w:rPr>
                <w:b/>
                <w:color w:val="000000"/>
              </w:rPr>
            </w:pPr>
          </w:p>
          <w:p w14:paraId="5D60FEC6" w14:textId="77777777" w:rsidR="00D21A59" w:rsidRDefault="00D21A59" w:rsidP="00D21A59">
            <w:pPr>
              <w:contextualSpacing/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>Poprzez sformułowania:</w:t>
            </w:r>
          </w:p>
          <w:p w14:paraId="6D1ACA45" w14:textId="77777777" w:rsidR="00D21A59" w:rsidRPr="00A44DB1" w:rsidRDefault="00D21A59" w:rsidP="00D21A59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- „remont”</w:t>
            </w:r>
          </w:p>
          <w:p w14:paraId="37CE98D3" w14:textId="77777777" w:rsidR="00D21A59" w:rsidRPr="00A44DB1" w:rsidRDefault="00D21A59" w:rsidP="00D21A59">
            <w:pPr>
              <w:contextualSpacing/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>- „budowa”</w:t>
            </w:r>
          </w:p>
          <w:p w14:paraId="0BC9B5E4" w14:textId="77777777" w:rsidR="00D21A59" w:rsidRPr="00A44DB1" w:rsidRDefault="00D21A59" w:rsidP="00D21A59">
            <w:pPr>
              <w:contextualSpacing/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>- „przebudowa”</w:t>
            </w:r>
          </w:p>
          <w:p w14:paraId="54539A22" w14:textId="77777777" w:rsidR="00D21A59" w:rsidRPr="00A44DB1" w:rsidRDefault="00D21A59" w:rsidP="00D21A59">
            <w:pPr>
              <w:jc w:val="both"/>
              <w:rPr>
                <w:color w:val="000000"/>
              </w:rPr>
            </w:pPr>
            <w:r w:rsidRPr="00A44DB1">
              <w:rPr>
                <w:color w:val="000000"/>
              </w:rPr>
              <w:t xml:space="preserve"> Zamawiający rozumie definicje zgodne z określonymi w „Ustawie Prawo budowlane”.</w:t>
            </w:r>
          </w:p>
          <w:p w14:paraId="374F4CCC" w14:textId="77777777" w:rsidR="00D21A59" w:rsidRPr="00EF4E53" w:rsidRDefault="00D21A59" w:rsidP="00EF4E53">
            <w:pPr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9E1376" w:rsidRPr="00A639C4" w:rsidRDefault="009E1376" w:rsidP="009E1376">
            <w:pPr>
              <w:jc w:val="both"/>
            </w:pPr>
          </w:p>
          <w:p w14:paraId="223CD280" w14:textId="6A529609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</w:t>
            </w:r>
            <w:r w:rsidR="00D136C6">
              <w:t xml:space="preserve">                         </w:t>
            </w:r>
            <w:r w:rsidRPr="00A639C4">
              <w:t xml:space="preserve">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6B2FF083" w:rsidR="009E1376" w:rsidRPr="00A639C4" w:rsidRDefault="009E1376" w:rsidP="009E1376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</w:t>
            </w:r>
            <w:r w:rsidR="00D136C6">
              <w:t xml:space="preserve">                     </w:t>
            </w:r>
            <w:r w:rsidRPr="00A639C4">
              <w:t xml:space="preserve">w postępowaniu oraz o braku podstaw do wykluczenia z postępowania (art. 125 </w:t>
            </w:r>
            <w:r w:rsidR="00D136C6">
              <w:t xml:space="preserve">                     </w:t>
            </w:r>
            <w:r w:rsidRPr="00A639C4">
              <w:t xml:space="preserve">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292AB087" w14:textId="77777777" w:rsidR="00D136C6" w:rsidRPr="00A639C4" w:rsidRDefault="00D136C6" w:rsidP="009E1376">
            <w:pPr>
              <w:jc w:val="both"/>
            </w:pPr>
          </w:p>
          <w:p w14:paraId="5AEDD973" w14:textId="2E930664" w:rsidR="009E1376" w:rsidRDefault="009E1376" w:rsidP="009E1376">
            <w:pPr>
              <w:jc w:val="both"/>
              <w:rPr>
                <w:u w:val="single"/>
              </w:rPr>
            </w:pPr>
            <w:r w:rsidRPr="00A639C4">
              <w:t xml:space="preserve">Na podstawie art. 273 ust 1pkt  2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056786C3" w14:textId="77777777" w:rsidR="00EE3D9B" w:rsidRDefault="00EE3D9B" w:rsidP="009E1376">
            <w:pPr>
              <w:jc w:val="both"/>
              <w:rPr>
                <w:u w:val="single"/>
              </w:rPr>
            </w:pPr>
          </w:p>
          <w:p w14:paraId="37F7B409" w14:textId="77777777" w:rsidR="00D32690" w:rsidRPr="00A639C4" w:rsidRDefault="00D32690" w:rsidP="00D32690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 xml:space="preserve">wykazu robót budowlanych </w:t>
            </w:r>
            <w:r w:rsidRPr="00A639C4">
              <w:t xml:space="preserve">wykonanych nie wcześniej niż w </w:t>
            </w:r>
            <w:r>
              <w:rPr>
                <w:b/>
              </w:rPr>
              <w:t>okresie ostatnich 5</w:t>
            </w:r>
            <w:r w:rsidRPr="00A639C4">
              <w:rPr>
                <w:b/>
              </w:rPr>
              <w:t xml:space="preserve"> lat</w:t>
            </w:r>
            <w:r w:rsidRPr="00A639C4">
              <w:t xml:space="preserve">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</w:t>
            </w:r>
          </w:p>
          <w:p w14:paraId="16DC984C" w14:textId="77777777" w:rsidR="00EF4E53" w:rsidRDefault="00EF4E53" w:rsidP="009E1376">
            <w:pPr>
              <w:jc w:val="both"/>
            </w:pPr>
          </w:p>
          <w:p w14:paraId="08982AA0" w14:textId="196D7EF3" w:rsidR="009E1376" w:rsidRPr="00A639C4" w:rsidRDefault="009E1376" w:rsidP="009E1376">
            <w:pPr>
              <w:jc w:val="both"/>
            </w:pPr>
            <w:r w:rsidRPr="00A639C4">
              <w:lastRenderedPageBreak/>
              <w:t xml:space="preserve">Wzory wykazów i oświadczeń o których mowa powyżej znajdują się na stronie internetowej Zamawiającego pod adresem </w:t>
            </w:r>
            <w:hyperlink r:id="rId10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9E1376" w:rsidRPr="00A639C4" w:rsidRDefault="009E1376" w:rsidP="008F6691">
            <w:pPr>
              <w:jc w:val="both"/>
              <w:rPr>
                <w:b/>
              </w:rPr>
            </w:pP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413C035" w14:textId="51B952E8" w:rsidR="00B44348" w:rsidRPr="00B44348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B44348" w:rsidRPr="00A639C4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5885510" w14:textId="77777777" w:rsidR="00706B12" w:rsidRPr="00A639C4" w:rsidRDefault="00706B12" w:rsidP="009E1376">
            <w:pPr>
              <w:jc w:val="both"/>
            </w:pPr>
          </w:p>
          <w:p w14:paraId="0F4268FA" w14:textId="7104029D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14:paraId="0244DC21" w14:textId="77777777" w:rsidR="009E1376" w:rsidRPr="00A639C4" w:rsidRDefault="009E1376" w:rsidP="00EA2042">
            <w:pPr>
              <w:spacing w:after="200" w:line="276" w:lineRule="auto"/>
              <w:contextualSpacing/>
              <w:jc w:val="both"/>
              <w:rPr>
                <w:b/>
              </w:rPr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2D6C30E9" w14:textId="77777777" w:rsidR="009E1376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  <w:p w14:paraId="2A9D389B" w14:textId="77777777" w:rsidR="00784718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  <w:p w14:paraId="56A0F0A4" w14:textId="77777777" w:rsidR="00784718" w:rsidRPr="00A639C4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C7323CA" w14:textId="2CFF28A7" w:rsidR="009E1376" w:rsidRPr="00A639C4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</w:t>
            </w:r>
            <w:r w:rsidR="000239C6">
              <w:rPr>
                <w:b/>
                <w:color w:val="000000"/>
                <w:u w:val="single"/>
              </w:rPr>
              <w:t xml:space="preserve"> na formularzu ofertowym</w:t>
            </w:r>
            <w:r w:rsidRPr="00A639C4">
              <w:rPr>
                <w:b/>
                <w:color w:val="000000"/>
                <w:u w:val="single"/>
              </w:rPr>
              <w:t xml:space="preserve"> jest zobowiązany złożyć:</w:t>
            </w:r>
          </w:p>
          <w:p w14:paraId="2830DC85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75888F83" w14:textId="3BA11918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12F69372" w14:textId="17879ED0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>);</w:t>
            </w:r>
          </w:p>
          <w:p w14:paraId="7ECDAD19" w14:textId="27648E73" w:rsidR="009E1376" w:rsidRPr="00A16DF0" w:rsidRDefault="009E1376" w:rsidP="00A16DF0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kosztorys ofertowy</w:t>
            </w:r>
            <w:r w:rsidRPr="00A16DF0">
              <w:rPr>
                <w:color w:val="000000"/>
              </w:rPr>
              <w:t xml:space="preserve"> </w:t>
            </w:r>
            <w:r w:rsidR="00FA253B" w:rsidRPr="00A16DF0">
              <w:rPr>
                <w:color w:val="000000"/>
              </w:rPr>
              <w:t xml:space="preserve">   </w:t>
            </w:r>
          </w:p>
          <w:p w14:paraId="337681CF" w14:textId="77777777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7F7AAA15" w14:textId="6CF6F937" w:rsidR="009E1376" w:rsidRPr="000239C6" w:rsidRDefault="009E1376" w:rsidP="000239C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FB6BEBB" w14:textId="77777777" w:rsidR="009E1376" w:rsidRPr="00A639C4" w:rsidRDefault="009E1376" w:rsidP="009E1376">
            <w:pPr>
              <w:ind w:left="720"/>
              <w:jc w:val="both"/>
            </w:pPr>
          </w:p>
          <w:p w14:paraId="40BFC494" w14:textId="16581E20" w:rsidR="009E1376" w:rsidRPr="000239C6" w:rsidRDefault="009E1376" w:rsidP="009E1376">
            <w:pPr>
              <w:jc w:val="both"/>
              <w:rPr>
                <w:b/>
              </w:rPr>
            </w:pPr>
            <w:r w:rsidRPr="00A639C4">
              <w:t xml:space="preserve">Zamawiający </w:t>
            </w:r>
            <w:r w:rsidR="00A16DF0" w:rsidRPr="00A16DF0">
              <w:rPr>
                <w:b/>
                <w:u w:val="single"/>
              </w:rPr>
              <w:t xml:space="preserve">nie </w:t>
            </w:r>
            <w:r w:rsidRPr="00A16DF0">
              <w:rPr>
                <w:b/>
                <w:u w:val="single"/>
              </w:rPr>
              <w:t>przewiduje</w:t>
            </w:r>
            <w:r w:rsidRPr="00A639C4">
              <w:rPr>
                <w:b/>
                <w:u w:val="single"/>
              </w:rPr>
              <w:t xml:space="preserve"> </w:t>
            </w:r>
            <w:r w:rsidR="00A16DF0">
              <w:t xml:space="preserve"> </w:t>
            </w:r>
            <w:r w:rsidRPr="00A639C4">
              <w:t>obowiązk</w:t>
            </w:r>
            <w:r w:rsidR="00A16DF0">
              <w:t>u</w:t>
            </w:r>
            <w:r w:rsidRPr="00A639C4">
              <w:t xml:space="preserve"> wniesienia wadium </w:t>
            </w:r>
          </w:p>
          <w:p w14:paraId="1675E3B7" w14:textId="77777777" w:rsidR="009E1376" w:rsidRPr="00A639C4" w:rsidRDefault="009E1376" w:rsidP="000239C6">
            <w:pPr>
              <w:jc w:val="both"/>
              <w:rPr>
                <w:b/>
              </w:rPr>
            </w:pPr>
          </w:p>
        </w:tc>
      </w:tr>
      <w:tr w:rsidR="0075264D" w:rsidRPr="00A639C4" w14:paraId="6383B0A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8B9A715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0AE230E" w14:textId="6C91639A" w:rsidR="00784718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  <w:p w14:paraId="15B330DA" w14:textId="5E42C54A" w:rsidR="0075264D" w:rsidRPr="00784718" w:rsidRDefault="0075264D" w:rsidP="00784718">
            <w:pPr>
              <w:tabs>
                <w:tab w:val="left" w:pos="958"/>
              </w:tabs>
            </w:pPr>
          </w:p>
        </w:tc>
      </w:tr>
      <w:tr w:rsidR="0075264D" w:rsidRPr="00A639C4" w14:paraId="77F13A21" w14:textId="77777777" w:rsidTr="0075264D">
        <w:tc>
          <w:tcPr>
            <w:tcW w:w="1384" w:type="dxa"/>
            <w:shd w:val="clear" w:color="auto" w:fill="auto"/>
          </w:tcPr>
          <w:p w14:paraId="68896D38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CF6C656" w14:textId="33B89F56" w:rsidR="0075264D" w:rsidRPr="00A639C4" w:rsidRDefault="0075264D" w:rsidP="0075264D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DC3AE0">
              <w:rPr>
                <w:rFonts w:eastAsia="Calibri"/>
                <w:b/>
              </w:rPr>
              <w:t>13</w:t>
            </w:r>
            <w:r w:rsidRPr="000239C6">
              <w:rPr>
                <w:b/>
              </w:rPr>
              <w:t>.</w:t>
            </w:r>
            <w:r w:rsidR="000239C6">
              <w:rPr>
                <w:b/>
              </w:rPr>
              <w:t>0</w:t>
            </w:r>
            <w:r w:rsidR="00DC3AE0">
              <w:rPr>
                <w:b/>
              </w:rPr>
              <w:t>9</w:t>
            </w:r>
            <w:r w:rsidR="00A16DF0">
              <w:rPr>
                <w:b/>
              </w:rPr>
              <w:t>.2024r.  godz. 09:00</w:t>
            </w:r>
          </w:p>
          <w:p w14:paraId="0F14F764" w14:textId="4D4E7424" w:rsidR="0075264D" w:rsidRDefault="0075264D" w:rsidP="000239C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DC3AE0">
              <w:rPr>
                <w:rFonts w:eastAsia="Calibri"/>
                <w:b/>
              </w:rPr>
              <w:t>13</w:t>
            </w:r>
            <w:r w:rsidR="000239C6" w:rsidRPr="000239C6">
              <w:rPr>
                <w:b/>
              </w:rPr>
              <w:t>.</w:t>
            </w:r>
            <w:r w:rsidR="000239C6">
              <w:rPr>
                <w:b/>
              </w:rPr>
              <w:t>0</w:t>
            </w:r>
            <w:r w:rsidR="00DC3AE0">
              <w:rPr>
                <w:b/>
              </w:rPr>
              <w:t>9</w:t>
            </w:r>
            <w:r w:rsidR="000239C6">
              <w:rPr>
                <w:b/>
              </w:rPr>
              <w:t>.2024r.  godz. 09:15</w:t>
            </w:r>
          </w:p>
          <w:p w14:paraId="25FBFEB6" w14:textId="77777777" w:rsidR="0075264D" w:rsidRDefault="0075264D" w:rsidP="0075264D">
            <w:pPr>
              <w:tabs>
                <w:tab w:val="left" w:pos="408"/>
              </w:tabs>
              <w:spacing w:before="60" w:after="60"/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  <w:p w14:paraId="7B2FE857" w14:textId="5996F3D4" w:rsidR="000239C6" w:rsidRPr="00A639C4" w:rsidRDefault="000239C6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75264D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75264D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031EB78F" w:rsidR="0075264D" w:rsidRPr="000239C6" w:rsidRDefault="0075264D" w:rsidP="00DC3AE0">
            <w:pPr>
              <w:tabs>
                <w:tab w:val="left" w:pos="408"/>
              </w:tabs>
              <w:spacing w:before="120" w:after="120"/>
              <w:rPr>
                <w:b/>
              </w:rPr>
            </w:pPr>
            <w:r w:rsidRPr="00A639C4">
              <w:t xml:space="preserve">Termin związania ofertą </w:t>
            </w:r>
            <w:r w:rsidR="000239C6" w:rsidRPr="000239C6">
              <w:rPr>
                <w:b/>
              </w:rPr>
              <w:t xml:space="preserve">– </w:t>
            </w:r>
            <w:r w:rsidR="00DC3AE0">
              <w:rPr>
                <w:b/>
              </w:rPr>
              <w:t>12.10</w:t>
            </w:r>
            <w:r w:rsidR="000239C6" w:rsidRPr="000239C6">
              <w:rPr>
                <w:b/>
              </w:rPr>
              <w:t>.2024r.</w:t>
            </w:r>
          </w:p>
        </w:tc>
      </w:tr>
      <w:tr w:rsidR="0075264D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75264D" w:rsidRPr="00A639C4" w:rsidRDefault="0075264D" w:rsidP="0075264D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75264D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759ABF1" w14:textId="77777777" w:rsidR="0075264D" w:rsidRPr="00A639C4" w:rsidRDefault="0075264D" w:rsidP="0075264D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120"/>
              <w:ind w:left="425" w:hanging="425"/>
              <w:jc w:val="both"/>
            </w:pPr>
            <w:r w:rsidRPr="00A639C4">
              <w:t>Przy wyborze najkorzystniejszej oferty Zamawiający będzie się kierował następującymi kryteriami oceny ofert:</w:t>
            </w:r>
          </w:p>
          <w:p w14:paraId="46262FF1" w14:textId="27063ED6" w:rsidR="0075264D" w:rsidRPr="00A639C4" w:rsidRDefault="0075264D" w:rsidP="0075264D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</w:pPr>
            <w:r w:rsidRPr="00A639C4">
              <w:rPr>
                <w:b/>
              </w:rPr>
              <w:t>Cena (C)</w:t>
            </w:r>
            <w:r w:rsidRPr="00A639C4">
              <w:t xml:space="preserve"> – waga kryterium 60 %;</w:t>
            </w:r>
          </w:p>
          <w:p w14:paraId="4209FFE6" w14:textId="34336B9F" w:rsidR="0075264D" w:rsidRPr="00A639C4" w:rsidRDefault="0075264D" w:rsidP="0075264D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</w:pPr>
            <w:r w:rsidRPr="00A639C4">
              <w:rPr>
                <w:b/>
              </w:rPr>
              <w:t xml:space="preserve">Kryterium jakościowe – okres gwarancji </w:t>
            </w:r>
            <w:r w:rsidRPr="00784718">
              <w:rPr>
                <w:b/>
              </w:rPr>
              <w:t>i rękojmi</w:t>
            </w:r>
            <w:r w:rsidRPr="00784718">
              <w:t xml:space="preserve"> </w:t>
            </w:r>
            <w:r w:rsidRPr="00784718">
              <w:rPr>
                <w:caps/>
              </w:rPr>
              <w:t xml:space="preserve"> </w:t>
            </w:r>
            <w:r w:rsidRPr="00A639C4">
              <w:t>– waga kryterium 40 %.</w:t>
            </w:r>
          </w:p>
          <w:p w14:paraId="7F7CA0B1" w14:textId="701F8B08" w:rsidR="0075264D" w:rsidRPr="00A639C4" w:rsidRDefault="0075264D" w:rsidP="0075264D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A639C4">
              <w:tab/>
              <w:t>Zasady oceny ofert w poszczególnych kryteriach:</w:t>
            </w:r>
          </w:p>
          <w:p w14:paraId="6B2DB32A" w14:textId="30005C3A" w:rsidR="0075264D" w:rsidRPr="00A639C4" w:rsidRDefault="0075264D" w:rsidP="0075264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240"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Cena (C) – waga kryterium 60 %</w:t>
            </w:r>
          </w:p>
          <w:p w14:paraId="533F3EAE" w14:textId="7E9FC81F" w:rsidR="0075264D" w:rsidRPr="00A639C4" w:rsidRDefault="0075264D" w:rsidP="0075264D">
            <w:pPr>
              <w:pStyle w:val="Akapitzlist"/>
              <w:spacing w:before="240"/>
              <w:ind w:left="1452"/>
              <w:rPr>
                <w:b/>
              </w:rPr>
            </w:pPr>
            <w:r w:rsidRPr="00A639C4">
              <w:rPr>
                <w:b/>
              </w:rPr>
              <w:t xml:space="preserve">cena najniższa brutto </w:t>
            </w:r>
            <w:r w:rsidRPr="00A639C4">
              <w:rPr>
                <w:b/>
              </w:rPr>
              <w:br/>
              <w:t xml:space="preserve">spośród wszystkich złożonych ofert </w:t>
            </w:r>
            <w:r w:rsidRPr="00A639C4">
              <w:rPr>
                <w:b/>
              </w:rPr>
              <w:br/>
              <w:t>niepodlegających odrzuceniu</w:t>
            </w:r>
          </w:p>
          <w:p w14:paraId="3C546CC2" w14:textId="15838977" w:rsidR="0075264D" w:rsidRPr="00A639C4" w:rsidRDefault="0075264D" w:rsidP="0075264D">
            <w:pPr>
              <w:pStyle w:val="Akapitzlist"/>
              <w:ind w:left="1080"/>
              <w:jc w:val="both"/>
            </w:pPr>
            <w:r w:rsidRPr="00A639C4">
              <w:rPr>
                <w:b/>
              </w:rPr>
              <w:t>C =</w:t>
            </w:r>
            <w:r w:rsidRPr="00A639C4">
              <w:t xml:space="preserve"> </w:t>
            </w:r>
            <w:r w:rsidRPr="00A639C4">
              <w:rPr>
                <w:strike/>
              </w:rPr>
              <w:t xml:space="preserve">------------------------------------------------ </w:t>
            </w:r>
            <w:r w:rsidRPr="00A639C4">
              <w:t xml:space="preserve">  </w:t>
            </w:r>
            <w:r w:rsidRPr="00A639C4">
              <w:rPr>
                <w:b/>
              </w:rPr>
              <w:t>x 100 pkt x 60 %</w:t>
            </w:r>
          </w:p>
          <w:p w14:paraId="0DDD1643" w14:textId="77777777" w:rsidR="0075264D" w:rsidRPr="00A639C4" w:rsidRDefault="0075264D" w:rsidP="0075264D">
            <w:pPr>
              <w:pStyle w:val="Akapitzlist"/>
              <w:ind w:left="1452"/>
              <w:jc w:val="both"/>
              <w:rPr>
                <w:b/>
              </w:rPr>
            </w:pPr>
            <w:r w:rsidRPr="00A639C4">
              <w:rPr>
                <w:b/>
              </w:rPr>
              <w:t>cena oferty ocenianej brutto</w:t>
            </w:r>
          </w:p>
          <w:p w14:paraId="586251D2" w14:textId="34F02714" w:rsidR="0075264D" w:rsidRPr="00A639C4" w:rsidRDefault="0075264D" w:rsidP="0075264D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A639C4">
              <w:t>Podstawą przyznania punktów w kryterium „cena” będzie cena ofertowa brutto podana przez Wykonawcę w Formularzu Ofertowym.</w:t>
            </w:r>
          </w:p>
          <w:p w14:paraId="4EE9CC51" w14:textId="21D6119A" w:rsidR="0075264D" w:rsidRDefault="0075264D" w:rsidP="0075264D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 xml:space="preserve">Cena ofertowa brutto musi uwzględniać wszelkie koszty jakie Wykonawca poniesie </w:t>
            </w:r>
            <w:r w:rsidR="00F828F3">
              <w:t xml:space="preserve">                  </w:t>
            </w:r>
            <w:r w:rsidRPr="00A639C4">
              <w:t>w związku z realizacją przedmiotu zamówienia.</w:t>
            </w:r>
          </w:p>
          <w:p w14:paraId="1128D58A" w14:textId="77777777" w:rsidR="007C6877" w:rsidRPr="00A639C4" w:rsidRDefault="007C6877" w:rsidP="0075264D">
            <w:pPr>
              <w:widowControl/>
              <w:autoSpaceDE/>
              <w:autoSpaceDN/>
              <w:adjustRightInd/>
              <w:contextualSpacing/>
              <w:jc w:val="both"/>
            </w:pPr>
          </w:p>
          <w:p w14:paraId="7A500FE5" w14:textId="77777777" w:rsidR="0075264D" w:rsidRPr="00A639C4" w:rsidRDefault="0075264D" w:rsidP="0075264D">
            <w:pPr>
              <w:pStyle w:val="Akapitzlist"/>
              <w:widowControl/>
              <w:autoSpaceDE/>
              <w:autoSpaceDN/>
              <w:adjustRightInd/>
              <w:ind w:left="1358"/>
              <w:contextualSpacing/>
              <w:jc w:val="both"/>
            </w:pPr>
          </w:p>
          <w:p w14:paraId="6C7EC78A" w14:textId="18DED771" w:rsidR="0075264D" w:rsidRPr="00A639C4" w:rsidRDefault="0075264D" w:rsidP="0075264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Kryterium jakościowe – okres gwarancji i rękojmi</w:t>
            </w:r>
            <w:r w:rsidRPr="00A639C4">
              <w:t xml:space="preserve">  </w:t>
            </w:r>
            <w:r w:rsidRPr="00A639C4">
              <w:rPr>
                <w:caps/>
              </w:rPr>
              <w:t xml:space="preserve"> </w:t>
            </w:r>
            <w:r w:rsidRPr="00A639C4">
              <w:rPr>
                <w:b/>
              </w:rPr>
              <w:t>– waga kryterium 40 %</w:t>
            </w:r>
          </w:p>
          <w:p w14:paraId="045A707D" w14:textId="77777777" w:rsidR="0075264D" w:rsidRDefault="0075264D" w:rsidP="0075264D">
            <w:pPr>
              <w:widowControl/>
              <w:rPr>
                <w:rFonts w:eastAsiaTheme="minorHAnsi"/>
                <w:lang w:eastAsia="en-US"/>
              </w:rPr>
            </w:pPr>
          </w:p>
          <w:p w14:paraId="60125AFA" w14:textId="77777777" w:rsidR="0075264D" w:rsidRPr="00A639C4" w:rsidRDefault="0075264D" w:rsidP="0075264D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14:paraId="3B3902BC" w14:textId="77777777" w:rsidR="0075264D" w:rsidRDefault="0075264D" w:rsidP="0075264D">
            <w:pPr>
              <w:jc w:val="both"/>
            </w:pPr>
            <w:r w:rsidRPr="00A639C4">
              <w:t>W tym kryterium zostanie przyznana następująca liczba punktów:</w:t>
            </w:r>
          </w:p>
          <w:p w14:paraId="55C924C2" w14:textId="77777777" w:rsidR="00447E2E" w:rsidRPr="00A639C4" w:rsidRDefault="00447E2E" w:rsidP="0075264D">
            <w:pPr>
              <w:jc w:val="both"/>
            </w:pPr>
          </w:p>
          <w:p w14:paraId="152ABEF1" w14:textId="77777777" w:rsidR="0075264D" w:rsidRPr="00A639C4" w:rsidRDefault="0075264D" w:rsidP="0075264D">
            <w:pPr>
              <w:ind w:left="851"/>
              <w:jc w:val="both"/>
            </w:pPr>
          </w:p>
          <w:tbl>
            <w:tblPr>
              <w:tblW w:w="6240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75264D" w:rsidRPr="00A639C4" w14:paraId="0F5BCA5F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EBD275" w14:textId="77777777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8F5A11B" w14:textId="3FD1DF77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Nazwa kryterium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325109" w14:textId="77777777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punkty</w:t>
                  </w:r>
                </w:p>
              </w:tc>
            </w:tr>
            <w:tr w:rsidR="0075264D" w:rsidRPr="00A639C4" w14:paraId="56B415F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6F5AFA" w14:textId="77777777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1.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2190F" w14:textId="66F860DF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EE3D9B">
                    <w:rPr>
                      <w:b/>
                      <w:bCs/>
                    </w:rPr>
                    <w:t>3</w:t>
                  </w:r>
                  <w:r w:rsidRPr="00A639C4">
                    <w:rPr>
                      <w:bCs/>
                    </w:rPr>
                    <w:t xml:space="preserve"> lat</w:t>
                  </w:r>
                  <w:r w:rsidR="00727B3D">
                    <w:rPr>
                      <w:bCs/>
                    </w:rPr>
                    <w:t>a</w:t>
                  </w:r>
                  <w:r w:rsidRPr="00A639C4"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85866" w14:textId="290D3BA1" w:rsidR="0075264D" w:rsidRPr="00A639C4" w:rsidRDefault="00F828F3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 </w:t>
                  </w:r>
                  <w:r w:rsidR="0075264D" w:rsidRPr="00A639C4">
                    <w:rPr>
                      <w:bCs/>
                    </w:rPr>
                    <w:t>pkt.</w:t>
                  </w:r>
                </w:p>
              </w:tc>
            </w:tr>
            <w:tr w:rsidR="0075264D" w:rsidRPr="00A639C4" w14:paraId="71D8E07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ADD66" w14:textId="77777777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2.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CC6EE3" w14:textId="0114FD1A" w:rsidR="0075264D" w:rsidRPr="00A639C4" w:rsidRDefault="0075264D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EE3D9B">
                    <w:rPr>
                      <w:b/>
                      <w:bCs/>
                    </w:rPr>
                    <w:t>4</w:t>
                  </w:r>
                  <w:r w:rsidRPr="00F828F3">
                    <w:rPr>
                      <w:b/>
                      <w:bCs/>
                    </w:rPr>
                    <w:t xml:space="preserve"> </w:t>
                  </w:r>
                  <w:r w:rsidRPr="00A639C4">
                    <w:rPr>
                      <w:bCs/>
                    </w:rPr>
                    <w:t>lat</w:t>
                  </w:r>
                  <w:r w:rsidR="00EE3D9B">
                    <w:rPr>
                      <w:bCs/>
                    </w:rPr>
                    <w:t>a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6FCB1" w14:textId="17B060E2" w:rsidR="0075264D" w:rsidRPr="00A639C4" w:rsidRDefault="00F828F3" w:rsidP="00FC12E4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40</w:t>
                  </w:r>
                  <w:r w:rsidR="0075264D" w:rsidRPr="00A639C4">
                    <w:rPr>
                      <w:bCs/>
                    </w:rPr>
                    <w:t xml:space="preserve"> pkt.</w:t>
                  </w:r>
                </w:p>
              </w:tc>
            </w:tr>
          </w:tbl>
          <w:p w14:paraId="0F700259" w14:textId="77777777" w:rsidR="00A16DF0" w:rsidRPr="00A639C4" w:rsidRDefault="00A16DF0" w:rsidP="00F828F3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5264D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75264D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6C394D0" w14:textId="61A93A6E" w:rsidR="0075264D" w:rsidRDefault="00A16DF0" w:rsidP="00A16DF0">
            <w:pPr>
              <w:jc w:val="both"/>
              <w:rPr>
                <w:b/>
                <w:bCs/>
              </w:rPr>
            </w:pPr>
            <w:r w:rsidRPr="00A16DF0">
              <w:t xml:space="preserve">Zamawiający </w:t>
            </w:r>
            <w:r w:rsidRPr="00A16DF0">
              <w:rPr>
                <w:b/>
              </w:rPr>
              <w:t>nie przewiduje</w:t>
            </w:r>
            <w:r w:rsidRPr="00A16DF0">
              <w:t xml:space="preserve"> obowiązku wniesienia zabezpiecz</w:t>
            </w:r>
            <w:r>
              <w:t>enia należytego wykonania umowy</w:t>
            </w:r>
            <w:r w:rsidR="00B74454">
              <w:t>.</w:t>
            </w:r>
          </w:p>
          <w:p w14:paraId="6FEBA61A" w14:textId="41CB13CE" w:rsidR="00A16DF0" w:rsidRPr="00A16DF0" w:rsidRDefault="00A16DF0" w:rsidP="00A16DF0">
            <w:pPr>
              <w:jc w:val="both"/>
              <w:rPr>
                <w:b/>
                <w:bCs/>
              </w:rPr>
            </w:pPr>
          </w:p>
        </w:tc>
      </w:tr>
      <w:tr w:rsidR="0075264D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75264D" w:rsidRPr="00A639C4" w:rsidRDefault="0075264D" w:rsidP="0075264D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75264D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86EEB18" w14:textId="062164FF" w:rsidR="0075264D" w:rsidRPr="002708A8" w:rsidRDefault="0075264D" w:rsidP="002708A8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</w:t>
            </w:r>
            <w:r w:rsidRPr="00A639C4">
              <w:lastRenderedPageBreak/>
              <w:t>niezależnie od wartości tej zmiany. Zamawiający w Projektowanych postanowieniach umowy w sprawie zamówienia publicznego - ROZDZIAŁ IV SWZ umieszcza jasne, precyzyjne i jednoznaczne postanowienia umowne, które obejmują postanowienia dotyczące zasad wprowadzania zmian.</w:t>
            </w:r>
          </w:p>
        </w:tc>
      </w:tr>
      <w:tr w:rsidR="0075264D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75264D" w:rsidRPr="00A639C4" w:rsidRDefault="0075264D" w:rsidP="0075264D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75264D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941692" w14:textId="77777777" w:rsidR="00447E2E" w:rsidRDefault="00447E2E" w:rsidP="0075264D">
            <w:pPr>
              <w:jc w:val="both"/>
            </w:pPr>
          </w:p>
          <w:p w14:paraId="6D9EB30F" w14:textId="4A2C2F6D" w:rsidR="0075264D" w:rsidRPr="00A639C4" w:rsidRDefault="0075264D" w:rsidP="0075264D">
            <w:pPr>
              <w:jc w:val="both"/>
            </w:pPr>
            <w:r w:rsidRPr="00A639C4">
              <w:t>Do komunikowania się z wykonawcami uprawnione są następujące osoby:</w:t>
            </w:r>
          </w:p>
          <w:p w14:paraId="6C32AEAF" w14:textId="77777777" w:rsidR="00447E2E" w:rsidRDefault="00447E2E" w:rsidP="0075264D">
            <w:pPr>
              <w:jc w:val="both"/>
              <w:rPr>
                <w:b/>
              </w:rPr>
            </w:pPr>
          </w:p>
          <w:p w14:paraId="7C483E08" w14:textId="77777777" w:rsidR="0075264D" w:rsidRDefault="0075264D" w:rsidP="0075264D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6F6472FF" w14:textId="77777777" w:rsidR="00447E2E" w:rsidRPr="00A639C4" w:rsidRDefault="00447E2E" w:rsidP="0075264D">
            <w:pPr>
              <w:jc w:val="both"/>
              <w:rPr>
                <w:b/>
              </w:rPr>
            </w:pPr>
          </w:p>
          <w:p w14:paraId="7A80C0BF" w14:textId="77777777" w:rsidR="0075264D" w:rsidRPr="00A639C4" w:rsidRDefault="0075264D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5E8D2C6F" w:rsidR="0075264D" w:rsidRPr="00A639C4" w:rsidRDefault="00F21049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 xml:space="preserve">Barbara Maziarz </w:t>
            </w:r>
            <w:r w:rsidRPr="00A639C4">
              <w:t>–</w:t>
            </w:r>
            <w:r w:rsidR="0075264D" w:rsidRPr="00A639C4">
              <w:t xml:space="preserve"> Sekretarz Komisji Przetargowej</w:t>
            </w:r>
          </w:p>
          <w:p w14:paraId="13DDE609" w14:textId="4F90BA66" w:rsidR="0075264D" w:rsidRPr="00A639C4" w:rsidRDefault="0075264D" w:rsidP="0075264D">
            <w:pPr>
              <w:tabs>
                <w:tab w:val="left" w:pos="408"/>
              </w:tabs>
            </w:pPr>
          </w:p>
        </w:tc>
      </w:tr>
      <w:tr w:rsidR="0075264D" w:rsidRPr="00A639C4" w14:paraId="011CBCE6" w14:textId="77777777" w:rsidTr="00621C71">
        <w:tc>
          <w:tcPr>
            <w:tcW w:w="9180" w:type="dxa"/>
            <w:gridSpan w:val="2"/>
            <w:shd w:val="clear" w:color="auto" w:fill="auto"/>
          </w:tcPr>
          <w:p w14:paraId="65BF90A3" w14:textId="068FA3EF" w:rsidR="0075264D" w:rsidRPr="00A639C4" w:rsidRDefault="0075264D" w:rsidP="0075264D">
            <w:pPr>
              <w:jc w:val="center"/>
            </w:pPr>
            <w:bookmarkStart w:id="4" w:name="_Hlk155339952"/>
            <w:r>
              <w:t>Koniec PIDP</w:t>
            </w:r>
          </w:p>
        </w:tc>
      </w:tr>
      <w:bookmarkEnd w:id="4"/>
    </w:tbl>
    <w:p w14:paraId="1D7F26FD" w14:textId="6192075A" w:rsidR="00304FB8" w:rsidRPr="000E368E" w:rsidRDefault="00304FB8" w:rsidP="00B74C3B"/>
    <w:sectPr w:rsidR="00304FB8" w:rsidRPr="000E368E" w:rsidSect="00A639C4">
      <w:headerReference w:type="default" r:id="rId11"/>
      <w:footerReference w:type="default" r:id="rId12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64DFD" w14:textId="77777777" w:rsidR="009F31CB" w:rsidRDefault="009F31CB" w:rsidP="00235CCF">
      <w:r>
        <w:separator/>
      </w:r>
    </w:p>
  </w:endnote>
  <w:endnote w:type="continuationSeparator" w:id="0">
    <w:p w14:paraId="4118C760" w14:textId="77777777" w:rsidR="009F31CB" w:rsidRDefault="009F31CB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101E2" w14:textId="6027DA47" w:rsidR="00914A8C" w:rsidRPr="0022552B" w:rsidRDefault="00914A8C">
    <w:pPr>
      <w:pStyle w:val="Stopka"/>
      <w:jc w:val="right"/>
    </w:pPr>
    <w:r>
      <w:t>(w</w:t>
    </w:r>
    <w:r w:rsidRPr="0022552B">
      <w:t>ersja</w:t>
    </w:r>
    <w:r>
      <w:t xml:space="preserve"> 3 z</w:t>
    </w:r>
    <w:r w:rsidRPr="0022552B">
      <w:t xml:space="preserve">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0B217" w14:textId="42B7A711" w:rsidR="00914A8C" w:rsidRPr="0022552B" w:rsidRDefault="00914A8C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206C23">
              <w:rPr>
                <w:b/>
                <w:bCs/>
                <w:noProof/>
              </w:rPr>
              <w:t>5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206C23">
              <w:rPr>
                <w:b/>
                <w:bCs/>
                <w:noProof/>
              </w:rPr>
              <w:t>11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914A8C" w:rsidRDefault="00914A8C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011FD" w14:textId="77777777" w:rsidR="009F31CB" w:rsidRDefault="009F31CB" w:rsidP="00235CCF">
      <w:r>
        <w:separator/>
      </w:r>
    </w:p>
  </w:footnote>
  <w:footnote w:type="continuationSeparator" w:id="0">
    <w:p w14:paraId="39880AE6" w14:textId="77777777" w:rsidR="009F31CB" w:rsidRDefault="009F31CB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914A8C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6FCACC98" w:rsidR="00914A8C" w:rsidRPr="00B74C3B" w:rsidRDefault="00914A8C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5" w:name="_Hlk125444948"/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74E0F67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6D21C088" w:rsidR="00914A8C" w:rsidRPr="00B74C3B" w:rsidRDefault="00914A8C" w:rsidP="00676B9F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>
            <w:rPr>
              <w:b/>
              <w:bCs/>
            </w:rPr>
            <w:t>W</w:t>
          </w:r>
          <w:r w:rsidR="009E2F28">
            <w:rPr>
              <w:b/>
              <w:bCs/>
            </w:rPr>
            <w:t>A</w:t>
          </w:r>
          <w:r>
            <w:rPr>
              <w:b/>
              <w:bCs/>
            </w:rPr>
            <w:t>/</w:t>
          </w:r>
          <w:r w:rsidR="00676B9F">
            <w:rPr>
              <w:b/>
              <w:bCs/>
            </w:rPr>
            <w:t>74</w:t>
          </w:r>
          <w:r>
            <w:rPr>
              <w:b/>
              <w:bCs/>
            </w:rPr>
            <w:t>/2024</w:t>
          </w:r>
        </w:p>
      </w:tc>
    </w:tr>
    <w:tr w:rsidR="00914A8C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914A8C" w:rsidRPr="00B74C3B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5"/>
  </w:tbl>
  <w:p w14:paraId="76352D6B" w14:textId="77777777" w:rsidR="00914A8C" w:rsidRPr="00B74C3B" w:rsidRDefault="00914A8C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23C61"/>
    <w:multiLevelType w:val="hybridMultilevel"/>
    <w:tmpl w:val="31108F0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7101931"/>
    <w:multiLevelType w:val="hybridMultilevel"/>
    <w:tmpl w:val="034A7F7C"/>
    <w:lvl w:ilvl="0" w:tplc="632274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38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6"/>
  </w:num>
  <w:num w:numId="4">
    <w:abstractNumId w:val="23"/>
  </w:num>
  <w:num w:numId="5">
    <w:abstractNumId w:val="14"/>
  </w:num>
  <w:num w:numId="6">
    <w:abstractNumId w:val="33"/>
  </w:num>
  <w:num w:numId="7">
    <w:abstractNumId w:val="28"/>
  </w:num>
  <w:num w:numId="8">
    <w:abstractNumId w:val="11"/>
  </w:num>
  <w:num w:numId="9">
    <w:abstractNumId w:val="7"/>
  </w:num>
  <w:num w:numId="10">
    <w:abstractNumId w:val="10"/>
  </w:num>
  <w:num w:numId="11">
    <w:abstractNumId w:val="32"/>
  </w:num>
  <w:num w:numId="12">
    <w:abstractNumId w:val="22"/>
  </w:num>
  <w:num w:numId="13">
    <w:abstractNumId w:val="39"/>
  </w:num>
  <w:num w:numId="14">
    <w:abstractNumId w:val="34"/>
  </w:num>
  <w:num w:numId="15">
    <w:abstractNumId w:val="19"/>
  </w:num>
  <w:num w:numId="16">
    <w:abstractNumId w:val="3"/>
  </w:num>
  <w:num w:numId="17">
    <w:abstractNumId w:val="36"/>
  </w:num>
  <w:num w:numId="18">
    <w:abstractNumId w:val="12"/>
  </w:num>
  <w:num w:numId="19">
    <w:abstractNumId w:val="1"/>
  </w:num>
  <w:num w:numId="20">
    <w:abstractNumId w:val="25"/>
  </w:num>
  <w:num w:numId="21">
    <w:abstractNumId w:val="2"/>
  </w:num>
  <w:num w:numId="22">
    <w:abstractNumId w:val="4"/>
  </w:num>
  <w:num w:numId="23">
    <w:abstractNumId w:val="13"/>
  </w:num>
  <w:num w:numId="24">
    <w:abstractNumId w:val="31"/>
  </w:num>
  <w:num w:numId="25">
    <w:abstractNumId w:val="27"/>
  </w:num>
  <w:num w:numId="26">
    <w:abstractNumId w:val="30"/>
  </w:num>
  <w:num w:numId="27">
    <w:abstractNumId w:val="5"/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16"/>
  </w:num>
  <w:num w:numId="31">
    <w:abstractNumId w:val="21"/>
  </w:num>
  <w:num w:numId="32">
    <w:abstractNumId w:val="24"/>
  </w:num>
  <w:num w:numId="33">
    <w:abstractNumId w:val="20"/>
  </w:num>
  <w:num w:numId="34">
    <w:abstractNumId w:val="40"/>
  </w:num>
  <w:num w:numId="35">
    <w:abstractNumId w:val="37"/>
  </w:num>
  <w:num w:numId="36">
    <w:abstractNumId w:val="38"/>
  </w:num>
  <w:num w:numId="37">
    <w:abstractNumId w:val="26"/>
  </w:num>
  <w:num w:numId="38">
    <w:abstractNumId w:val="17"/>
  </w:num>
  <w:num w:numId="39">
    <w:abstractNumId w:val="29"/>
  </w:num>
  <w:num w:numId="40">
    <w:abstractNumId w:val="0"/>
  </w:num>
  <w:num w:numId="41">
    <w:abstractNumId w:val="15"/>
  </w:num>
  <w:num w:numId="4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213B7"/>
    <w:rsid w:val="000239C6"/>
    <w:rsid w:val="00034973"/>
    <w:rsid w:val="00045E74"/>
    <w:rsid w:val="0006539D"/>
    <w:rsid w:val="00065F58"/>
    <w:rsid w:val="00071195"/>
    <w:rsid w:val="00072D2C"/>
    <w:rsid w:val="000816BE"/>
    <w:rsid w:val="00084922"/>
    <w:rsid w:val="0008508B"/>
    <w:rsid w:val="000B08D5"/>
    <w:rsid w:val="000B4C05"/>
    <w:rsid w:val="000B4F9D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23087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90335"/>
    <w:rsid w:val="00193504"/>
    <w:rsid w:val="001A1707"/>
    <w:rsid w:val="001A6986"/>
    <w:rsid w:val="001A7B19"/>
    <w:rsid w:val="001A7BAA"/>
    <w:rsid w:val="001B0BC7"/>
    <w:rsid w:val="001B4E66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E5AE7"/>
    <w:rsid w:val="001E7F66"/>
    <w:rsid w:val="001F3677"/>
    <w:rsid w:val="00206C23"/>
    <w:rsid w:val="00213EB6"/>
    <w:rsid w:val="002147E4"/>
    <w:rsid w:val="00214F88"/>
    <w:rsid w:val="002219CB"/>
    <w:rsid w:val="0022361E"/>
    <w:rsid w:val="0022552B"/>
    <w:rsid w:val="00225807"/>
    <w:rsid w:val="00226FE5"/>
    <w:rsid w:val="002275C7"/>
    <w:rsid w:val="002329F5"/>
    <w:rsid w:val="00235716"/>
    <w:rsid w:val="00235CCF"/>
    <w:rsid w:val="00242D36"/>
    <w:rsid w:val="00244510"/>
    <w:rsid w:val="00250C58"/>
    <w:rsid w:val="00255583"/>
    <w:rsid w:val="0026125D"/>
    <w:rsid w:val="00265C7D"/>
    <w:rsid w:val="002708A8"/>
    <w:rsid w:val="002709B0"/>
    <w:rsid w:val="0027230C"/>
    <w:rsid w:val="002731E2"/>
    <w:rsid w:val="00274B1B"/>
    <w:rsid w:val="0028200F"/>
    <w:rsid w:val="0028430E"/>
    <w:rsid w:val="0028668E"/>
    <w:rsid w:val="002878F2"/>
    <w:rsid w:val="002A31E4"/>
    <w:rsid w:val="002B7221"/>
    <w:rsid w:val="002C0BDE"/>
    <w:rsid w:val="002C2C0D"/>
    <w:rsid w:val="002D3583"/>
    <w:rsid w:val="002D5360"/>
    <w:rsid w:val="002D6127"/>
    <w:rsid w:val="002E0079"/>
    <w:rsid w:val="002E0E10"/>
    <w:rsid w:val="00304FB8"/>
    <w:rsid w:val="003061D7"/>
    <w:rsid w:val="0031102F"/>
    <w:rsid w:val="00311429"/>
    <w:rsid w:val="003204B6"/>
    <w:rsid w:val="00322BF1"/>
    <w:rsid w:val="00325CB4"/>
    <w:rsid w:val="00334728"/>
    <w:rsid w:val="00336A07"/>
    <w:rsid w:val="00337503"/>
    <w:rsid w:val="00340C64"/>
    <w:rsid w:val="00341A82"/>
    <w:rsid w:val="0034485C"/>
    <w:rsid w:val="00347D74"/>
    <w:rsid w:val="00351738"/>
    <w:rsid w:val="003532A1"/>
    <w:rsid w:val="003544E6"/>
    <w:rsid w:val="00357737"/>
    <w:rsid w:val="00366D86"/>
    <w:rsid w:val="003672FC"/>
    <w:rsid w:val="003847B5"/>
    <w:rsid w:val="00387614"/>
    <w:rsid w:val="0039128C"/>
    <w:rsid w:val="00393CBA"/>
    <w:rsid w:val="00394375"/>
    <w:rsid w:val="003953F4"/>
    <w:rsid w:val="003A273F"/>
    <w:rsid w:val="003A3BB8"/>
    <w:rsid w:val="003A6CA4"/>
    <w:rsid w:val="003A7019"/>
    <w:rsid w:val="003B447D"/>
    <w:rsid w:val="003C0F1E"/>
    <w:rsid w:val="003C2AEE"/>
    <w:rsid w:val="003C56BD"/>
    <w:rsid w:val="003C6953"/>
    <w:rsid w:val="003D020A"/>
    <w:rsid w:val="003D1D50"/>
    <w:rsid w:val="003D22E9"/>
    <w:rsid w:val="003E38AA"/>
    <w:rsid w:val="003E3C90"/>
    <w:rsid w:val="003E5CE7"/>
    <w:rsid w:val="003F0E4F"/>
    <w:rsid w:val="003F1745"/>
    <w:rsid w:val="003F5A3A"/>
    <w:rsid w:val="003F6CD3"/>
    <w:rsid w:val="00415327"/>
    <w:rsid w:val="004169D9"/>
    <w:rsid w:val="0041770A"/>
    <w:rsid w:val="00424E0D"/>
    <w:rsid w:val="00430759"/>
    <w:rsid w:val="0043294F"/>
    <w:rsid w:val="00435575"/>
    <w:rsid w:val="00440A52"/>
    <w:rsid w:val="0044214E"/>
    <w:rsid w:val="00443B1A"/>
    <w:rsid w:val="00444C22"/>
    <w:rsid w:val="00447E2E"/>
    <w:rsid w:val="00450F04"/>
    <w:rsid w:val="004530E7"/>
    <w:rsid w:val="00453DE6"/>
    <w:rsid w:val="00456139"/>
    <w:rsid w:val="0045749E"/>
    <w:rsid w:val="004808FC"/>
    <w:rsid w:val="004919B6"/>
    <w:rsid w:val="00493B97"/>
    <w:rsid w:val="00495ACA"/>
    <w:rsid w:val="00495B15"/>
    <w:rsid w:val="004A440C"/>
    <w:rsid w:val="004A6BC6"/>
    <w:rsid w:val="004A7A77"/>
    <w:rsid w:val="004B205A"/>
    <w:rsid w:val="004C13DA"/>
    <w:rsid w:val="004C6385"/>
    <w:rsid w:val="004D2272"/>
    <w:rsid w:val="004D402B"/>
    <w:rsid w:val="004E4A14"/>
    <w:rsid w:val="004E631D"/>
    <w:rsid w:val="004F679B"/>
    <w:rsid w:val="00500E86"/>
    <w:rsid w:val="00505683"/>
    <w:rsid w:val="00510BFD"/>
    <w:rsid w:val="00532309"/>
    <w:rsid w:val="00535B29"/>
    <w:rsid w:val="005411B1"/>
    <w:rsid w:val="00546118"/>
    <w:rsid w:val="0055496E"/>
    <w:rsid w:val="005762DB"/>
    <w:rsid w:val="00586363"/>
    <w:rsid w:val="005926B6"/>
    <w:rsid w:val="005B231D"/>
    <w:rsid w:val="005D0F64"/>
    <w:rsid w:val="005D18BA"/>
    <w:rsid w:val="005D6002"/>
    <w:rsid w:val="005D698C"/>
    <w:rsid w:val="005E58F2"/>
    <w:rsid w:val="005E70B9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767B"/>
    <w:rsid w:val="00630025"/>
    <w:rsid w:val="00630FB6"/>
    <w:rsid w:val="00633019"/>
    <w:rsid w:val="00643475"/>
    <w:rsid w:val="00647472"/>
    <w:rsid w:val="00655FAE"/>
    <w:rsid w:val="00660E1B"/>
    <w:rsid w:val="0066585A"/>
    <w:rsid w:val="00676B9F"/>
    <w:rsid w:val="00691CEC"/>
    <w:rsid w:val="00692728"/>
    <w:rsid w:val="00692ACC"/>
    <w:rsid w:val="006936D7"/>
    <w:rsid w:val="00695ECC"/>
    <w:rsid w:val="00696854"/>
    <w:rsid w:val="006A586A"/>
    <w:rsid w:val="006A7FE7"/>
    <w:rsid w:val="006B1DF3"/>
    <w:rsid w:val="006C0CA9"/>
    <w:rsid w:val="006C1752"/>
    <w:rsid w:val="006C2AC7"/>
    <w:rsid w:val="006C3181"/>
    <w:rsid w:val="006C451B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37B3"/>
    <w:rsid w:val="00715C52"/>
    <w:rsid w:val="00724EDB"/>
    <w:rsid w:val="00725114"/>
    <w:rsid w:val="00727219"/>
    <w:rsid w:val="00727B3D"/>
    <w:rsid w:val="00731C88"/>
    <w:rsid w:val="00741189"/>
    <w:rsid w:val="00742E23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15D7"/>
    <w:rsid w:val="007720E9"/>
    <w:rsid w:val="00776E02"/>
    <w:rsid w:val="00781724"/>
    <w:rsid w:val="00784718"/>
    <w:rsid w:val="007847A4"/>
    <w:rsid w:val="00791570"/>
    <w:rsid w:val="0079311F"/>
    <w:rsid w:val="00797B6F"/>
    <w:rsid w:val="007A3225"/>
    <w:rsid w:val="007A419A"/>
    <w:rsid w:val="007B5970"/>
    <w:rsid w:val="007B6D41"/>
    <w:rsid w:val="007B7294"/>
    <w:rsid w:val="007B7325"/>
    <w:rsid w:val="007B75D4"/>
    <w:rsid w:val="007C6877"/>
    <w:rsid w:val="007C6ED3"/>
    <w:rsid w:val="007D0FA9"/>
    <w:rsid w:val="007E0508"/>
    <w:rsid w:val="007E1A08"/>
    <w:rsid w:val="007E369F"/>
    <w:rsid w:val="007E61D1"/>
    <w:rsid w:val="007F18D9"/>
    <w:rsid w:val="007F6F4E"/>
    <w:rsid w:val="00801C4B"/>
    <w:rsid w:val="008029D0"/>
    <w:rsid w:val="00803B03"/>
    <w:rsid w:val="00803B2B"/>
    <w:rsid w:val="00805709"/>
    <w:rsid w:val="00805ADD"/>
    <w:rsid w:val="00807B52"/>
    <w:rsid w:val="008142B1"/>
    <w:rsid w:val="00820419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4869"/>
    <w:rsid w:val="0087222F"/>
    <w:rsid w:val="00882E7B"/>
    <w:rsid w:val="00890C36"/>
    <w:rsid w:val="00893669"/>
    <w:rsid w:val="0089722D"/>
    <w:rsid w:val="008A62FE"/>
    <w:rsid w:val="008B11D8"/>
    <w:rsid w:val="008B5BE5"/>
    <w:rsid w:val="008C417B"/>
    <w:rsid w:val="008D17A1"/>
    <w:rsid w:val="008D64CB"/>
    <w:rsid w:val="008D7044"/>
    <w:rsid w:val="008E0C69"/>
    <w:rsid w:val="008E65F2"/>
    <w:rsid w:val="008F6691"/>
    <w:rsid w:val="009008C0"/>
    <w:rsid w:val="009021D4"/>
    <w:rsid w:val="00914A8C"/>
    <w:rsid w:val="00920050"/>
    <w:rsid w:val="0093019C"/>
    <w:rsid w:val="00931EBD"/>
    <w:rsid w:val="00936769"/>
    <w:rsid w:val="009367F5"/>
    <w:rsid w:val="0094133F"/>
    <w:rsid w:val="00952BFC"/>
    <w:rsid w:val="009619B4"/>
    <w:rsid w:val="00963CA8"/>
    <w:rsid w:val="00967E45"/>
    <w:rsid w:val="00987E31"/>
    <w:rsid w:val="009906F4"/>
    <w:rsid w:val="0099406A"/>
    <w:rsid w:val="009A2D45"/>
    <w:rsid w:val="009C520F"/>
    <w:rsid w:val="009C6825"/>
    <w:rsid w:val="009E1376"/>
    <w:rsid w:val="009E2DF6"/>
    <w:rsid w:val="009E2F28"/>
    <w:rsid w:val="009E661D"/>
    <w:rsid w:val="009E7B3F"/>
    <w:rsid w:val="009F31CB"/>
    <w:rsid w:val="009F5135"/>
    <w:rsid w:val="009F7482"/>
    <w:rsid w:val="009F7C8A"/>
    <w:rsid w:val="00A13178"/>
    <w:rsid w:val="00A14FF0"/>
    <w:rsid w:val="00A16DF0"/>
    <w:rsid w:val="00A312CD"/>
    <w:rsid w:val="00A3373E"/>
    <w:rsid w:val="00A3636A"/>
    <w:rsid w:val="00A37420"/>
    <w:rsid w:val="00A42AA6"/>
    <w:rsid w:val="00A464F6"/>
    <w:rsid w:val="00A47CCE"/>
    <w:rsid w:val="00A56D35"/>
    <w:rsid w:val="00A639C4"/>
    <w:rsid w:val="00A6454D"/>
    <w:rsid w:val="00A7088C"/>
    <w:rsid w:val="00A74BE2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6102"/>
    <w:rsid w:val="00AA6471"/>
    <w:rsid w:val="00AB436A"/>
    <w:rsid w:val="00AB5590"/>
    <w:rsid w:val="00AC4ED1"/>
    <w:rsid w:val="00AC6605"/>
    <w:rsid w:val="00AC755D"/>
    <w:rsid w:val="00AC79C6"/>
    <w:rsid w:val="00AD019C"/>
    <w:rsid w:val="00AD141F"/>
    <w:rsid w:val="00AE5642"/>
    <w:rsid w:val="00AF0167"/>
    <w:rsid w:val="00B0150C"/>
    <w:rsid w:val="00B02DEE"/>
    <w:rsid w:val="00B03D3D"/>
    <w:rsid w:val="00B10C20"/>
    <w:rsid w:val="00B1334C"/>
    <w:rsid w:val="00B13A24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7BC7"/>
    <w:rsid w:val="00B67FD1"/>
    <w:rsid w:val="00B71C90"/>
    <w:rsid w:val="00B72965"/>
    <w:rsid w:val="00B74454"/>
    <w:rsid w:val="00B74C3B"/>
    <w:rsid w:val="00B7708D"/>
    <w:rsid w:val="00B80D33"/>
    <w:rsid w:val="00B83680"/>
    <w:rsid w:val="00B8507F"/>
    <w:rsid w:val="00BA4922"/>
    <w:rsid w:val="00BA4DD4"/>
    <w:rsid w:val="00BA7B93"/>
    <w:rsid w:val="00BB13EA"/>
    <w:rsid w:val="00BB313C"/>
    <w:rsid w:val="00BC2677"/>
    <w:rsid w:val="00BD2AE4"/>
    <w:rsid w:val="00BD2B22"/>
    <w:rsid w:val="00BE50F4"/>
    <w:rsid w:val="00BE7884"/>
    <w:rsid w:val="00BF1214"/>
    <w:rsid w:val="00C11DC2"/>
    <w:rsid w:val="00C12399"/>
    <w:rsid w:val="00C152B8"/>
    <w:rsid w:val="00C15AB7"/>
    <w:rsid w:val="00C16536"/>
    <w:rsid w:val="00C178B9"/>
    <w:rsid w:val="00C30CF6"/>
    <w:rsid w:val="00C368B6"/>
    <w:rsid w:val="00C47FE9"/>
    <w:rsid w:val="00C5504B"/>
    <w:rsid w:val="00C56269"/>
    <w:rsid w:val="00C72574"/>
    <w:rsid w:val="00C72982"/>
    <w:rsid w:val="00C7736E"/>
    <w:rsid w:val="00C87D25"/>
    <w:rsid w:val="00C9690F"/>
    <w:rsid w:val="00CA5F17"/>
    <w:rsid w:val="00CB1FEE"/>
    <w:rsid w:val="00CB44F6"/>
    <w:rsid w:val="00CB5219"/>
    <w:rsid w:val="00CB52EB"/>
    <w:rsid w:val="00CB6F73"/>
    <w:rsid w:val="00CB72EF"/>
    <w:rsid w:val="00CD12EF"/>
    <w:rsid w:val="00CD15C6"/>
    <w:rsid w:val="00CD2200"/>
    <w:rsid w:val="00CD55EA"/>
    <w:rsid w:val="00CF3C0C"/>
    <w:rsid w:val="00CF5590"/>
    <w:rsid w:val="00CF579B"/>
    <w:rsid w:val="00D101E2"/>
    <w:rsid w:val="00D136C6"/>
    <w:rsid w:val="00D13E8D"/>
    <w:rsid w:val="00D213B3"/>
    <w:rsid w:val="00D21A59"/>
    <w:rsid w:val="00D2377E"/>
    <w:rsid w:val="00D24FBE"/>
    <w:rsid w:val="00D262FC"/>
    <w:rsid w:val="00D32690"/>
    <w:rsid w:val="00D32FC9"/>
    <w:rsid w:val="00D33DFF"/>
    <w:rsid w:val="00D34BD4"/>
    <w:rsid w:val="00D44056"/>
    <w:rsid w:val="00D45B6A"/>
    <w:rsid w:val="00D4706C"/>
    <w:rsid w:val="00D62574"/>
    <w:rsid w:val="00D664EC"/>
    <w:rsid w:val="00D74B4E"/>
    <w:rsid w:val="00D836FF"/>
    <w:rsid w:val="00D9147C"/>
    <w:rsid w:val="00D92581"/>
    <w:rsid w:val="00DA2BA0"/>
    <w:rsid w:val="00DA3A45"/>
    <w:rsid w:val="00DB4B29"/>
    <w:rsid w:val="00DC3AE0"/>
    <w:rsid w:val="00DC3B64"/>
    <w:rsid w:val="00DC6A53"/>
    <w:rsid w:val="00DD0FE7"/>
    <w:rsid w:val="00DD2CDF"/>
    <w:rsid w:val="00DD3C2E"/>
    <w:rsid w:val="00DD4849"/>
    <w:rsid w:val="00DE1535"/>
    <w:rsid w:val="00DE23D4"/>
    <w:rsid w:val="00DF2F32"/>
    <w:rsid w:val="00E13462"/>
    <w:rsid w:val="00E14E37"/>
    <w:rsid w:val="00E15A75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51FB6"/>
    <w:rsid w:val="00E64F31"/>
    <w:rsid w:val="00E7136F"/>
    <w:rsid w:val="00E75174"/>
    <w:rsid w:val="00E82CD6"/>
    <w:rsid w:val="00E93F87"/>
    <w:rsid w:val="00EA2042"/>
    <w:rsid w:val="00EA37E4"/>
    <w:rsid w:val="00EB6695"/>
    <w:rsid w:val="00EC5274"/>
    <w:rsid w:val="00ED48C8"/>
    <w:rsid w:val="00ED4C77"/>
    <w:rsid w:val="00EE3D9B"/>
    <w:rsid w:val="00EE6B70"/>
    <w:rsid w:val="00EE72D8"/>
    <w:rsid w:val="00EF4C34"/>
    <w:rsid w:val="00EF4E53"/>
    <w:rsid w:val="00F04755"/>
    <w:rsid w:val="00F0644D"/>
    <w:rsid w:val="00F06819"/>
    <w:rsid w:val="00F176B7"/>
    <w:rsid w:val="00F21049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6231D"/>
    <w:rsid w:val="00F626BE"/>
    <w:rsid w:val="00F67429"/>
    <w:rsid w:val="00F7793D"/>
    <w:rsid w:val="00F8218A"/>
    <w:rsid w:val="00F828F3"/>
    <w:rsid w:val="00F97859"/>
    <w:rsid w:val="00FA18C3"/>
    <w:rsid w:val="00FA253B"/>
    <w:rsid w:val="00FA49C7"/>
    <w:rsid w:val="00FA5E35"/>
    <w:rsid w:val="00FA7E88"/>
    <w:rsid w:val="00FC12E4"/>
    <w:rsid w:val="00FC38E3"/>
    <w:rsid w:val="00FC549A"/>
    <w:rsid w:val="00FC5EB1"/>
    <w:rsid w:val="00FC60BC"/>
    <w:rsid w:val="00FD5E2F"/>
    <w:rsid w:val="00FD6C27"/>
    <w:rsid w:val="00FE0510"/>
    <w:rsid w:val="00FE43F5"/>
    <w:rsid w:val="00FF2F85"/>
    <w:rsid w:val="00FF488F"/>
    <w:rsid w:val="00FF4C2A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zd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zdw.pl/zamowienia-publiczne/inne-inform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51FF-8A4F-45FB-A7F1-11AEA783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3766</Words>
  <Characters>22598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57</cp:revision>
  <cp:lastPrinted>2024-06-25T09:20:00Z</cp:lastPrinted>
  <dcterms:created xsi:type="dcterms:W3CDTF">2024-01-17T13:39:00Z</dcterms:created>
  <dcterms:modified xsi:type="dcterms:W3CDTF">2024-08-28T09:25:00Z</dcterms:modified>
</cp:coreProperties>
</file>