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10.jpeg" ContentType="image/jpeg"/>
  <Override PartName="/word/media/image5.jpeg" ContentType="image/jpeg"/>
  <Override PartName="/word/media/image11.jpeg" ContentType="image/jpeg"/>
  <Override PartName="/word/media/image6.jpeg" ContentType="image/jpeg"/>
  <Override PartName="/word/media/image7.jpeg" ContentType="image/jpeg"/>
  <Override PartName="/word/media/image12.jpeg" ContentType="image/jpeg"/>
  <Override PartName="/word/media/image8.jpeg" ContentType="image/jpeg"/>
  <Override PartName="/word/media/image13.jpeg" ContentType="image/jpeg"/>
  <Override PartName="/word/media/image9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tbl>
      <w:tblPr>
        <w:tblW w:w="9015" w:type="dxa"/>
        <w:jc w:val="left"/>
        <w:tblInd w:w="482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891"/>
        <w:gridCol w:w="3458"/>
        <w:gridCol w:w="2666"/>
      </w:tblGrid>
      <w:tr>
        <w:trPr>
          <w:trHeight w:val="1418" w:hRule="atLeast"/>
        </w:trPr>
        <w:tc>
          <w:tcPr>
            <w:tcW w:w="6349" w:type="dxa"/>
            <w:gridSpan w:val="2"/>
            <w:tcBorders>
              <w:top w:val="single" w:sz="18" w:space="0" w:color="000000"/>
              <w:bottom w:val="single" w:sz="18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spacing w:before="240" w:after="0"/>
              <w:jc w:val="left"/>
              <w:rPr>
                <w:rFonts w:cs="Arial"/>
                <w:b/>
                <w:bCs/>
                <w:sz w:val="32"/>
                <w:szCs w:val="32"/>
              </w:rPr>
            </w:pPr>
            <w:r>
              <w:rPr>
                <w:rFonts w:cs="Arial"/>
                <w:b/>
                <w:bCs/>
                <w:sz w:val="32"/>
                <w:szCs w:val="44"/>
              </w:rPr>
              <w:t>TOM I</w:t>
            </w:r>
            <w:r>
              <w:rPr>
                <w:rFonts w:cs="Arial"/>
                <w:b/>
                <w:bCs/>
                <w:sz w:val="32"/>
                <w:szCs w:val="32"/>
              </w:rPr>
              <w:t>I</w:t>
            </w:r>
            <w:r>
              <w:rPr>
                <w:rFonts w:cs="Arial"/>
                <w:b/>
                <w:bCs/>
                <w:sz w:val="32"/>
                <w:szCs w:val="44"/>
              </w:rPr>
              <w:t xml:space="preserve"> PROJEKT </w:t>
            </w:r>
            <w:r>
              <w:rPr>
                <w:rFonts w:cs="Arial"/>
                <w:b/>
                <w:bCs/>
                <w:sz w:val="32"/>
                <w:szCs w:val="32"/>
              </w:rPr>
              <w:t>ARCHITEKTONICZNO-BUDOWLANY</w:t>
            </w:r>
          </w:p>
        </w:tc>
        <w:tc>
          <w:tcPr>
            <w:tcW w:w="2666" w:type="dxa"/>
            <w:tcBorders>
              <w:top w:val="single" w:sz="18" w:space="0" w:color="000000"/>
              <w:left w:val="single" w:sz="2" w:space="0" w:color="000000"/>
              <w:bottom w:val="single" w:sz="18" w:space="0" w:color="000000"/>
            </w:tcBorders>
            <w:shd w:color="auto" w:fill="auto" w:val="clear"/>
          </w:tcPr>
          <w:p>
            <w:pPr>
              <w:pStyle w:val="Normal"/>
              <w:spacing w:before="240" w:after="0"/>
              <w:rPr>
                <w:rFonts w:cs="Arial"/>
                <w:b/>
                <w:bCs/>
                <w:sz w:val="32"/>
                <w:szCs w:val="32"/>
              </w:rPr>
            </w:pPr>
            <w:r>
              <w:rPr>
                <w:rFonts w:cs="Arial"/>
                <w:b/>
                <w:bCs/>
                <w:sz w:val="32"/>
                <w:szCs w:val="32"/>
              </w:rPr>
              <w:t>EGZ. NR</w:t>
            </w:r>
          </w:p>
          <w:p>
            <w:pPr>
              <w:pStyle w:val="Normal"/>
              <w:jc w:val="center"/>
              <w:rPr>
                <w:rFonts w:cs="Arial"/>
              </w:rPr>
            </w:pPr>
            <w:r>
              <w:rPr>
                <w:rFonts w:cs="Arial"/>
                <w:b/>
                <w:bCs/>
                <w:sz w:val="32"/>
                <w:szCs w:val="32"/>
              </w:rPr>
              <w:t>1</w:t>
            </w:r>
          </w:p>
        </w:tc>
      </w:tr>
      <w:tr>
        <w:trPr/>
        <w:tc>
          <w:tcPr>
            <w:tcW w:w="9015" w:type="dxa"/>
            <w:gridSpan w:val="3"/>
            <w:tcBorders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Nazwa inwestycji:</w:t>
            </w:r>
          </w:p>
          <w:p>
            <w:pPr>
              <w:pStyle w:val="Normal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</w:r>
          </w:p>
          <w:p>
            <w:pPr>
              <w:pStyle w:val="Normal"/>
              <w:widowControl w:val="false"/>
              <w:jc w:val="right"/>
              <w:rPr>
                <w:rFonts w:cs="Arial"/>
              </w:rPr>
            </w:pPr>
            <w:r>
              <w:rPr>
                <w:rFonts w:cs="Arial"/>
              </w:rPr>
              <w:t>Projekt wymiany stolarki okiennej, renowacji elewacji oraz wymiany instalacji odgromowej w kościele pw. Przenajświętszej Trójcy w Przystajni</w:t>
            </w:r>
          </w:p>
          <w:p>
            <w:pPr>
              <w:pStyle w:val="Normal"/>
              <w:widowControl w:val="false"/>
              <w:spacing w:lineRule="auto" w:line="360"/>
              <w:rPr>
                <w:rFonts w:cs="Arial"/>
              </w:rPr>
            </w:pPr>
            <w:r>
              <w:rPr>
                <w:rFonts w:cs="Arial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top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Lokalizacja inwestycji:</w:t>
            </w:r>
          </w:p>
          <w:p>
            <w:pPr>
              <w:pStyle w:val="Normal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Rynek 21, 42-141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Jednostka ewidencyjna: 240608_2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Obręb: 0015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sz w:val="20"/>
                <w:szCs w:val="20"/>
              </w:rPr>
            </w:pPr>
            <w:r>
              <w:rPr>
                <w:rFonts w:cs="Arial"/>
              </w:rPr>
              <w:t>Działka nr ewid: 252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top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Inwestor: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</w:rPr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</w:rPr>
              <w:t>Parafia Rzymskokatolicka pw. Przenajświętszej Trójcy w Przystajni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Rynek 21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color w:val="444950"/>
                <w:sz w:val="20"/>
                <w:szCs w:val="20"/>
              </w:rPr>
            </w:pPr>
            <w:r>
              <w:rPr>
                <w:rFonts w:cs="Arial"/>
              </w:rPr>
              <w:t>42-141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color w:val="444950"/>
                <w:sz w:val="20"/>
                <w:szCs w:val="20"/>
              </w:rPr>
            </w:pPr>
            <w:r>
              <w:rPr>
                <w:rFonts w:cs="Arial"/>
                <w:color w:val="444950"/>
                <w:sz w:val="20"/>
                <w:szCs w:val="20"/>
              </w:rPr>
              <w:t>reprezentowana przez: Zbigniew Mozol- Proboszcz Parafii</w:t>
            </w:r>
          </w:p>
          <w:p>
            <w:pPr>
              <w:pStyle w:val="Normal"/>
              <w:rPr>
                <w:rFonts w:cs="Arial"/>
                <w:color w:val="C9211E"/>
                <w:sz w:val="20"/>
                <w:szCs w:val="20"/>
              </w:rPr>
            </w:pPr>
            <w:r>
              <w:rPr>
                <w:rFonts w:cs="Arial"/>
                <w:color w:val="C9211E"/>
                <w:sz w:val="20"/>
                <w:szCs w:val="20"/>
              </w:rPr>
            </w:r>
          </w:p>
        </w:tc>
      </w:tr>
      <w:tr>
        <w:trPr>
          <w:trHeight w:val="1985" w:hRule="atLeast"/>
        </w:trPr>
        <w:tc>
          <w:tcPr>
            <w:tcW w:w="9015" w:type="dxa"/>
            <w:gridSpan w:val="3"/>
            <w:tcBorders>
              <w:top w:val="single" w:sz="18" w:space="0" w:color="000000"/>
            </w:tcBorders>
            <w:shd w:color="auto" w:fill="auto" w:val="clear"/>
          </w:tcPr>
          <w:p>
            <w:pPr>
              <w:pStyle w:val="Normal"/>
              <w:spacing w:before="240" w:after="0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Nazwa i adres jednostki projektowej:</w:t>
            </w:r>
          </w:p>
          <w:p>
            <w:pPr>
              <w:pStyle w:val="Normal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>ZANA ARCHITEKCI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>ul. Szajnowicza-Iwanowa 67/12, Częstochowa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>Sandra Wuczyńska tel. 664 492 277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Style w:val="Hyperlink"/>
                <w:rFonts w:cs="Arial"/>
                <w:sz w:val="20"/>
                <w:szCs w:val="20"/>
              </w:rPr>
              <w:t>sandra@zanaarchitekci.pl</w:t>
            </w:r>
          </w:p>
          <w:p>
            <w:pPr>
              <w:pStyle w:val="Normal"/>
              <w:jc w:val="right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KATEGORIA OBIEKTU BUDOWLANEGO:   X</w:t>
            </w:r>
          </w:p>
          <w:p>
            <w:pPr>
              <w:pStyle w:val="Normal"/>
              <w:snapToGrid w:val="false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BRANŻA  ARCHITEKTURA</w:t>
            </w:r>
          </w:p>
        </w:tc>
      </w:tr>
      <w:tr>
        <w:trPr>
          <w:trHeight w:val="340" w:hRule="exact"/>
        </w:trPr>
        <w:tc>
          <w:tcPr>
            <w:tcW w:w="2891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</w:rPr>
            </w:pPr>
            <w:r>
              <w:rPr>
                <w:rFonts w:cs="Arial"/>
                <w:sz w:val="20"/>
              </w:rPr>
              <w:t>PROJEKTANT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</w:rPr>
            </w:pPr>
            <w:r>
              <w:rPr>
                <w:rFonts w:cs="Arial"/>
                <w:sz w:val="20"/>
              </w:rPr>
              <w:t>NR UPRAWNIEŃ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</w:rPr>
            </w:pPr>
            <w:r>
              <w:rPr>
                <w:rFonts w:cs="Arial"/>
                <w:sz w:val="20"/>
              </w:rPr>
              <w:t>PODPIS</w:t>
            </w:r>
          </w:p>
        </w:tc>
      </w:tr>
      <w:tr>
        <w:trPr>
          <w:trHeight w:val="1099" w:hRule="atLeast"/>
        </w:trPr>
        <w:tc>
          <w:tcPr>
            <w:tcW w:w="2891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rPr>
                <w:rFonts w:cs="Arial"/>
                <w:lang w:val="en-GB"/>
              </w:rPr>
            </w:pPr>
            <w:r>
              <w:rPr>
                <w:rFonts w:cs="Arial"/>
                <w:sz w:val="24"/>
                <w:szCs w:val="24"/>
                <w:lang w:val="en-GB"/>
              </w:rPr>
              <w:t>mgr inż. arch.</w:t>
            </w:r>
          </w:p>
          <w:p>
            <w:pPr>
              <w:pStyle w:val="Normal"/>
              <w:spacing w:before="120" w:after="0"/>
              <w:rPr>
                <w:rFonts w:cs="Arial"/>
                <w:lang w:val="en-GB"/>
              </w:rPr>
            </w:pPr>
            <w:r>
              <w:rPr>
                <w:rFonts w:cs="Arial"/>
                <w:sz w:val="24"/>
                <w:szCs w:val="24"/>
                <w:lang w:val="en-GB"/>
              </w:rPr>
              <w:t>KAROL MAJOR</w:t>
            </w:r>
          </w:p>
        </w:tc>
        <w:tc>
          <w:tcPr>
            <w:tcW w:w="3458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spacing w:before="120" w:after="0"/>
              <w:rPr>
                <w:rFonts w:cs="Arial"/>
              </w:rPr>
            </w:pPr>
            <w:r>
              <w:rPr>
                <w:rFonts w:cs="Arial"/>
                <w:sz w:val="24"/>
                <w:szCs w:val="24"/>
              </w:rPr>
              <w:t>MPOIA/193/75/PW- S 0291</w:t>
            </w:r>
          </w:p>
          <w:p>
            <w:pPr>
              <w:pStyle w:val="Normal"/>
              <w:snapToGrid w:val="false"/>
              <w:spacing w:before="120" w:after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  <w:p>
            <w:pPr>
              <w:pStyle w:val="Normal"/>
              <w:snapToGrid w:val="false"/>
              <w:spacing w:before="120" w:after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  <w:p>
            <w:pPr>
              <w:pStyle w:val="Normal"/>
              <w:snapToGrid w:val="false"/>
              <w:spacing w:before="120" w:after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</w:tc>
        <w:tc>
          <w:tcPr>
            <w:tcW w:w="2666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</w:r>
          </w:p>
        </w:tc>
      </w:tr>
    </w:tbl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ZAWARTOŚĆ OPRACOWANIA</w:t>
      </w:r>
    </w:p>
    <w:p>
      <w:pPr>
        <w:pStyle w:val="ListParagraph"/>
        <w:numPr>
          <w:ilvl w:val="0"/>
          <w:numId w:val="2"/>
        </w:numPr>
        <w:suppressAutoHyphens w:val="false"/>
        <w:spacing w:lineRule="auto" w:line="259" w:before="0" w:after="160"/>
        <w:contextualSpacing/>
        <w:jc w:val="left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Tom I – Projekt zagospodarowania terenu</w:t>
      </w:r>
    </w:p>
    <w:p>
      <w:pPr>
        <w:pStyle w:val="ListParagraph"/>
        <w:numPr>
          <w:ilvl w:val="0"/>
          <w:numId w:val="2"/>
        </w:numPr>
        <w:suppressAutoHyphens w:val="false"/>
        <w:spacing w:lineRule="auto" w:line="259" w:before="0" w:after="160"/>
        <w:contextualSpacing/>
        <w:jc w:val="left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Tom II – Projekt architektoniczno-budowlany</w:t>
      </w:r>
    </w:p>
    <w:p>
      <w:pPr>
        <w:pStyle w:val="Normal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DOKUMENTY DOŁĄCZONE DO PROJEKTU</w:t>
      </w:r>
    </w:p>
    <w:p>
      <w:pPr>
        <w:pStyle w:val="ListParagraph"/>
        <w:numPr>
          <w:ilvl w:val="0"/>
          <w:numId w:val="2"/>
        </w:numPr>
        <w:suppressAutoHyphens w:val="false"/>
        <w:spacing w:lineRule="auto" w:line="259" w:before="0" w:after="160"/>
        <w:contextualSpacing/>
        <w:jc w:val="left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Oświadczenie projektantów o sporządzeniu projektu architektoniczno - budowlanego</w:t>
      </w:r>
    </w:p>
    <w:p>
      <w:pPr>
        <w:pStyle w:val="Normal"/>
        <w:rPr>
          <w:rFonts w:cs="Arial"/>
          <w:color w:val="FF0000"/>
          <w:sz w:val="24"/>
          <w:szCs w:val="24"/>
        </w:rPr>
      </w:pPr>
      <w:r>
        <w:rPr>
          <w:rFonts w:cs="Arial"/>
          <w:color w:val="FF0000"/>
          <w:sz w:val="24"/>
          <w:szCs w:val="24"/>
        </w:rPr>
      </w:r>
    </w:p>
    <w:p>
      <w:pPr>
        <w:pStyle w:val="Normal"/>
        <w:spacing w:before="240" w:after="0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SPIS TREŚCI</w:t>
      </w:r>
    </w:p>
    <w:p>
      <w:pPr>
        <w:pStyle w:val="Normal"/>
        <w:spacing w:before="240" w:after="0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sdt>
      <w:sdtPr>
        <w:docPartObj>
          <w:docPartGallery w:val="Table of Contents"/>
          <w:docPartUnique w:val="true"/>
        </w:docPartObj>
        <w:id w:val="-503819422"/>
      </w:sdtPr>
      <w:sdtContent>
        <w:p>
          <w:pPr>
            <w:pStyle w:val="Normal"/>
            <w:numPr>
              <w:ilvl w:val="0"/>
              <w:numId w:val="0"/>
            </w:numPr>
            <w:ind w:hanging="0" w:left="0"/>
            <w:outlineLvl w:val="2"/>
            <w:rPr>
              <w:rFonts w:cs="Arial"/>
            </w:rPr>
          </w:pPr>
          <w:r>
            <w:rPr>
              <w:rFonts w:cs="Arial"/>
            </w:rPr>
          </w:r>
        </w:p>
        <w:p>
          <w:pPr>
            <w:pStyle w:val="TOC2"/>
            <w:rPr>
              <w:rFonts w:eastAsia="" w:cs="Arial" w:eastAsiaTheme="minorEastAsia"/>
              <w:b w:val="false"/>
              <w:kern w:val="2"/>
              <w:sz w:val="22"/>
              <w:szCs w:val="22"/>
              <w:lang w:eastAsia="pl-PL"/>
              <w14:ligatures w14:val="standardContextual"/>
            </w:rPr>
          </w:pPr>
          <w:r>
            <w:fldChar w:fldCharType="begin"/>
          </w:r>
          <w:r>
            <w:rPr>
              <w:webHidden/>
              <w:rStyle w:val="Czeindeksu"/>
              <w:sz w:val="22"/>
              <w:u w:val="none"/>
              <w:b w:val="false"/>
              <w:szCs w:val="22"/>
              <w:vanish w:val="false"/>
              <w:rFonts w:cs="Arial"/>
            </w:rPr>
            <w:instrText xml:space="preserve"> TOC \z \o "1-4" \u \h</w:instrText>
          </w:r>
          <w:r>
            <w:rPr>
              <w:webHidden/>
              <w:rStyle w:val="Czeindeksu"/>
              <w:sz w:val="22"/>
              <w:u w:val="none"/>
              <w:b w:val="false"/>
              <w:szCs w:val="22"/>
              <w:vanish w:val="false"/>
              <w:rFonts w:cs="Arial"/>
            </w:rPr>
            <w:fldChar w:fldCharType="separate"/>
          </w:r>
          <w:hyperlink w:anchor="_Toc161343739">
            <w:r>
              <w:rPr>
                <w:webHidden/>
                <w:rStyle w:val="Czeindeksu"/>
                <w:rFonts w:cs="Arial"/>
                <w:b w:val="false"/>
                <w:vanish w:val="false"/>
                <w:sz w:val="22"/>
                <w:szCs w:val="22"/>
                <w:u w:val="none"/>
              </w:rPr>
              <w:t>1.</w:t>
            </w:r>
            <w:r>
              <w:rPr>
                <w:rStyle w:val="Czeindeksu"/>
                <w:rFonts w:eastAsia="" w:cs="Arial" w:eastAsiaTheme="minorEastAsia"/>
                <w:b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/>
                <w:b w:val="false"/>
                <w:sz w:val="22"/>
                <w:szCs w:val="22"/>
                <w:u w:val="none"/>
              </w:rPr>
              <w:t>Część opisowa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_Toc161343739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/>
                <w:b w:val="false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0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1.1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Przedmiot zamierzenia budowlanego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_Toc161343740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1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1.1.1.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Określenie przedmiotu zamierzenia budowlanego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_Toc161343741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2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1.1.2.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Podstawa opracowania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_Toc161343742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3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1.1.3.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Zakres  i cel opracowania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_Toc161343743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4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1.1.4.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Zamierzony sposób użytkowania i program użytkowy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_Toc161343744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5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1.2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Układ przestrzenny, forma architektoniczna obiektu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_Toc161343745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6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1.2.1.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Charakterystyczne parametry obiektu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_Toc161343746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7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1.3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Ocena stanu technicznego istniejącej stolarki okiennej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_Toc161343747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6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8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1.4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Założenia projektowe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_Toc161343748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11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49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1.4.1.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Projektowane okna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_Toc161343749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0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1.4.2.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Parapety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_Toc161343750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1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1.4.3.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Dostęp dla osób niepełnosprawnych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_Toc161343751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2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1.4.4.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Informacje określające wpływ inwestycji na środowisko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_Toc161343752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3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1.4.5.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Informacja o obszarze oddziaływania obiektu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_Toc161343753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4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1.4.6.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Wpływ planowanego remontu na stan techniczny budynku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_Toc161343754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5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1.5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Zakres robót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_Toc161343755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6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1.5.1.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Rozbiórki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_Toc161343756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7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1.5.2.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Zakres robót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_Toc161343757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4"/>
            <w:rPr>
              <w:rFonts w:ascii="Arial" w:hAnsi="Arial" w:eastAsia="" w:cs="Arial" w:eastAsiaTheme="minorEastAsia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8">
            <w:r>
              <w:rPr>
                <w:webHidden/>
                <w:rStyle w:val="Czeindeksu"/>
                <w:rFonts w:cs="Arial" w:ascii="Arial" w:hAnsi="Arial"/>
                <w:vanish w:val="false"/>
                <w:sz w:val="22"/>
                <w:szCs w:val="22"/>
                <w:u w:val="none"/>
              </w:rPr>
              <w:t>1.5.3.</w:t>
            </w:r>
            <w:r>
              <w:rPr>
                <w:rStyle w:val="Czeindeksu"/>
                <w:rFonts w:eastAsia="" w:cs="Arial" w:ascii="Arial" w:hAnsi="Arial" w:eastAsiaTheme="minorEastAsia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sz w:val="22"/>
                <w:szCs w:val="22"/>
                <w:u w:val="none"/>
              </w:rPr>
              <w:t>Wymagania bhp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_Toc161343758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vanish w:val="false"/>
                <w:sz w:val="22"/>
                <w:szCs w:val="22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59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1.6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Uwagi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_Toc161343759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cs="Arial" w:eastAsiaTheme="minorEastAsia"/>
              <w:b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60">
            <w:r>
              <w:rPr>
                <w:webHidden/>
                <w:rStyle w:val="Czeindeksu"/>
                <w:rFonts w:cs="Arial"/>
                <w:b w:val="false"/>
                <w:vanish w:val="false"/>
                <w:sz w:val="22"/>
                <w:szCs w:val="22"/>
                <w:u w:val="none"/>
              </w:rPr>
              <w:t>2.</w:t>
            </w:r>
            <w:r>
              <w:rPr>
                <w:rStyle w:val="Czeindeksu"/>
                <w:rFonts w:eastAsia="" w:cs="Arial" w:eastAsiaTheme="minorEastAsia"/>
                <w:b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/>
                <w:b w:val="false"/>
                <w:sz w:val="22"/>
                <w:szCs w:val="22"/>
                <w:u w:val="none"/>
              </w:rPr>
              <w:t>Część rysunkowa opracowania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_Toc161343760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/>
                <w:b w:val="false"/>
                <w:vanish w:val="false"/>
                <w:sz w:val="22"/>
                <w:szCs w:val="22"/>
              </w:rPr>
              <w:tab/>
              <w:t>13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rPr>
              <w:rFonts w:ascii="Arial" w:hAnsi="Arial" w:eastAsia="" w:cs="Arial" w:eastAsiaTheme="minorEastAsia"/>
              <w:i w:val="false"/>
              <w:i w:val="false"/>
              <w:iCs w:val="false"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61343761">
            <w:r>
              <w:rPr>
                <w:webHidden/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  <w:u w:val="none"/>
              </w:rPr>
              <w:t>2.1</w:t>
            </w:r>
            <w:r>
              <w:rPr>
                <w:rStyle w:val="Czeindeksu"/>
                <w:rFonts w:eastAsia="" w:cs="Arial" w:ascii="Arial" w:hAnsi="Arial" w:eastAsiaTheme="minorEastAsia"/>
                <w:i w:val="false"/>
                <w:iCs w:val="false"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>
              <w:rPr>
                <w:rStyle w:val="Czeindeksu"/>
                <w:rFonts w:cs="Arial" w:ascii="Arial" w:hAnsi="Arial"/>
                <w:i w:val="false"/>
                <w:iCs w:val="false"/>
                <w:sz w:val="22"/>
                <w:szCs w:val="22"/>
                <w:u w:val="none"/>
              </w:rPr>
              <w:t>Spis rysunków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_Toc161343761 \h</w:instrText>
            </w:r>
            <w:r>
              <w:rPr>
                <w:webHidden/>
              </w:rPr>
              <w:fldChar w:fldCharType="separate"/>
            </w:r>
            <w:r>
              <w:rPr>
                <w:rStyle w:val="Czeindeksu"/>
                <w:rFonts w:cs="Arial" w:ascii="Arial" w:hAnsi="Arial"/>
                <w:i w:val="false"/>
                <w:iCs w:val="false"/>
                <w:vanish w:val="false"/>
                <w:sz w:val="22"/>
                <w:szCs w:val="22"/>
              </w:rPr>
              <w:tab/>
              <w:t>13</w:t>
            </w:r>
            <w:r>
              <w:rPr>
                <w:webHidden/>
              </w:rPr>
              <w:fldChar w:fldCharType="end"/>
            </w:r>
          </w:hyperlink>
          <w:r>
            <w:rPr>
              <w:rStyle w:val="Czeindeksu"/>
              <w:sz w:val="22"/>
              <w:i w:val="false"/>
              <w:szCs w:val="22"/>
              <w:iCs w:val="false"/>
              <w:vanish w:val="false"/>
              <w:rFonts w:cs="Arial" w:ascii="Arial" w:hAnsi="Arial"/>
            </w:rPr>
            <w:fldChar w:fldCharType="end"/>
          </w:r>
        </w:p>
      </w:sdtContent>
    </w:sdt>
    <w:p>
      <w:pPr>
        <w:pStyle w:val="Normal"/>
        <w:numPr>
          <w:ilvl w:val="0"/>
          <w:numId w:val="0"/>
        </w:numPr>
        <w:spacing w:before="240" w:after="0"/>
        <w:ind w:hanging="0" w:left="0"/>
        <w:jc w:val="center"/>
        <w:outlineLvl w:val="2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spacing w:before="240" w:after="0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tbl>
      <w:tblPr>
        <w:tblW w:w="9015" w:type="dxa"/>
        <w:jc w:val="left"/>
        <w:tblInd w:w="482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891"/>
        <w:gridCol w:w="3458"/>
        <w:gridCol w:w="2666"/>
      </w:tblGrid>
      <w:tr>
        <w:trPr>
          <w:trHeight w:val="1418" w:hRule="atLeast"/>
        </w:trPr>
        <w:tc>
          <w:tcPr>
            <w:tcW w:w="6349" w:type="dxa"/>
            <w:gridSpan w:val="2"/>
            <w:tcBorders>
              <w:top w:val="single" w:sz="18" w:space="0" w:color="000000"/>
              <w:bottom w:val="single" w:sz="18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spacing w:before="240" w:after="0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  <w:sz w:val="32"/>
                <w:szCs w:val="32"/>
              </w:rPr>
              <w:t>OŚWIADCZENIE O SPORZĄDZENIU PROJEKTU BUDOWLANEGO</w:t>
            </w:r>
          </w:p>
        </w:tc>
        <w:tc>
          <w:tcPr>
            <w:tcW w:w="2666" w:type="dxa"/>
            <w:tcBorders>
              <w:top w:val="single" w:sz="18" w:space="0" w:color="000000"/>
              <w:left w:val="single" w:sz="2" w:space="0" w:color="000000"/>
              <w:bottom w:val="single" w:sz="18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Arial"/>
              </w:rPr>
            </w:pPr>
            <w:r>
              <w:rPr>
                <w:rFonts w:cs="Arial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Nazwa inwestycji:</w:t>
            </w:r>
          </w:p>
          <w:p>
            <w:pPr>
              <w:pStyle w:val="Normal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</w:r>
          </w:p>
          <w:p>
            <w:pPr>
              <w:pStyle w:val="Normal"/>
              <w:widowControl w:val="false"/>
              <w:jc w:val="right"/>
              <w:rPr>
                <w:rFonts w:cs="Arial"/>
              </w:rPr>
            </w:pPr>
            <w:r>
              <w:rPr>
                <w:rFonts w:cs="Arial"/>
              </w:rPr>
              <w:t>Projekt wymiany stolarki okiennej, renowacji elewacji oraz wymiany instalacji odgromowej w kościele pw. Przenajświętszej Trójcy w Przystajni</w:t>
            </w:r>
          </w:p>
          <w:p>
            <w:pPr>
              <w:pStyle w:val="Normal"/>
              <w:widowControl w:val="false"/>
              <w:spacing w:lineRule="auto" w:line="360"/>
              <w:rPr>
                <w:rFonts w:cs="Arial"/>
              </w:rPr>
            </w:pPr>
            <w:r>
              <w:rPr>
                <w:rFonts w:cs="Arial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top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Lokalizacja inwestycji:</w:t>
            </w:r>
          </w:p>
          <w:p>
            <w:pPr>
              <w:pStyle w:val="Normal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Rynek 21, 42-141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Jednostka ewidencyjna: 240608_2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Obręb: 0015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sz w:val="20"/>
                <w:szCs w:val="20"/>
              </w:rPr>
            </w:pPr>
            <w:r>
              <w:rPr>
                <w:rFonts w:cs="Arial"/>
              </w:rPr>
              <w:t>Działka nr ewid: 252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top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jc w:val="right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Inwestor: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</w:rPr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</w:rPr>
              <w:t>Parafia Rzymskokatolicka pw. Przenajświętszej Trójcy w Przystajni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</w:rPr>
            </w:pPr>
            <w:r>
              <w:rPr>
                <w:rFonts w:cs="Arial"/>
              </w:rPr>
              <w:t>Rynek 21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color w:val="444950"/>
                <w:sz w:val="20"/>
                <w:szCs w:val="20"/>
              </w:rPr>
            </w:pPr>
            <w:r>
              <w:rPr>
                <w:rFonts w:cs="Arial"/>
              </w:rPr>
              <w:t>42-141 Przystajń</w:t>
            </w:r>
          </w:p>
          <w:p>
            <w:pPr>
              <w:pStyle w:val="Normal"/>
              <w:ind w:firstLine="720" w:left="1440"/>
              <w:jc w:val="right"/>
              <w:rPr>
                <w:rFonts w:cs="Arial"/>
                <w:color w:val="444950"/>
                <w:sz w:val="20"/>
                <w:szCs w:val="20"/>
              </w:rPr>
            </w:pPr>
            <w:r>
              <w:rPr>
                <w:rFonts w:cs="Arial"/>
                <w:color w:val="444950"/>
                <w:sz w:val="20"/>
                <w:szCs w:val="20"/>
              </w:rPr>
              <w:t>reprezentowana przez: Zbigniew Mozol- Proboszcz Parafii</w:t>
            </w:r>
          </w:p>
          <w:p>
            <w:pPr>
              <w:pStyle w:val="Normal"/>
              <w:rPr>
                <w:rFonts w:cs="Arial"/>
                <w:color w:val="C9211E"/>
                <w:sz w:val="20"/>
                <w:szCs w:val="20"/>
              </w:rPr>
            </w:pPr>
            <w:r>
              <w:rPr>
                <w:rFonts w:cs="Arial"/>
                <w:color w:val="C9211E"/>
                <w:sz w:val="20"/>
                <w:szCs w:val="20"/>
              </w:rPr>
            </w:r>
          </w:p>
        </w:tc>
      </w:tr>
      <w:tr>
        <w:trPr>
          <w:trHeight w:val="1985" w:hRule="atLeast"/>
        </w:trPr>
        <w:tc>
          <w:tcPr>
            <w:tcW w:w="9015" w:type="dxa"/>
            <w:gridSpan w:val="3"/>
            <w:tcBorders>
              <w:top w:val="single" w:sz="18" w:space="0" w:color="000000"/>
            </w:tcBorders>
            <w:shd w:color="auto" w:fill="auto" w:val="clear"/>
          </w:tcPr>
          <w:p>
            <w:pPr>
              <w:pStyle w:val="Normal"/>
              <w:spacing w:before="240" w:after="0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Nazwa i adres jednostki projektowej:</w:t>
            </w:r>
          </w:p>
          <w:p>
            <w:pPr>
              <w:pStyle w:val="Normal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>ZANA ARCHITEKCI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>ul. Szajnowicza-Iwanowa 67/12, Częstochowa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>Sandra Wuczyńska tel. 664 492 277</w:t>
            </w:r>
          </w:p>
          <w:p>
            <w:pPr>
              <w:pStyle w:val="Normal"/>
              <w:jc w:val="right"/>
              <w:rPr>
                <w:rFonts w:cs="Arial"/>
              </w:rPr>
            </w:pPr>
            <w:r>
              <w:rPr>
                <w:rStyle w:val="Hyperlink"/>
                <w:rFonts w:cs="Arial"/>
                <w:sz w:val="20"/>
                <w:szCs w:val="20"/>
              </w:rPr>
              <w:t>sandra@zanaarchitekci.pl</w:t>
            </w:r>
          </w:p>
          <w:p>
            <w:pPr>
              <w:pStyle w:val="Normal"/>
              <w:jc w:val="right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</w:tc>
      </w:tr>
      <w:tr>
        <w:trPr/>
        <w:tc>
          <w:tcPr>
            <w:tcW w:w="9015" w:type="dxa"/>
            <w:gridSpan w:val="3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KATEGORIA OBIEKTU BUDOWLANEGO:   X</w:t>
            </w:r>
          </w:p>
          <w:p>
            <w:pPr>
              <w:pStyle w:val="Normal"/>
              <w:snapToGrid w:val="false"/>
              <w:jc w:val="right"/>
              <w:rPr>
                <w:rFonts w:cs="Arial"/>
              </w:rPr>
            </w:pPr>
            <w:r>
              <w:rPr>
                <w:rFonts w:cs="Arial"/>
                <w:b/>
              </w:rPr>
              <w:t>BRANŻA  ARCHITEKTURA</w:t>
            </w:r>
          </w:p>
        </w:tc>
      </w:tr>
      <w:tr>
        <w:trPr>
          <w:trHeight w:val="340" w:hRule="exact"/>
        </w:trPr>
        <w:tc>
          <w:tcPr>
            <w:tcW w:w="2891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</w:rPr>
            </w:pPr>
            <w:r>
              <w:rPr>
                <w:rFonts w:cs="Arial"/>
                <w:sz w:val="20"/>
              </w:rPr>
              <w:t>PROJEKTANT</w:t>
            </w:r>
          </w:p>
        </w:tc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</w:rPr>
            </w:pPr>
            <w:r>
              <w:rPr>
                <w:rFonts w:cs="Arial"/>
                <w:sz w:val="20"/>
              </w:rPr>
              <w:t>NR UPRAWNIEŃ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</w:rPr>
            </w:pPr>
            <w:r>
              <w:rPr>
                <w:rFonts w:cs="Arial"/>
                <w:sz w:val="20"/>
              </w:rPr>
              <w:t>PODPIS</w:t>
            </w:r>
          </w:p>
        </w:tc>
      </w:tr>
      <w:tr>
        <w:trPr>
          <w:trHeight w:val="1099" w:hRule="atLeast"/>
        </w:trPr>
        <w:tc>
          <w:tcPr>
            <w:tcW w:w="2891" w:type="dxa"/>
            <w:tcBorders>
              <w:top w:val="single" w:sz="2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spacing w:before="120" w:after="0"/>
              <w:rPr>
                <w:rFonts w:cs="Arial"/>
                <w:lang w:val="en-GB"/>
              </w:rPr>
            </w:pPr>
            <w:r>
              <w:rPr>
                <w:rFonts w:cs="Arial"/>
                <w:sz w:val="24"/>
                <w:szCs w:val="24"/>
                <w:lang w:val="en-GB"/>
              </w:rPr>
              <w:t>mgr inż. arch.</w:t>
            </w:r>
          </w:p>
          <w:p>
            <w:pPr>
              <w:pStyle w:val="Normal"/>
              <w:spacing w:before="120" w:after="0"/>
              <w:rPr>
                <w:rFonts w:cs="Arial"/>
                <w:sz w:val="24"/>
                <w:szCs w:val="24"/>
                <w:lang w:val="en-GB"/>
              </w:rPr>
            </w:pPr>
            <w:r>
              <w:rPr>
                <w:rFonts w:cs="Arial"/>
                <w:sz w:val="24"/>
                <w:szCs w:val="24"/>
                <w:lang w:val="en-GB"/>
              </w:rPr>
              <w:t>KAROL MAJOR</w:t>
            </w:r>
          </w:p>
          <w:p>
            <w:pPr>
              <w:pStyle w:val="Normal"/>
              <w:spacing w:before="120" w:after="0"/>
              <w:rPr>
                <w:rFonts w:cs="Arial"/>
                <w:sz w:val="24"/>
                <w:szCs w:val="24"/>
                <w:lang w:val="en-GB"/>
              </w:rPr>
            </w:pPr>
            <w:r>
              <w:rPr>
                <w:rFonts w:cs="Arial"/>
                <w:sz w:val="24"/>
                <w:szCs w:val="24"/>
                <w:lang w:val="en-GB"/>
              </w:rPr>
            </w:r>
          </w:p>
          <w:p>
            <w:pPr>
              <w:pStyle w:val="Normal"/>
              <w:spacing w:before="120" w:after="0"/>
              <w:rPr>
                <w:rFonts w:cs="Arial"/>
                <w:lang w:val="en-GB"/>
              </w:rPr>
            </w:pPr>
            <w:r>
              <w:rPr>
                <w:rFonts w:cs="Arial"/>
                <w:lang w:val="en-GB"/>
              </w:rPr>
            </w:r>
          </w:p>
        </w:tc>
        <w:tc>
          <w:tcPr>
            <w:tcW w:w="3458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spacing w:before="120" w:after="0"/>
              <w:rPr>
                <w:rFonts w:cs="Arial"/>
              </w:rPr>
            </w:pPr>
            <w:r>
              <w:rPr>
                <w:rFonts w:cs="Arial"/>
                <w:sz w:val="24"/>
                <w:szCs w:val="24"/>
              </w:rPr>
              <w:t>MPOIA/193/75/PW- S 0291</w:t>
            </w:r>
          </w:p>
          <w:p>
            <w:pPr>
              <w:pStyle w:val="Normal"/>
              <w:snapToGrid w:val="false"/>
              <w:spacing w:before="120" w:after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  <w:p>
            <w:pPr>
              <w:pStyle w:val="Normal"/>
              <w:snapToGrid w:val="false"/>
              <w:spacing w:before="120" w:after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  <w:p>
            <w:pPr>
              <w:pStyle w:val="Normal"/>
              <w:snapToGrid w:val="false"/>
              <w:spacing w:before="120" w:after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</w:r>
          </w:p>
        </w:tc>
        <w:tc>
          <w:tcPr>
            <w:tcW w:w="2666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</w:r>
          </w:p>
        </w:tc>
      </w:tr>
    </w:tbl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</w:rPr>
      </w:pPr>
      <w:r>
        <w:rPr>
          <w:rFonts w:cs="Arial"/>
          <w:sz w:val="24"/>
          <w:szCs w:val="24"/>
        </w:rPr>
        <w:tab/>
      </w:r>
      <w:r>
        <w:rPr>
          <w:rFonts w:cs="Arial"/>
        </w:rPr>
        <w:t>Zgodnie z art. 34 ust. 3d p. 3, 3e ustawy z dnia 7 lipca 1994r. – (Prawo budowlane Dz. U. z 2020r. poz. 133 z późn. zmianami) ja niżej podpisany oświadczam, że projekt budowlany j/w został opracowany w sposób zgodny z wymaganiami ustawy Prawo budowlane, ustaleniami określonymi w decyzjach administracyjnych dotyczących zamierzenia budowlanego, przepisami oraz zasadami wiedzy technicznej obowiązującymi na dzień opracowania projektu.</w:t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Normal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</w:r>
    </w:p>
    <w:p>
      <w:pPr>
        <w:pStyle w:val="Heading2"/>
        <w:numPr>
          <w:ilvl w:val="1"/>
          <w:numId w:val="30"/>
        </w:numPr>
        <w:ind w:hanging="284" w:left="851"/>
        <w:rPr>
          <w:rFonts w:cs="Arial"/>
        </w:rPr>
      </w:pPr>
      <w:bookmarkStart w:id="0" w:name="_Toc161341711"/>
      <w:bookmarkStart w:id="1" w:name="_Toc161343739"/>
      <w:r>
        <w:rPr>
          <w:rFonts w:cs="Arial"/>
        </w:rPr>
        <w:t>Część opisowa</w:t>
      </w:r>
      <w:bookmarkEnd w:id="0"/>
      <w:bookmarkEnd w:id="1"/>
    </w:p>
    <w:p>
      <w:pPr>
        <w:pStyle w:val="Heading3"/>
        <w:numPr>
          <w:ilvl w:val="2"/>
          <w:numId w:val="31"/>
        </w:numPr>
        <w:ind w:hanging="567" w:left="1418"/>
        <w:rPr>
          <w:rFonts w:cs="Arial"/>
        </w:rPr>
      </w:pPr>
      <w:bookmarkStart w:id="2" w:name="_Toc161341712"/>
      <w:bookmarkStart w:id="3" w:name="_Toc161343740"/>
      <w:r>
        <w:rPr>
          <w:rFonts w:cs="Arial"/>
        </w:rPr>
        <w:t>Przedmiot zamierzenia budowlanego</w:t>
      </w:r>
      <w:bookmarkEnd w:id="2"/>
      <w:bookmarkEnd w:id="3"/>
    </w:p>
    <w:p>
      <w:pPr>
        <w:pStyle w:val="Heading4"/>
        <w:numPr>
          <w:ilvl w:val="3"/>
          <w:numId w:val="32"/>
        </w:numPr>
        <w:rPr>
          <w:rFonts w:cs="Arial"/>
        </w:rPr>
      </w:pPr>
      <w:bookmarkStart w:id="4" w:name="_Toc161341713"/>
      <w:bookmarkStart w:id="5" w:name="_Toc161343741"/>
      <w:r>
        <w:rPr>
          <w:rFonts w:cs="Arial"/>
        </w:rPr>
        <w:t>Określenie przedmiotu zamierzenia budowlanego</w:t>
      </w:r>
      <w:bookmarkEnd w:id="4"/>
      <w:bookmarkEnd w:id="5"/>
    </w:p>
    <w:p>
      <w:pPr>
        <w:pStyle w:val="Normal"/>
        <w:rPr>
          <w:rFonts w:cs="Arial"/>
        </w:rPr>
      </w:pPr>
      <w:r>
        <w:rPr>
          <w:rFonts w:cs="Arial"/>
        </w:rPr>
        <w:t>Przedmiotem zamierzenia budowlanego jest wymiana stolarki okiennej oraz instalacji odgromowej w kościele pw. Przenajświętszej Trójcy zlokalizowanym przy ul. Rynek 21, w miejscowości Przystajń (42-141).</w:t>
      </w:r>
    </w:p>
    <w:p>
      <w:pPr>
        <w:pStyle w:val="Normal"/>
        <w:rPr>
          <w:rFonts w:cs="Arial"/>
        </w:rPr>
      </w:pPr>
      <w:r>
        <w:rPr>
          <w:rFonts w:cs="Arial"/>
        </w:rPr>
        <w:t xml:space="preserve">Budynek znajduje się na działce nr ewid.:252, obręb 15 Przystajń, jednostka ewid. 240608_2 Przystajń. </w:t>
      </w:r>
    </w:p>
    <w:p>
      <w:pPr>
        <w:pStyle w:val="Normal"/>
        <w:rPr>
          <w:rFonts w:cs="Arial"/>
        </w:rPr>
      </w:pPr>
      <w:r>
        <w:rPr>
          <w:rFonts w:cs="Arial"/>
        </w:rPr>
        <w:t>Budynek znajduje się na terenie objętym miejscowym planem zagospodarowania przestrzennego zgodnie z Uchwałą nr XLIV.371.2018 Rady Gminy Przystajń z dnia 5 listopada 2018 r. w sprawie miejscowego planu zagospodarowania przestrzennego. Wg w/w planu teren działki inwestycji został oznaczony symbolem Uk1, o ustaleniu funkcjonalnym: tereny przeznaczone na cele usługi kultury w tym kultu religijnego. W związku z zakresem  zamierzenia inwestycyjnego dla budynku istniejącego zapisy planu dot. parametrów (wymiarów, powierzchni zabudowy, wskaźników itp.) nie odnoszą się do przedmiotowego budynku.</w:t>
      </w:r>
    </w:p>
    <w:p>
      <w:pPr>
        <w:pStyle w:val="Normal"/>
        <w:rPr>
          <w:rFonts w:cs="Arial"/>
        </w:rPr>
      </w:pPr>
      <w:r>
        <w:rPr>
          <w:rFonts w:cs="Arial"/>
        </w:rPr>
        <w:t xml:space="preserve">Budynek jest objęty ochroną konserwatorską zgodnie z wpisem do rejestru zabytków nieruchomych Wojewódzkiego Konserwatora Zabytków – nr rejestru A/978/2022 z dnia 05.05.2022r. zgodnie z pismem nr  sprawy: K-RD.5130.65.2022.MB </w:t>
      </w:r>
    </w:p>
    <w:p>
      <w:pPr>
        <w:pStyle w:val="Heading4"/>
        <w:numPr>
          <w:ilvl w:val="3"/>
          <w:numId w:val="33"/>
        </w:numPr>
        <w:rPr>
          <w:rFonts w:cs="Arial"/>
        </w:rPr>
      </w:pPr>
      <w:bookmarkStart w:id="6" w:name="_Toc161341714"/>
      <w:bookmarkStart w:id="7" w:name="_Toc161343742"/>
      <w:r>
        <w:rPr>
          <w:rFonts w:cs="Arial"/>
        </w:rPr>
        <w:t>Podstawa opracowania</w:t>
      </w:r>
      <w:bookmarkEnd w:id="6"/>
      <w:bookmarkEnd w:id="7"/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 xml:space="preserve">zlecenie Inwestora </w:t>
      </w:r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 xml:space="preserve">wizja lokalna </w:t>
      </w:r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>inwentaryzacja w terenie</w:t>
      </w:r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>mapa sytuacyjne</w:t>
      </w:r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>dokumentacja fotograficzna</w:t>
      </w:r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>Polskie Normy i przepisy branżowe</w:t>
      </w:r>
    </w:p>
    <w:p>
      <w:pPr>
        <w:pStyle w:val="ListParagraph"/>
        <w:numPr>
          <w:ilvl w:val="0"/>
          <w:numId w:val="3"/>
        </w:numPr>
        <w:rPr>
          <w:rFonts w:cs="Arial"/>
        </w:rPr>
      </w:pPr>
      <w:r>
        <w:rPr>
          <w:rFonts w:cs="Arial"/>
        </w:rPr>
        <w:t>Prawo budowlane – ustawa z dnia 7 lipca 1994r. z późniejszymi zmianami</w:t>
      </w:r>
    </w:p>
    <w:p>
      <w:pPr>
        <w:pStyle w:val="Heading4"/>
        <w:numPr>
          <w:ilvl w:val="3"/>
          <w:numId w:val="34"/>
        </w:numPr>
        <w:rPr>
          <w:rFonts w:cs="Arial"/>
        </w:rPr>
      </w:pPr>
      <w:bookmarkStart w:id="8" w:name="_Toc161341715"/>
      <w:bookmarkStart w:id="9" w:name="_Toc161343743"/>
      <w:r>
        <w:rPr>
          <w:rFonts w:cs="Arial"/>
        </w:rPr>
        <w:t>Zakres  i cel opracowania</w:t>
      </w:r>
      <w:bookmarkEnd w:id="8"/>
      <w:bookmarkEnd w:id="9"/>
    </w:p>
    <w:p>
      <w:pPr>
        <w:pStyle w:val="Normal"/>
        <w:rPr>
          <w:rFonts w:cs="Arial"/>
        </w:rPr>
      </w:pPr>
      <w:r>
        <w:rPr>
          <w:rFonts w:cs="Arial"/>
        </w:rPr>
        <w:t>Celem opracowania jest opracowanie dokumentacji projektowej wymiany zewnętrznej stolarki okiennej, renowacji elewacji oraz wymiany instalacji odgromowej w kościele pw. Przenajświętszej Trójcy w miejscowości Przystajń.</w:t>
      </w:r>
    </w:p>
    <w:p>
      <w:pPr>
        <w:pStyle w:val="Heading4"/>
        <w:numPr>
          <w:ilvl w:val="3"/>
          <w:numId w:val="35"/>
        </w:numPr>
        <w:rPr>
          <w:rFonts w:cs="Arial"/>
        </w:rPr>
      </w:pPr>
      <w:bookmarkStart w:id="10" w:name="_Toc161341716"/>
      <w:bookmarkStart w:id="11" w:name="_Toc161343744"/>
      <w:r>
        <w:rPr>
          <w:rFonts w:cs="Arial"/>
        </w:rPr>
        <w:t>Zamierzony sposób użytkowania i program użytkowy</w:t>
      </w:r>
      <w:bookmarkEnd w:id="10"/>
      <w:bookmarkEnd w:id="11"/>
    </w:p>
    <w:p>
      <w:pPr>
        <w:pStyle w:val="Normal"/>
        <w:rPr>
          <w:rFonts w:cs="Arial"/>
        </w:rPr>
      </w:pPr>
      <w:r>
        <w:rPr>
          <w:rFonts w:cs="Arial"/>
        </w:rPr>
        <w:t>W zakresie niniejszego opracowania nie planuje się budowy żadnych nowych obiektów budowlanych. Przeznaczenie obiektu nie zmieni się. Budynek zalicza się do X kategorii obiektu budowlanego.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3"/>
        <w:numPr>
          <w:ilvl w:val="2"/>
          <w:numId w:val="36"/>
        </w:numPr>
        <w:ind w:hanging="567" w:left="1418"/>
        <w:rPr>
          <w:rFonts w:cs="Arial"/>
        </w:rPr>
      </w:pPr>
      <w:bookmarkStart w:id="12" w:name="_Toc161341717"/>
      <w:bookmarkStart w:id="13" w:name="_Toc161343745"/>
      <w:r>
        <w:rPr>
          <w:rFonts w:cs="Arial"/>
        </w:rPr>
        <w:t>Układ przestrzenny, forma architektoniczna obiektu</w:t>
      </w:r>
      <w:bookmarkEnd w:id="12"/>
      <w:bookmarkEnd w:id="13"/>
    </w:p>
    <w:p>
      <w:pPr>
        <w:pStyle w:val="Normal"/>
        <w:rPr>
          <w:rFonts w:cs="Arial"/>
        </w:rPr>
      </w:pPr>
      <w:r>
        <w:rPr>
          <w:rFonts w:cs="Arial"/>
        </w:rPr>
        <w:t>Budowę datuje się na lata 1752-1797. Istniejący budynek jest budynkiem jednokondygnacyjnym. Kościół jest jednonawowy z trójbocznie zamkniętym prezbiterium orientowanym w kierunku wschodnim. Nad nawą zaprojektowano dach dwuspadowy, a nad prezbiterium wielospadowy. Wieża jest przykryta hełmem piramidalnym, uskokowym. W kalenicy nawy znajduje się wieżyczka na sygnaturkę z ażurową latarnią przykryta daszkiem cebulastym. Kaplica (stara zakrystia) przykryta dachem pulpitowym, zakrystia namiotowym czterospadowym. Jest murowany z cegły ceramicznej oraz otynkowany grubym tynkiem wapiennym i cienkowarstwowym tynkiem barwionym w masie - w kolorze Ral 1013. Grubość murów jest zróżnicowana. Wartości wahają się od 90 do 150cm, natomiast w części dobudowanej w późniejszym okresie zakrystii od 70cm do 80cm.</w:t>
      </w:r>
    </w:p>
    <w:p>
      <w:pPr>
        <w:pStyle w:val="Heading4"/>
        <w:numPr>
          <w:ilvl w:val="3"/>
          <w:numId w:val="37"/>
        </w:numPr>
        <w:rPr>
          <w:rFonts w:cs="Arial"/>
        </w:rPr>
      </w:pPr>
      <w:bookmarkStart w:id="14" w:name="_Toc161341718"/>
      <w:bookmarkStart w:id="15" w:name="_Toc161343746"/>
      <w:r>
        <w:rPr>
          <w:rFonts w:cs="Arial"/>
        </w:rPr>
        <w:t>Charakterystyczne parametry obiektu</w:t>
      </w:r>
      <w:bookmarkEnd w:id="14"/>
      <w:bookmarkEnd w:id="15"/>
      <w:r>
        <w:rPr>
          <w:rFonts w:cs="Arial"/>
        </w:rPr>
        <w:t xml:space="preserve"> </w:t>
      </w:r>
    </w:p>
    <w:p>
      <w:pPr>
        <w:pStyle w:val="Normal"/>
        <w:rPr>
          <w:rFonts w:cs="Arial"/>
        </w:rPr>
      </w:pPr>
      <w:r>
        <w:rPr>
          <w:rFonts w:cs="Arial"/>
        </w:rPr>
        <w:t>Łączna długość elewacji frontowej - 13,42m</w:t>
      </w:r>
    </w:p>
    <w:p>
      <w:pPr>
        <w:pStyle w:val="Normal"/>
        <w:rPr>
          <w:rFonts w:cs="Arial"/>
        </w:rPr>
      </w:pPr>
      <w:r>
        <w:rPr>
          <w:rFonts w:cs="Arial"/>
        </w:rPr>
        <w:t>Łączna długość elewacji bocznej - 21,00m</w:t>
      </w:r>
    </w:p>
    <w:p>
      <w:pPr>
        <w:pStyle w:val="Normal"/>
        <w:rPr>
          <w:rFonts w:cs="Arial"/>
        </w:rPr>
      </w:pPr>
      <w:r>
        <w:rPr>
          <w:rFonts w:cs="Arial"/>
        </w:rPr>
        <w:t>Powierzchnia zabudowy - 368m</w:t>
      </w:r>
      <w:r>
        <w:rPr>
          <w:rFonts w:cs="Arial"/>
          <w:vertAlign w:val="superscript"/>
        </w:rPr>
        <w:t>2</w:t>
      </w:r>
    </w:p>
    <w:p>
      <w:pPr>
        <w:pStyle w:val="Normal"/>
        <w:rPr>
          <w:rFonts w:cs="Arial"/>
        </w:rPr>
      </w:pPr>
      <w:r>
        <w:rPr>
          <w:rFonts w:cs="Arial"/>
        </w:rPr>
        <w:t>Ilość kondygnacji -1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3"/>
        <w:numPr>
          <w:ilvl w:val="2"/>
          <w:numId w:val="38"/>
        </w:numPr>
        <w:ind w:hanging="567" w:left="1418"/>
        <w:rPr>
          <w:rFonts w:cs="Arial"/>
        </w:rPr>
      </w:pPr>
      <w:bookmarkStart w:id="16" w:name="_Toc161341719"/>
      <w:bookmarkStart w:id="17" w:name="_Toc161343747"/>
      <w:r>
        <w:rPr>
          <w:rFonts w:cs="Arial"/>
        </w:rPr>
        <w:t>Ocena stanu technicznego istniejącej stolarki okiennej</w:t>
      </w:r>
      <w:bookmarkEnd w:id="16"/>
      <w:bookmarkEnd w:id="17"/>
      <w:r>
        <w:rPr>
          <w:rFonts w:cs="Arial"/>
        </w:rPr>
        <w:t xml:space="preserve"> </w:t>
      </w:r>
    </w:p>
    <w:p>
      <w:pPr>
        <w:pStyle w:val="Normal"/>
        <w:rPr>
          <w:rFonts w:cs="Arial"/>
        </w:rPr>
      </w:pPr>
      <w:r>
        <w:rPr>
          <w:rFonts w:cs="Arial"/>
        </w:rPr>
        <w:t xml:space="preserve">Przedmiot opracowania dotyczy wymiany dwóch okien o wymiarach 95,5x133,5cm w części zakrystii znajdujących się na południowej elewacji, jednego okna o wymiarach 82x99cm w części kaplicy na północnej elewacji oraz wstawienie stolarki w trzy otwory okienne znajdujące się w ścianach kaplicy. </w:t>
      </w:r>
    </w:p>
    <w:p>
      <w:pPr>
        <w:pStyle w:val="Normal"/>
        <w:rPr>
          <w:rFonts w:cs="Arial"/>
        </w:rPr>
      </w:pPr>
      <w:r>
        <w:rPr>
          <w:rFonts w:cs="Arial"/>
        </w:rPr>
        <w:t>Stan techniczny stolarki okiennej wykazuje liczne uszkodzenia. Zaobserwowano wyszczerbienia, pęknięcia i zniszczoną powierzchnie malarską (odpryski i złuszczenia farby). Stolarka nie zapewnia prawidłowej szczelności, powoduje utrudnienia w jej otwieraniu i zamykaniu. Jej niezadowalający stan techniczny kwalifikuje ją do wymiany.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/>
      </w:pPr>
      <w:r>
        <w:rPr/>
        <w:t>Na podstawie inwentaryzacji, przeprowadzonych analiz i stanu technicznego obiektu określono następujące wytyczne konserwatorskie:</w:t>
      </w:r>
    </w:p>
    <w:p>
      <w:pPr>
        <w:pStyle w:val="ListParagraph"/>
        <w:numPr>
          <w:ilvl w:val="0"/>
          <w:numId w:val="5"/>
        </w:numPr>
        <w:rPr/>
      </w:pPr>
      <w:r>
        <w:rPr/>
        <w:t>należy zachować bryłę budynku ze względu na jego historyczny charakter,</w:t>
      </w:r>
    </w:p>
    <w:p>
      <w:pPr>
        <w:pStyle w:val="ListParagraph"/>
        <w:numPr>
          <w:ilvl w:val="0"/>
          <w:numId w:val="5"/>
        </w:numPr>
        <w:rPr/>
      </w:pPr>
      <w:r>
        <w:rPr/>
        <w:t>zaleca się zlecenie badań nad stanem zasolenia i zawilgocenia ścian i stropów,</w:t>
      </w:r>
    </w:p>
    <w:p>
      <w:pPr>
        <w:pStyle w:val="ListParagraph"/>
        <w:numPr>
          <w:ilvl w:val="0"/>
          <w:numId w:val="5"/>
        </w:numPr>
        <w:rPr/>
      </w:pPr>
      <w:r>
        <w:rPr/>
        <w:t>należy oczyścić elewacje i odnowić tynki, zaleca się uzupełnienie ubytków w ścianach,</w:t>
      </w:r>
    </w:p>
    <w:p>
      <w:pPr>
        <w:pStyle w:val="ListParagraph"/>
        <w:numPr>
          <w:ilvl w:val="0"/>
          <w:numId w:val="5"/>
        </w:numPr>
        <w:rPr/>
      </w:pPr>
      <w:r>
        <w:rPr/>
        <w:t>należy pomalowanie farbą fasadową w kolorze RAL 1013</w:t>
      </w:r>
    </w:p>
    <w:p>
      <w:pPr>
        <w:pStyle w:val="ListParagraph"/>
        <w:numPr>
          <w:ilvl w:val="0"/>
          <w:numId w:val="5"/>
        </w:numPr>
        <w:rPr/>
      </w:pPr>
      <w:r>
        <w:rPr/>
        <w:t>należy zachować wielkość i rozmieszczenie otworów okiennych i drzwiowych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tbl>
      <w:tblPr>
        <w:tblStyle w:val="Tabela-Siatka"/>
        <w:tblW w:w="9344" w:type="dxa"/>
        <w:jc w:val="center"/>
        <w:tblInd w:w="0" w:type="dxa"/>
        <w:tblLayout w:type="fixed"/>
        <w:tblCellMar>
          <w:top w:w="170" w:type="dxa"/>
          <w:left w:w="108" w:type="dxa"/>
          <w:bottom w:w="142" w:type="dxa"/>
          <w:right w:w="108" w:type="dxa"/>
        </w:tblCellMar>
        <w:tblLook w:firstRow="1" w:noVBand="1" w:lastRow="0" w:firstColumn="1" w:lastColumn="0" w:noHBand="0" w:val="04a0"/>
      </w:tblPr>
      <w:tblGrid>
        <w:gridCol w:w="527"/>
        <w:gridCol w:w="3428"/>
        <w:gridCol w:w="5389"/>
      </w:tblGrid>
      <w:tr>
        <w:trPr/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Lp.</w:t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Główne problemy</w:t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Opis</w:t>
            </w:r>
          </w:p>
        </w:tc>
      </w:tr>
      <w:tr>
        <w:trPr>
          <w:trHeight w:val="2835" w:hRule="atLeast"/>
        </w:trPr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1.</w:t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4AB16428">
                      <wp:extent cx="1918970" cy="1440180"/>
                      <wp:effectExtent l="635" t="239395" r="0" b="240665"/>
                      <wp:docPr id="1" name="Obraz 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Obraz 1" descr=""/>
                              <pic:cNvPicPr/>
                            </pic:nvPicPr>
                            <pic:blipFill>
                              <a:blip r:embed="rId2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_0" ID="Obraz 1" stroked="f" o:allowincell="f" style="position:absolute;margin-left:-18.85pt;margin-top:-132.4pt;width:151.05pt;height:113.35pt;mso-wrap-style:none;v-text-anchor:middle;rotation:90;mso-position-vertical:top" wp14:anchorId="4AB16428" type="_x0000_t75">
                      <v:imagedata r:id="rId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669E9501">
                      <wp:extent cx="1918970" cy="1440180"/>
                      <wp:effectExtent l="635" t="239395" r="0" b="240665"/>
                      <wp:docPr id="3" name="Obraz 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Obraz 2" descr=""/>
                              <pic:cNvPicPr/>
                            </pic:nvPicPr>
                            <pic:blipFill>
                              <a:blip r:embed="rId4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2" stroked="f" o:allowincell="f" style="position:absolute;margin-left:-18.85pt;margin-top:-132.4pt;width:151.05pt;height:113.35pt;mso-wrap-style:none;v-text-anchor:middle;rotation:90;mso-position-vertical:top" wp14:anchorId="669E9501" type="_x0000_t75">
                      <v:imagedata r:id="rId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Okno 03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elewacja północna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Parametry istniejącej stolarki: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- 4 kwaterowe (podział na 2 skrzydła, oba otwierane, podział na kwatery równy w poziomie i pionie)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materiał: stalowe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kolor: malowane farbą do stali, kolor: ciemny ceglany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parapet zewnętrzny stalowy malowany farbą, kolor: ciemny ceglany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Stan istniejącej stolarki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-nieszczelna stolarka okienna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-konieczność wymiary parapetu zewnętrznego ( parapet o wymiarach jak istniejący)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Uwaga: zastosowanie szyb ze szkła przezroczystego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parapet i okna malowane w kolorze jak istniejące</w:t>
            </w:r>
          </w:p>
        </w:tc>
      </w:tr>
      <w:tr>
        <w:trPr/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  <w:lang w:val="en-GB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en-GB" w:eastAsia="en-US" w:bidi="ar-SA"/>
              </w:rPr>
              <w:t>2.</w:t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1E4074E8">
                      <wp:extent cx="1918970" cy="1440180"/>
                      <wp:effectExtent l="635" t="239395" r="0" b="240665"/>
                      <wp:docPr id="5" name="Obraz 6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" name="Obraz 6" descr=""/>
                              <pic:cNvPicPr/>
                            </pic:nvPicPr>
                            <pic:blipFill>
                              <a:blip r:embed="rId6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6" stroked="f" o:allowincell="f" style="position:absolute;margin-left:-18.85pt;margin-top:-132.4pt;width:151.05pt;height:113.35pt;mso-wrap-style:none;v-text-anchor:middle;rotation:90;mso-position-vertical:top" wp14:anchorId="1E4074E8" type="_x0000_t75">
                      <v:imagedata r:id="rId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5137FC84">
                      <wp:extent cx="1918970" cy="1440180"/>
                      <wp:effectExtent l="635" t="239395" r="0" b="240665"/>
                      <wp:docPr id="7" name="Obraz 3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8" name="Obraz 3" descr=""/>
                              <pic:cNvPicPr/>
                            </pic:nvPicPr>
                            <pic:blipFill>
                              <a:blip r:embed="rId8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3" stroked="f" o:allowincell="f" style="position:absolute;margin-left:-18.85pt;margin-top:-132.4pt;width:151.05pt;height:113.35pt;mso-wrap-style:none;v-text-anchor:middle;rotation:90;mso-position-vertical:top" wp14:anchorId="5137FC84" type="_x0000_t75">
                      <v:imagedata r:id="rId9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Okno 01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elewacja południowa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Parametry istniejącej stolarki: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- 6 kwaterowe (jedna kwatera w lewym skrzydle otwierana, pozostałe elementy stałe)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materiał: stalowe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kolor: malowane farbą do stali, kolor: ciemny ceglany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parapet zewnętrzny stalowy malowany farbą, kolor: ciemny ceglany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Stan istniejącej stolarki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nieszczena stolarka okienna,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konieczność wymiary parapetu zewnętrznego (parapet o wymiarach jak istniejący)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Uwaga: zastosowanie szyb ze szkła przezroczystego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w:t>parapet i okna malowane w kolorze jak istniejące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</w:tc>
      </w:tr>
      <w:tr>
        <w:trPr/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  <w:lang w:val="en-GB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en-GB" w:eastAsia="en-US" w:bidi="ar-SA"/>
              </w:rPr>
              <w:t>3.</w:t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63731A2F">
                      <wp:extent cx="1918970" cy="1440180"/>
                      <wp:effectExtent l="635" t="239395" r="0" b="240665"/>
                      <wp:docPr id="9" name="Obraz 7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Obraz 7" descr="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7" stroked="f" o:allowincell="f" style="position:absolute;margin-left:-18.85pt;margin-top:-132.4pt;width:151.05pt;height:113.35pt;mso-wrap-style:none;v-text-anchor:middle;rotation:90;mso-position-vertical:top" wp14:anchorId="63731A2F" type="_x0000_t75">
                      <v:imagedata r:id="rId11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Okno 02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elewacja południowa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Parametry istniejącej stolarki: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- 6 kwaterowe (jedna kwatera w lewym skrzydle otwierana, pozostałe elementy stałe)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materiał: stalowe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kolor: malowane farbą do stali, kolor: ciemny ceglany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parapet zewnętrzny stalowy malowany farbą, kolor: ciemny ceglany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Stan istniejącej stolarki: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-nieszczelna stolarka okienna,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-konieczność wymiary parapetu zewnętrznego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w:t>(parapet o wymiarach jak istniejący)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w:t>Uwaga: zastosowanie szyb ze szkła przezroczystego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parapet i okna malowane w kolorze jak istniejące</w:t>
            </w:r>
          </w:p>
        </w:tc>
      </w:tr>
      <w:tr>
        <w:trPr/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  <w:lang w:val="en-GB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en-GB" w:eastAsia="en-US" w:bidi="ar-SA"/>
              </w:rPr>
              <w:t>4.</w:t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317C7A67">
                      <wp:extent cx="1918970" cy="1440180"/>
                      <wp:effectExtent l="635" t="239395" r="0" b="240665"/>
                      <wp:docPr id="11" name="Obraz 8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Obraz 8" descr=""/>
                              <pic:cNvPicPr/>
                            </pic:nvPicPr>
                            <pic:blipFill>
                              <a:blip r:embed="rId12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8" stroked="f" o:allowincell="f" style="position:absolute;margin-left:-18.85pt;margin-top:-132.4pt;width:151.05pt;height:113.35pt;mso-wrap-style:none;v-text-anchor:middle;rotation:90;mso-position-vertical:top" wp14:anchorId="317C7A67" type="_x0000_t75">
                      <v:imagedata r:id="rId1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konieczność zabezpieczenia i wyczyszczenia kamieni na elewacji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Metody: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Przy niewielkich zabrudzeniach – metodą wody pod ciśnieniem, w przypadku większych – zastosować hydropiaskowanie</w:t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cs="Arial"/>
              </w:rPr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cs="Arial"/>
              </w:rPr>
              <w:t>Brak widocznych uszkodzeń i konieczności renowacji detali architektonicznych</w:t>
            </w:r>
          </w:p>
        </w:tc>
      </w:tr>
      <w:tr>
        <w:trPr/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cs="Arial"/>
              </w:rPr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7DACD846">
                      <wp:extent cx="1918970" cy="1440180"/>
                      <wp:effectExtent l="635" t="239395" r="0" b="240665"/>
                      <wp:docPr id="13" name="Obraz 13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Obraz 13" descr=""/>
                              <pic:cNvPicPr/>
                            </pic:nvPicPr>
                            <pic:blipFill>
                              <a:blip r:embed="rId14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13" stroked="f" o:allowincell="f" style="position:absolute;margin-left:-18.85pt;margin-top:-132.4pt;width:151.05pt;height:113.35pt;mso-wrap-style:none;v-text-anchor:middle;rotation:90;mso-position-vertical:top" wp14:anchorId="7DACD846" type="_x0000_t75">
                      <v:imagedata r:id="rId1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7C767EDB">
                      <wp:extent cx="1918970" cy="1440180"/>
                      <wp:effectExtent l="635" t="239395" r="0" b="240665"/>
                      <wp:docPr id="15" name="Obraz 14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Obraz 14" descr=""/>
                              <pic:cNvPicPr/>
                            </pic:nvPicPr>
                            <pic:blipFill>
                              <a:blip r:embed="rId16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14" stroked="f" o:allowincell="f" style="position:absolute;margin-left:-18.85pt;margin-top:-132.4pt;width:151.05pt;height:113.35pt;mso-wrap-style:none;v-text-anchor:middle;rotation:90;mso-position-vertical:top" wp14:anchorId="7C767EDB" type="_x0000_t75">
                      <v:imagedata r:id="rId1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analiza zastosowanego koloru tynku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należy przyjąć kolor RAL 1013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Stan istniejący elewacji (w kwestii tynków)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Wykonano odkrywki stratygraficzne i stwierdzono brak istniejących malowideł lub innych dekoracyjnych warstw. Aktualna warstwa tynku jest jedyną warstwą wykończeniową dla ścian zewnętrznych na całym obiekcie</w:t>
            </w:r>
          </w:p>
          <w:p>
            <w:pPr>
              <w:pStyle w:val="Normal"/>
              <w:widowControl/>
              <w:spacing w:before="0" w:after="0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Brak widocznych uszkodzeń i konieczności renowacji detali architektonicznych</w:t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/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/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Elewacje malowane farbą mineralna krzemianową</w:t>
            </w:r>
          </w:p>
        </w:tc>
      </w:tr>
      <w:tr>
        <w:trPr/>
        <w:tc>
          <w:tcPr>
            <w:tcW w:w="527" w:type="dxa"/>
            <w:tcBorders/>
          </w:tcPr>
          <w:p>
            <w:pPr>
              <w:pStyle w:val="Normal"/>
              <w:widowControl/>
              <w:spacing w:before="0" w:after="0"/>
              <w:rPr>
                <w:rFonts w:cs="Arial"/>
                <w:lang w:val="en-GB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en-GB" w:eastAsia="en-US" w:bidi="ar-SA"/>
              </w:rPr>
              <w:t>5.</w:t>
            </w:r>
          </w:p>
        </w:tc>
        <w:tc>
          <w:tcPr>
            <w:tcW w:w="3428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4230F9F8">
                      <wp:extent cx="1918970" cy="1440180"/>
                      <wp:effectExtent l="635" t="239395" r="0" b="240665"/>
                      <wp:docPr id="17" name="Obraz 10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Obraz 10" descr=""/>
                              <pic:cNvPicPr/>
                            </pic:nvPicPr>
                            <pic:blipFill>
                              <a:blip r:embed="rId18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10" stroked="f" o:allowincell="f" style="position:absolute;margin-left:-18.85pt;margin-top:-132.4pt;width:151.05pt;height:113.35pt;mso-wrap-style:none;v-text-anchor:middle;rotation:90;mso-position-vertical:top" wp14:anchorId="4230F9F8" type="_x0000_t75">
                      <v:imagedata r:id="rId19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4D4397EF">
                      <wp:extent cx="1918970" cy="1440180"/>
                      <wp:effectExtent l="635" t="239395" r="0" b="240665"/>
                      <wp:docPr id="19" name="Obraz 2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0" name="Obraz 22" descr=""/>
                              <pic:cNvPicPr/>
                            </pic:nvPicPr>
                            <pic:blipFill>
                              <a:blip r:embed="rId20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22" stroked="f" o:allowincell="f" style="position:absolute;margin-left:-18.85pt;margin-top:-132.4pt;width:151.05pt;height:113.35pt;mso-wrap-style:none;v-text-anchor:middle;rotation:90;mso-position-vertical:top" wp14:anchorId="4D4397EF" type="_x0000_t75">
                      <v:imagedata r:id="rId21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/>
              <mc:AlternateContent>
                <mc:Choice Requires="wps">
                  <w:drawing>
                    <wp:inline distT="0" distB="0" distL="0" distR="0" wp14:anchorId="15D870FB">
                      <wp:extent cx="1918970" cy="1440180"/>
                      <wp:effectExtent l="635" t="239395" r="0" b="240665"/>
                      <wp:docPr id="21" name="Obraz 1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" name="Obraz 12" descr="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12" stroked="f" o:allowincell="f" style="position:absolute;margin-left:-18.85pt;margin-top:-132.4pt;width:151.05pt;height:113.35pt;mso-wrap-style:none;v-text-anchor:middle;rotation:90;mso-position-vertical:top" wp14:anchorId="15D870FB" type="_x0000_t75">
                      <v:imagedata r:id="rId2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5F64C32F">
                      <wp:extent cx="1918970" cy="1440180"/>
                      <wp:effectExtent l="635" t="239395" r="0" b="240665"/>
                      <wp:docPr id="23" name="Obraz 18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4" name="Obraz 18" descr=""/>
                              <pic:cNvPicPr/>
                            </pic:nvPicPr>
                            <pic:blipFill>
                              <a:blip r:embed="rId24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18" stroked="f" o:allowincell="f" style="position:absolute;margin-left:-18.85pt;margin-top:-132.4pt;width:151.05pt;height:113.35pt;mso-wrap-style:none;v-text-anchor:middle;rotation:90;mso-position-vertical:top" wp14:anchorId="5F64C32F" type="_x0000_t75">
                      <v:imagedata r:id="rId2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3758FD01">
                      <wp:extent cx="1918970" cy="1440180"/>
                      <wp:effectExtent l="635" t="239395" r="0" b="240665"/>
                      <wp:docPr id="25" name="Obraz 23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6" name="Obraz 23" descr=""/>
                              <pic:cNvPicPr/>
                            </pic:nvPicPr>
                            <pic:blipFill>
                              <a:blip r:embed="rId26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23" stroked="f" o:allowincell="f" style="position:absolute;margin-left:-18.85pt;margin-top:-132.4pt;width:151.05pt;height:113.35pt;mso-wrap-style:none;v-text-anchor:middle;rotation:90;mso-position-vertical:top" wp14:anchorId="3758FD01" type="_x0000_t75">
                      <v:imagedata r:id="rId2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6481132C">
                      <wp:extent cx="1918970" cy="1440180"/>
                      <wp:effectExtent l="635" t="239395" r="0" b="240665"/>
                      <wp:docPr id="27" name="Obraz 20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8" name="Obraz 20" descr=""/>
                              <pic:cNvPicPr/>
                            </pic:nvPicPr>
                            <pic:blipFill>
                              <a:blip r:embed="rId28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20" stroked="f" o:allowincell="f" style="position:absolute;margin-left:-18.85pt;margin-top:-132.4pt;width:151.05pt;height:113.35pt;mso-wrap-style:none;v-text-anchor:middle;rotation:90;mso-position-vertical:top" wp14:anchorId="6481132C" type="_x0000_t75">
                      <v:imagedata r:id="rId29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32B204FA">
                      <wp:extent cx="1918970" cy="1440180"/>
                      <wp:effectExtent l="635" t="239395" r="0" b="240665"/>
                      <wp:docPr id="29" name="Obraz 2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0" name="Obraz 21" descr=""/>
                              <pic:cNvPicPr/>
                            </pic:nvPicPr>
                            <pic:blipFill>
                              <a:blip r:embed="rId30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21" stroked="f" o:allowincell="f" style="position:absolute;margin-left:-18.85pt;margin-top:-132.4pt;width:151.05pt;height:113.35pt;mso-wrap-style:none;v-text-anchor:middle;rotation:90;mso-position-vertical:top" wp14:anchorId="32B204FA" type="_x0000_t75">
                      <v:imagedata r:id="rId31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39B7E667">
                      <wp:extent cx="1918970" cy="1440180"/>
                      <wp:effectExtent l="635" t="239395" r="0" b="240665"/>
                      <wp:docPr id="31" name="Obraz 28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2" name="Obraz 28" descr=""/>
                              <pic:cNvPicPr/>
                            </pic:nvPicPr>
                            <pic:blipFill>
                              <a:blip r:embed="rId32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28" stroked="f" o:allowincell="f" style="position:absolute;margin-left:-18.85pt;margin-top:-132.4pt;width:151.05pt;height:113.35pt;mso-wrap-style:none;v-text-anchor:middle;rotation:90;mso-position-vertical:top" wp14:anchorId="39B7E667" type="_x0000_t75">
                      <v:imagedata r:id="rId33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4A536CF2">
                      <wp:extent cx="1918970" cy="1440180"/>
                      <wp:effectExtent l="635" t="239395" r="0" b="240665"/>
                      <wp:docPr id="33" name="Obraz 30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4" name="Obraz 30" descr=""/>
                              <pic:cNvPicPr/>
                            </pic:nvPicPr>
                            <pic:blipFill>
                              <a:blip r:embed="rId34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30" stroked="f" o:allowincell="f" style="position:absolute;margin-left:-18.85pt;margin-top:-132.4pt;width:151.05pt;height:113.35pt;mso-wrap-style:none;v-text-anchor:middle;rotation:90;mso-position-vertical:top" wp14:anchorId="4A536CF2" type="_x0000_t75">
                      <v:imagedata r:id="rId3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364F61D4">
                      <wp:extent cx="1918970" cy="1440180"/>
                      <wp:effectExtent l="635" t="239395" r="0" b="240665"/>
                      <wp:docPr id="35" name="Obraz 30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6" name="Obraz 30" descr=""/>
                              <pic:cNvPicPr/>
                            </pic:nvPicPr>
                            <pic:blipFill>
                              <a:blip r:embed="rId36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30" stroked="f" o:allowincell="f" style="position:absolute;margin-left:-18.85pt;margin-top:-132.4pt;width:151.05pt;height:113.35pt;mso-wrap-style:none;v-text-anchor:middle;rotation:90;mso-position-vertical:top" wp14:anchorId="364F61D4" type="_x0000_t75">
                      <v:imagedata r:id="rId37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inline distT="0" distB="0" distL="0" distR="0" wp14:anchorId="2EE48441">
                      <wp:extent cx="1918970" cy="1440180"/>
                      <wp:effectExtent l="635" t="239395" r="0" b="240665"/>
                      <wp:docPr id="37" name="Obraz 31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8" name="Obraz 31" descr=""/>
                              <pic:cNvPicPr/>
                            </pic:nvPicPr>
                            <pic:blipFill>
                              <a:blip r:embed="rId38"/>
                              <a:stretch/>
                            </pic:blipFill>
                            <pic:spPr>
                              <a:xfrm rot="5400000">
                                <a:off x="0" y="0"/>
                                <a:ext cx="1918800" cy="144036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Obraz 31" stroked="f" o:allowincell="f" style="position:absolute;margin-left:-18.85pt;margin-top:-132.4pt;width:151.05pt;height:113.35pt;mso-wrap-style:none;v-text-anchor:middle;rotation:90;mso-position-vertical:top" wp14:anchorId="2EE48441" type="_x0000_t75">
                      <v:imagedata r:id="rId39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5389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Stan istniejącej elewacji: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uszkodzona zewnętrzna struktura elewacji. Głównie w partiach cokołowych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brak bieżącej konserwacji budynku,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liczne drobne ubytki w tynku,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- zawilgocenia,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- zacieki na elewacjach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Arial"/>
              </w:rPr>
            </w:pPr>
            <w:r>
              <w:rPr>
                <w:rFonts w:cs="Arial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Metody oczyszczania elewacji: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Przy niewielkich zabrudzeniach – metodą wody pod ciśnieniem, w przypadku większych – zastosować hydropiaskowanie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W przypadku zawilgoconych partii cokołowych należy odpowiednio skuć te miejsca i wypełnić nową warstwą cementowo-wapienną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Sposób uzupełnienia ubytków w tynkach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miejscowo zaprawą cementowo-wapienną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Stan istniejącej elewacji: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uszkodzona zewnętrzna struktura elewacji. Głównie w partiach cokołowych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brak bieżącej konserwacji budynku,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liczne drobne ubytki w tynku,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- zawilgocenia,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- zacieki na elewacjach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Arial"/>
              </w:rPr>
            </w:pPr>
            <w:r>
              <w:rPr>
                <w:rFonts w:cs="Arial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Metody oczyszczania elewacji: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Przy niewielkich zabrudzeniach – metodą wody pod ciśnieniem, w przypadku większych – zastosować hydropiaskowanie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W przypadku zawilgoconych partii cokołowych należy odpowiednio skuć te miejsca i wypełnić nową warstwą cementowo-wapienną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Sposób uzupełnienia ubytków w tynkach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- miejscowo zaprawą cementowo-wapienną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  <w:t>Brak widocznych uszkodzeń i konieczności renowacji detali architektonicznych</w:t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/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/>
            </w:r>
          </w:p>
          <w:p>
            <w:pPr>
              <w:pStyle w:val="Normal"/>
              <w:widowControl/>
              <w:spacing w:before="0" w:after="0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Elewacje malowane farbą mineralna krzemianową</w:t>
            </w:r>
          </w:p>
        </w:tc>
      </w:tr>
      <w:tr>
        <w:trPr/>
        <w:tc>
          <w:tcPr>
            <w:tcW w:w="527" w:type="dxa"/>
            <w:tcBorders>
              <w:top w:val="nil"/>
            </w:tcBorders>
          </w:tcPr>
          <w:p>
            <w:pPr>
              <w:pStyle w:val="Normal"/>
              <w:widowControl/>
              <w:spacing w:before="0" w:after="0"/>
              <w:rPr>
                <w:rFonts w:cs="Arial"/>
                <w:lang w:val="en-GB"/>
              </w:rPr>
            </w:pPr>
            <w:r>
              <w:rPr>
                <w:rFonts w:cs="Arial"/>
                <w:lang w:val="en-GB"/>
              </w:rPr>
            </w:r>
          </w:p>
        </w:tc>
        <w:tc>
          <w:tcPr>
            <w:tcW w:w="3428" w:type="dxa"/>
            <w:tcBorders>
              <w:top w:val="nil"/>
            </w:tcBorders>
          </w:tcPr>
          <w:p>
            <w:pPr>
              <w:pStyle w:val="Normal"/>
              <w:widowControl/>
              <w:spacing w:before="0" w:after="0"/>
              <w:jc w:val="center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</w:tc>
        <w:tc>
          <w:tcPr>
            <w:tcW w:w="5389" w:type="dxa"/>
            <w:tcBorders>
              <w:top w:val="nil"/>
            </w:tcBorders>
          </w:tcPr>
          <w:p>
            <w:pPr>
              <w:pStyle w:val="Normal"/>
              <w:widowControl/>
              <w:spacing w:before="0" w:after="0"/>
              <w:jc w:val="left"/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pPr>
            <w:r>
              <w:rPr>
                <w:rFonts w:eastAsia="Calibri" w:cs=""/>
                <w:kern w:val="2"/>
                <w:sz w:val="22"/>
                <w:szCs w:val="22"/>
                <w:lang w:val="pl-PL" w:eastAsia="en-US" w:bidi="ar-SA"/>
              </w:rPr>
            </w:r>
          </w:p>
        </w:tc>
      </w:tr>
    </w:tbl>
    <w:p>
      <w:pPr>
        <w:pStyle w:val="Normal"/>
        <w:rPr>
          <w:rFonts w:cs="Arial"/>
          <w:lang w:val="en-GB"/>
        </w:rPr>
      </w:pPr>
      <w:r>
        <w:rPr>
          <w:rFonts w:cs="Arial"/>
          <w:lang w:val="en-GB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3"/>
        <w:numPr>
          <w:ilvl w:val="2"/>
          <w:numId w:val="39"/>
        </w:numPr>
        <w:ind w:hanging="567" w:left="1418"/>
        <w:rPr>
          <w:rFonts w:cs="Arial"/>
        </w:rPr>
      </w:pPr>
      <w:bookmarkStart w:id="18" w:name="_Toc161341720"/>
      <w:bookmarkStart w:id="19" w:name="_Toc161343748"/>
      <w:r>
        <w:rPr>
          <w:rFonts w:cs="Arial"/>
        </w:rPr>
        <w:t>Założenia projektowe</w:t>
      </w:r>
      <w:bookmarkEnd w:id="18"/>
      <w:bookmarkEnd w:id="19"/>
    </w:p>
    <w:p>
      <w:pPr>
        <w:pStyle w:val="Heading4"/>
        <w:numPr>
          <w:ilvl w:val="3"/>
          <w:numId w:val="40"/>
        </w:numPr>
        <w:rPr>
          <w:rFonts w:cs="Arial"/>
        </w:rPr>
      </w:pPr>
      <w:bookmarkStart w:id="20" w:name="_Toc161341721"/>
      <w:bookmarkStart w:id="21" w:name="_Toc161343749"/>
      <w:r>
        <w:rPr>
          <w:rFonts w:cs="Arial"/>
        </w:rPr>
        <w:t>Projektowane okna</w:t>
      </w:r>
      <w:bookmarkEnd w:id="20"/>
      <w:bookmarkEnd w:id="21"/>
    </w:p>
    <w:p>
      <w:pPr>
        <w:pStyle w:val="Normal"/>
        <w:rPr>
          <w:rFonts w:cs="Arial"/>
        </w:rPr>
      </w:pPr>
      <w:r>
        <w:rPr>
          <w:rFonts w:cs="Arial"/>
        </w:rPr>
        <w:t xml:space="preserve">Projektuje się okna jednoramowe zespolone drewniane z okładziną aluminiową z zewnątrz, przy jednoczesnym zachowaniu kształtu i ilości szprosów w oknach. W celu umożliwienia otwarcia okien i zwiększenia ich funkcjonalności, konstrukcja okna powinna uwzględniać dwa skrzydła. </w:t>
      </w:r>
    </w:p>
    <w:p>
      <w:pPr>
        <w:pStyle w:val="Normal"/>
        <w:rPr>
          <w:rFonts w:cs="Arial"/>
        </w:rPr>
      </w:pPr>
      <w:r>
        <w:rPr>
          <w:rFonts w:cs="Arial"/>
        </w:rPr>
        <w:t>Proponuje się szyby w dwóch wariantach, jako przeźroczyste</w:t>
      </w:r>
    </w:p>
    <w:p>
      <w:pPr>
        <w:pStyle w:val="Normal"/>
        <w:rPr>
          <w:rFonts w:cs="Arial"/>
        </w:rPr>
      </w:pPr>
      <w:r>
        <w:rPr>
          <w:rFonts w:cs="Arial"/>
        </w:rPr>
        <w:t>Projektuje się zachowanie kolorystyki okien – Ral 020 30 20.</w:t>
      </w:r>
    </w:p>
    <w:p>
      <w:pPr>
        <w:pStyle w:val="Heading4"/>
        <w:numPr>
          <w:ilvl w:val="3"/>
          <w:numId w:val="41"/>
        </w:numPr>
        <w:rPr>
          <w:rFonts w:cs="Arial"/>
        </w:rPr>
      </w:pPr>
      <w:bookmarkStart w:id="22" w:name="_Toc161341722"/>
      <w:bookmarkStart w:id="23" w:name="_Toc161343750"/>
      <w:r>
        <w:rPr>
          <w:rFonts w:cs="Arial"/>
        </w:rPr>
        <w:t>Parapety</w:t>
      </w:r>
      <w:bookmarkEnd w:id="22"/>
      <w:bookmarkEnd w:id="23"/>
    </w:p>
    <w:p>
      <w:pPr>
        <w:pStyle w:val="Normal"/>
        <w:rPr>
          <w:rFonts w:cs="Arial"/>
          <w:color w:val="FF0000"/>
        </w:rPr>
      </w:pPr>
      <w:r>
        <w:rPr>
          <w:rFonts w:cs="Arial"/>
        </w:rPr>
        <w:t>Projektuje się wymianę parapetów przynależnych do wymienianych okien. Parapety zewnętrzne projektuje się z blachy tytanowo- cynkowej w kolorze zgodnym z zewnętrznym kolorem stolarki okiennej</w:t>
      </w:r>
      <w:r>
        <w:rPr>
          <w:rFonts w:cs="Arial"/>
          <w:color w:val="auto"/>
        </w:rPr>
        <w:t>. Wymiary nowych parapetów jak istniejące</w:t>
      </w:r>
    </w:p>
    <w:p>
      <w:pPr>
        <w:pStyle w:val="Normal"/>
        <w:rPr>
          <w:rFonts w:cs="Arial"/>
          <w:color w:val="FF0000"/>
        </w:rPr>
      </w:pPr>
      <w:r>
        <w:rPr>
          <w:rFonts w:cs="Arial"/>
          <w:color w:val="FF0000"/>
        </w:rPr>
      </w:r>
    </w:p>
    <w:p>
      <w:pPr>
        <w:pStyle w:val="Normal"/>
        <w:rPr>
          <w:rFonts w:cs="Arial"/>
          <w:color w:val="FF0000"/>
        </w:rPr>
      </w:pPr>
      <w:r>
        <w:rPr>
          <w:rFonts w:cs="Arial"/>
          <w:color w:val="auto"/>
        </w:rPr>
        <w:t>Instalacja odgromowa:</w:t>
      </w:r>
    </w:p>
    <w:p>
      <w:pPr>
        <w:pStyle w:val="Normal"/>
        <w:rPr>
          <w:rFonts w:cs="Arial"/>
          <w:color w:val="FF0000"/>
        </w:rPr>
      </w:pPr>
      <w:r>
        <w:rPr>
          <w:rFonts w:cs="Arial"/>
          <w:color w:val="auto"/>
        </w:rPr>
        <w:t xml:space="preserve">Zaprojektowano wymianę istniejącej instalacji odgromowej. Zwody pionowe i poziome wykonane z drutu ze stali ocynkowanej. Zwody montowane do wsporników dachowych. Montowane będą dodatkowo pojedyncze zwody pionowe wystające poza charakterystyczne elementy budynku jak iglice, wieże, zwieńczenia dachu. Następnie montowane będą Przewody odprowadzające, </w:t>
      </w:r>
      <w:r>
        <w:rPr/>
        <w:t>które łączą zwody i uziomy. Wykonane będą z tych samych materiałów, jakich używa się do zwodów. Przewody odprowadzające można także wykonać z taśmy stalowej. Przewody montowane na elewacji budynku wg istniejących lokalizacji. Montaż uziomów w sposób naturalny, wykorzystanie uzbrojenia fundamentu budynku.</w:t>
      </w:r>
    </w:p>
    <w:p>
      <w:pPr>
        <w:pStyle w:val="Normal"/>
        <w:rPr>
          <w:rFonts w:cs="Arial"/>
          <w:color w:val="FF0000"/>
        </w:rPr>
      </w:pPr>
      <w:r>
        <w:rPr>
          <w:rFonts w:cs="Arial"/>
          <w:color w:val="FF0000"/>
        </w:rPr>
      </w:r>
    </w:p>
    <w:p>
      <w:pPr>
        <w:pStyle w:val="Heading4"/>
        <w:numPr>
          <w:ilvl w:val="3"/>
          <w:numId w:val="42"/>
        </w:numPr>
        <w:rPr>
          <w:rFonts w:cs="Arial"/>
        </w:rPr>
      </w:pPr>
      <w:bookmarkStart w:id="24" w:name="_Toc161341723"/>
      <w:bookmarkStart w:id="25" w:name="_Toc161343751"/>
      <w:r>
        <w:rPr>
          <w:rFonts w:cs="Arial"/>
        </w:rPr>
        <w:t>Dostęp dla osób niepełnosprawnych</w:t>
      </w:r>
      <w:bookmarkEnd w:id="24"/>
      <w:bookmarkEnd w:id="25"/>
    </w:p>
    <w:p>
      <w:pPr>
        <w:pStyle w:val="Normal"/>
        <w:rPr>
          <w:rFonts w:cs="Arial"/>
        </w:rPr>
      </w:pPr>
      <w:r>
        <w:rPr>
          <w:rFonts w:cs="Arial"/>
        </w:rPr>
        <w:t xml:space="preserve">Przedmiot opracowania nie wpłynie na brak dostępności obiektu budowlanego dla osób niepełnosprawnych. 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4"/>
        <w:numPr>
          <w:ilvl w:val="3"/>
          <w:numId w:val="43"/>
        </w:numPr>
        <w:rPr>
          <w:rFonts w:cs="Arial"/>
        </w:rPr>
      </w:pPr>
      <w:bookmarkStart w:id="26" w:name="_Toc161341724"/>
      <w:bookmarkStart w:id="27" w:name="_Toc161343752"/>
      <w:r>
        <w:rPr>
          <w:rFonts w:cs="Arial"/>
        </w:rPr>
        <w:t>Informacje określające wpływ inwestycji na środowisko</w:t>
      </w:r>
      <w:bookmarkEnd w:id="26"/>
      <w:bookmarkEnd w:id="27"/>
      <w:r>
        <w:rPr>
          <w:rFonts w:cs="Arial"/>
        </w:rPr>
        <w:t xml:space="preserve">  </w:t>
      </w:r>
    </w:p>
    <w:p>
      <w:pPr>
        <w:pStyle w:val="Normal"/>
        <w:rPr>
          <w:rFonts w:cs="Arial"/>
        </w:rPr>
      </w:pPr>
      <w:r>
        <w:rPr>
          <w:rFonts w:cs="Arial"/>
        </w:rPr>
        <w:t>Projektowany remont nie należy do mogących znacząco oddziaływać na środowisko, nie stwarza zagrożenia dla środowiska i zdrowia użytkowników projektowanego obiektu oraz okolicznych mieszkańców.  W oparciu o art. 32 ustawy Prawo Budowlane nie jest wymagana decyzja środowiskowa. W oparciu o Rozporządzenie Rady Ministrów z dnia 9 listopada 2010r. w sprawie przedsięwzięć mogących znaczącą oddziaływać na środowisko (Dz.U.2019.1839 z dnia 2019.09.26): Zgodnie z §3 ust.1 pkt.55, inwestycja nie należy do mogących potencjalnie znacząco oddziaływać na środowisko i decyzja środowiskowa nie jest wymagana</w:t>
      </w:r>
    </w:p>
    <w:p>
      <w:pPr>
        <w:pStyle w:val="Heading4"/>
        <w:numPr>
          <w:ilvl w:val="3"/>
          <w:numId w:val="44"/>
        </w:numPr>
        <w:rPr>
          <w:rFonts w:cs="Arial"/>
        </w:rPr>
      </w:pPr>
      <w:bookmarkStart w:id="28" w:name="_Toc161341725"/>
      <w:bookmarkStart w:id="29" w:name="_Toc161343753"/>
      <w:r>
        <w:rPr>
          <w:rFonts w:cs="Arial"/>
        </w:rPr>
        <w:t>Informacja o obszarze oddziaływania obiektu</w:t>
      </w:r>
      <w:bookmarkEnd w:id="28"/>
      <w:bookmarkEnd w:id="29"/>
    </w:p>
    <w:p>
      <w:pPr>
        <w:pStyle w:val="Normal"/>
        <w:spacing w:before="0" w:after="0"/>
        <w:ind w:firstLine="708"/>
        <w:contextualSpacing/>
        <w:rPr>
          <w:rFonts w:cs="Arial"/>
          <w:bCs/>
        </w:rPr>
      </w:pPr>
      <w:r>
        <w:rPr>
          <w:rFonts w:cs="Arial"/>
          <w:bCs/>
        </w:rPr>
        <w:t>Realizowana inwestycja znajduje się na obszarze zabudowanym, jej realizacji nie zmieni funkcji, która przeważa na obecnym terenie. Zakres prac nie wpłynie na sąsiednie działki i budynki. Nie wpłynie również na zwiększenie obszaru oddziaływania obiektu. Budynek wraz z zagospodarowaniem terenu nie pozbawi terenów sąsiednich możliwości korzystania z wody, kanalizacji, energii elektrycznej i cieplnej, oraz ze środków łączności, dopływu do światła dziennego do pomieszczeń przeznaczonych na pobyt ludzi.</w:t>
      </w:r>
    </w:p>
    <w:p>
      <w:pPr>
        <w:pStyle w:val="Normal"/>
        <w:spacing w:before="0" w:after="0"/>
        <w:ind w:firstLine="709"/>
        <w:contextualSpacing/>
        <w:rPr>
          <w:rFonts w:cs="Arial"/>
          <w:bCs/>
        </w:rPr>
      </w:pPr>
      <w:r>
        <w:rPr>
          <w:rFonts w:cs="Arial"/>
          <w:bCs/>
        </w:rPr>
        <w:t>Zakres zamierzenia budowlanego nie jest źródłem uciążliwości wykraczających poza granice działki objętej inwestycją, a powodowanych przez hałas, wibracje, zakłócenia elektryczne,  promieniowanie, zanieczyszczenie powietrza, wody i gleby.</w:t>
      </w:r>
    </w:p>
    <w:p>
      <w:pPr>
        <w:pStyle w:val="Normal"/>
        <w:spacing w:before="0" w:after="0"/>
        <w:ind w:firstLine="709"/>
        <w:contextualSpacing/>
        <w:rPr>
          <w:rFonts w:cs="Arial"/>
          <w:bCs/>
        </w:rPr>
      </w:pPr>
      <w:r>
        <w:rPr>
          <w:rFonts w:cs="Arial"/>
          <w:bCs/>
        </w:rPr>
        <w:t xml:space="preserve">Teren po robotach budowlanych  zostanie uporządkowany i doprowadzony do stanu zgodnego z dotychczasowym użytkowaniem. </w:t>
      </w:r>
    </w:p>
    <w:p>
      <w:pPr>
        <w:pStyle w:val="Heading4"/>
        <w:numPr>
          <w:ilvl w:val="3"/>
          <w:numId w:val="45"/>
        </w:numPr>
        <w:rPr>
          <w:rFonts w:cs="Arial"/>
        </w:rPr>
      </w:pPr>
      <w:bookmarkStart w:id="30" w:name="_Toc161341726"/>
      <w:bookmarkStart w:id="31" w:name="_Toc161343754"/>
      <w:r>
        <w:rPr>
          <w:rFonts w:cs="Arial"/>
        </w:rPr>
        <w:t>Wpływ planowanego remontu na stan techniczny budynku</w:t>
      </w:r>
      <w:bookmarkEnd w:id="30"/>
      <w:bookmarkEnd w:id="31"/>
    </w:p>
    <w:p>
      <w:pPr>
        <w:pStyle w:val="Normal"/>
        <w:rPr>
          <w:rFonts w:cs="Arial"/>
        </w:rPr>
      </w:pPr>
      <w:r>
        <w:rPr>
          <w:rFonts w:cs="Arial"/>
        </w:rPr>
        <w:t>Przewidywane roboty opisane powyżej nie wpłyną w znaczący sposób na obecny stan techniczny budynku i nie stworzą stanu zagrożenia dla bezpieczeństwa Użytkowników.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3"/>
        <w:numPr>
          <w:ilvl w:val="2"/>
          <w:numId w:val="46"/>
        </w:numPr>
        <w:ind w:hanging="567" w:left="1418"/>
        <w:rPr>
          <w:rFonts w:cs="Arial"/>
        </w:rPr>
      </w:pPr>
      <w:r>
        <w:rPr>
          <w:rFonts w:cs="Arial"/>
        </w:rPr>
        <w:t xml:space="preserve">   </w:t>
      </w:r>
      <w:bookmarkStart w:id="32" w:name="_Toc161341727"/>
      <w:bookmarkStart w:id="33" w:name="_Toc161343755"/>
      <w:r>
        <w:rPr>
          <w:rFonts w:cs="Arial"/>
        </w:rPr>
        <w:t>Zakres robót</w:t>
      </w:r>
      <w:bookmarkEnd w:id="32"/>
      <w:bookmarkEnd w:id="33"/>
    </w:p>
    <w:p>
      <w:pPr>
        <w:pStyle w:val="Heading4"/>
        <w:numPr>
          <w:ilvl w:val="3"/>
          <w:numId w:val="47"/>
        </w:numPr>
        <w:rPr>
          <w:rFonts w:cs="Arial"/>
        </w:rPr>
      </w:pPr>
      <w:bookmarkStart w:id="34" w:name="_Toc161341728"/>
      <w:bookmarkStart w:id="35" w:name="_Toc161343756"/>
      <w:r>
        <w:rPr>
          <w:rFonts w:cs="Arial"/>
        </w:rPr>
        <w:t>Rozbiórki</w:t>
      </w:r>
      <w:bookmarkEnd w:id="34"/>
      <w:bookmarkEnd w:id="35"/>
    </w:p>
    <w:p>
      <w:pPr>
        <w:pStyle w:val="Normal"/>
        <w:rPr>
          <w:rFonts w:cs="Arial"/>
        </w:rPr>
      </w:pPr>
      <w:r>
        <w:rPr>
          <w:rFonts w:cs="Arial"/>
        </w:rPr>
        <w:t>W zakresie planowanej inwestycji planuje się następujące rozbiórki:</w:t>
      </w:r>
    </w:p>
    <w:p>
      <w:pPr>
        <w:pStyle w:val="Normal"/>
        <w:rPr>
          <w:rFonts w:cs="Arial"/>
        </w:rPr>
      </w:pPr>
      <w:r>
        <w:rPr>
          <w:rFonts w:cs="Arial"/>
        </w:rPr>
        <w:t>-demontaż istniejącej stolarki okiennej</w:t>
      </w:r>
    </w:p>
    <w:p>
      <w:pPr>
        <w:pStyle w:val="Normal"/>
        <w:rPr>
          <w:rFonts w:cs="Arial"/>
        </w:rPr>
      </w:pPr>
      <w:r>
        <w:rPr>
          <w:rFonts w:cs="Arial"/>
        </w:rPr>
        <w:t xml:space="preserve">-demontaż parapetów </w:t>
      </w:r>
    </w:p>
    <w:p>
      <w:pPr>
        <w:pStyle w:val="Normal"/>
        <w:rPr>
          <w:rFonts w:cs="Arial"/>
        </w:rPr>
      </w:pPr>
      <w:r>
        <w:rPr>
          <w:rFonts w:cs="Arial"/>
        </w:rPr>
        <w:t>- demontaż istniejącej instalacji odgromowej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4"/>
        <w:numPr>
          <w:ilvl w:val="3"/>
          <w:numId w:val="48"/>
        </w:numPr>
        <w:rPr>
          <w:rFonts w:cs="Arial"/>
        </w:rPr>
      </w:pPr>
      <w:bookmarkStart w:id="36" w:name="_Toc161341729"/>
      <w:bookmarkStart w:id="37" w:name="_Toc161343757"/>
      <w:r>
        <w:rPr>
          <w:rFonts w:cs="Arial"/>
        </w:rPr>
        <w:t>Zakres robót</w:t>
      </w:r>
      <w:bookmarkEnd w:id="36"/>
      <w:bookmarkEnd w:id="37"/>
    </w:p>
    <w:p>
      <w:pPr>
        <w:pStyle w:val="Normal"/>
        <w:rPr>
          <w:rFonts w:cs="Arial"/>
        </w:rPr>
      </w:pPr>
      <w:r>
        <w:rPr>
          <w:rFonts w:cs="Arial"/>
        </w:rPr>
        <w:t>Zakres robot, w kolejności ich wykonywania, obejmuje:</w:t>
      </w:r>
    </w:p>
    <w:p>
      <w:pPr>
        <w:pStyle w:val="Normal"/>
        <w:rPr>
          <w:rFonts w:cs="Arial"/>
        </w:rPr>
      </w:pPr>
      <w:r>
        <w:rPr>
          <w:rFonts w:cs="Arial"/>
        </w:rPr>
        <w:t>- roboty przygotowawcze – wydzielenie stref remontowanych i ich zabezpieczenie;</w:t>
      </w:r>
    </w:p>
    <w:p>
      <w:pPr>
        <w:pStyle w:val="Normal"/>
        <w:rPr>
          <w:rFonts w:cs="Arial"/>
        </w:rPr>
      </w:pPr>
      <w:r>
        <w:rPr>
          <w:rFonts w:cs="Arial"/>
        </w:rPr>
        <w:t>- zabezpieczenie elementów narażonych na uszkodzenia (instalacje itp.) w trakcie prac;</w:t>
      </w:r>
    </w:p>
    <w:p>
      <w:pPr>
        <w:pStyle w:val="Normal"/>
        <w:rPr>
          <w:rFonts w:cs="Arial"/>
        </w:rPr>
      </w:pPr>
      <w:r>
        <w:rPr>
          <w:rFonts w:cs="Arial"/>
        </w:rPr>
        <w:t>- wykonanie demontażu starych krat okiennych;</w:t>
      </w:r>
    </w:p>
    <w:p>
      <w:pPr>
        <w:pStyle w:val="Normal"/>
        <w:rPr>
          <w:rFonts w:cs="Arial"/>
        </w:rPr>
      </w:pPr>
      <w:r>
        <w:rPr>
          <w:rFonts w:cs="Arial"/>
        </w:rPr>
        <w:t>- wykonanie demontażu starych okien wraz z ościeżnicami i parapetami;</w:t>
      </w:r>
    </w:p>
    <w:p>
      <w:pPr>
        <w:pStyle w:val="Normal"/>
        <w:rPr>
          <w:rFonts w:cs="Arial"/>
        </w:rPr>
      </w:pPr>
      <w:r>
        <w:rPr>
          <w:rFonts w:cs="Arial"/>
        </w:rPr>
        <w:t>- wykonanie montażu nowych okien wraz z ościeżnicami i parapetami;</w:t>
      </w:r>
    </w:p>
    <w:p>
      <w:pPr>
        <w:pStyle w:val="Normal"/>
        <w:rPr>
          <w:rFonts w:cs="Arial"/>
        </w:rPr>
      </w:pPr>
      <w:r>
        <w:rPr>
          <w:rFonts w:cs="Arial"/>
        </w:rPr>
        <w:t>- usunięcie brudu i zawilgoceń z tynków na elewacji – metoda wody pod ciśnieniem, hydropiaskowan</w:t>
      </w:r>
      <w:r>
        <w:rPr>
          <w:rFonts w:cs="Arial"/>
          <w:color w:val="000000"/>
          <w:shd w:fill="auto" w:val="clear"/>
        </w:rPr>
        <w:t xml:space="preserve">ia lub mechaniczne </w:t>
      </w:r>
      <w:r>
        <w:rPr>
          <w:rFonts w:cs="Arial"/>
        </w:rPr>
        <w:t>usunięcie odpadającej miejscowo warstwy tynku</w:t>
      </w:r>
    </w:p>
    <w:p>
      <w:pPr>
        <w:pStyle w:val="Normal"/>
        <w:rPr>
          <w:rFonts w:cs="Arial"/>
        </w:rPr>
      </w:pPr>
      <w:r>
        <w:rPr>
          <w:rFonts w:cs="Arial"/>
        </w:rPr>
        <w:t>- wykonanie naprawy uszkodzonych tynków zaprawą cementowo-wapienną</w:t>
      </w:r>
    </w:p>
    <w:p>
      <w:pPr>
        <w:pStyle w:val="Normal"/>
        <w:rPr>
          <w:rFonts w:cs="Arial"/>
        </w:rPr>
      </w:pPr>
      <w:r>
        <w:rPr>
          <w:rFonts w:cs="Arial"/>
        </w:rPr>
        <w:t>- sprawdzenie i przygotowanie powierzchni ścian do prac malarskich;</w:t>
      </w:r>
    </w:p>
    <w:p>
      <w:pPr>
        <w:pStyle w:val="Normal"/>
        <w:rPr>
          <w:rFonts w:cs="Arial"/>
        </w:rPr>
      </w:pPr>
      <w:r>
        <w:rPr>
          <w:rFonts w:cs="Arial"/>
        </w:rPr>
        <w:t>- prace malarskie;</w:t>
      </w:r>
    </w:p>
    <w:p>
      <w:pPr>
        <w:pStyle w:val="Normal"/>
        <w:rPr>
          <w:rFonts w:cs="Arial"/>
        </w:rPr>
      </w:pPr>
      <w:r>
        <w:rPr>
          <w:rFonts w:cs="Arial"/>
        </w:rPr>
        <w:t>- uporządkowanie terenu budowy</w:t>
      </w:r>
    </w:p>
    <w:p>
      <w:pPr>
        <w:pStyle w:val="Normal"/>
        <w:rPr>
          <w:rFonts w:cs="Arial"/>
        </w:rPr>
      </w:pPr>
      <w:r>
        <w:rPr>
          <w:rFonts w:cs="Arial"/>
        </w:rPr>
        <w:t>- wymiana istniejącej instalacji odgromowej – lokalizacja bez zmian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4"/>
        <w:numPr>
          <w:ilvl w:val="3"/>
          <w:numId w:val="49"/>
        </w:numPr>
        <w:rPr>
          <w:rFonts w:cs="Arial"/>
        </w:rPr>
      </w:pPr>
      <w:bookmarkStart w:id="38" w:name="_Toc161341730"/>
      <w:bookmarkStart w:id="39" w:name="_Toc161343758"/>
      <w:r>
        <w:rPr>
          <w:rFonts w:cs="Arial"/>
        </w:rPr>
        <w:t>Wymagania bhp</w:t>
      </w:r>
      <w:bookmarkEnd w:id="38"/>
      <w:bookmarkEnd w:id="39"/>
    </w:p>
    <w:p>
      <w:pPr>
        <w:pStyle w:val="Normal"/>
        <w:rPr>
          <w:rFonts w:cs="Arial"/>
        </w:rPr>
      </w:pPr>
      <w:r>
        <w:rPr>
          <w:rFonts w:cs="Arial"/>
        </w:rPr>
        <w:t>Przy wykonywaniu prac remontowych konieczne jest bezwzględne przestrzeganie przepisów bhp. Miejsce wykonywania prac musi być oznakowane i zabezpieczone przed dostępem osób niepowołanych. Zastosowane materiały powinny odpowiadać co do jakości wymagań wyrobom dopuszczonym do obrotu i stosowania w budownictwie określonym w art. 10 ustawy z dnia 07.07.1994r. – Prawo budowlane (Dz.U.Nr 89 poz. 414 z późn. zm.), powinny także posiadać certyfikat na znak bezpieczeństwa, deklaracje zgodności z Polska Normą lub aprobatą techniczną.</w:t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3"/>
        <w:numPr>
          <w:ilvl w:val="2"/>
          <w:numId w:val="50"/>
        </w:numPr>
        <w:ind w:hanging="567" w:left="1418"/>
        <w:rPr>
          <w:rFonts w:cs="Arial"/>
        </w:rPr>
      </w:pPr>
      <w:bookmarkStart w:id="40" w:name="_Toc161341731"/>
      <w:bookmarkStart w:id="41" w:name="_Toc161343759"/>
      <w:r>
        <w:rPr>
          <w:rFonts w:cs="Arial"/>
        </w:rPr>
        <w:t>Uwagi</w:t>
      </w:r>
      <w:bookmarkEnd w:id="40"/>
      <w:bookmarkEnd w:id="41"/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>Przed przystąpieniem do prac należy zweryfikować każdy otwór i zmierzyć indywidualnie</w:t>
      </w:r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 xml:space="preserve">Podczas prac należy zwrócić uwagę na zabezpieczenie detali elewacyjnych przed ewentualnym uszkodzeniem. </w:t>
      </w:r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>Ościeża okien uzupełnić i wykończyć tynkiem cementowo wapiennym w kolorze istniejącej elewacji. Zabezpieczyć ościeża wewnętrzne.</w:t>
      </w:r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>Roboty prowadzić zgodnie z rozporządzeniem Ministra Infrastruktury z dnia 06.02.2003 r. (Dz. U. Nr 47 poz. 401) w sprawie bezpieczeństwa i higieny pracy podczas robót budowlanych.</w:t>
      </w:r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>Wszelkie zmiany i odstępstwa od zatwierdzonej dokumentacji budowlanej mogą być tylko wprowadzone po ich uzgodnieniu z odpowiednim organem nadzoru budowlanego, autorem projektu i kierownikiem budowy.</w:t>
      </w:r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>Zaleca się wymianę pozostałych okien w budynku na nowe drewniane okna zespolone jednoramowe. Konstrukcja okien powinna przewidywać możliwość montażu witraży.</w:t>
      </w:r>
    </w:p>
    <w:p>
      <w:pPr>
        <w:pStyle w:val="ListParagraph"/>
        <w:numPr>
          <w:ilvl w:val="0"/>
          <w:numId w:val="4"/>
        </w:numPr>
        <w:rPr>
          <w:rFonts w:cs="Arial"/>
        </w:rPr>
      </w:pPr>
      <w:r>
        <w:rPr>
          <w:rFonts w:cs="Arial"/>
        </w:rPr>
        <w:t>Zaleca się renowację detali architektonicznych, takich jak gzymsy, czy portal drzwiowy przy zachowaniu ich historycznych cech</w:t>
      </w:r>
    </w:p>
    <w:p>
      <w:pPr>
        <w:pStyle w:val="Normal"/>
        <w:ind w:left="360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Normal"/>
        <w:rPr>
          <w:rFonts w:cs="Arial"/>
        </w:rPr>
      </w:pPr>
      <w:r>
        <w:rPr>
          <w:rFonts w:cs="Arial"/>
        </w:rPr>
      </w:r>
    </w:p>
    <w:p>
      <w:pPr>
        <w:pStyle w:val="Heading2"/>
        <w:numPr>
          <w:ilvl w:val="1"/>
          <w:numId w:val="51"/>
        </w:numPr>
        <w:ind w:hanging="284" w:left="851"/>
        <w:rPr>
          <w:rFonts w:cs="Arial"/>
        </w:rPr>
      </w:pPr>
      <w:bookmarkStart w:id="42" w:name="_Toc161341732"/>
      <w:bookmarkStart w:id="43" w:name="_Toc161343760"/>
      <w:r>
        <w:rPr>
          <w:rFonts w:cs="Arial"/>
        </w:rPr>
        <w:t>Część rysunkowa opracowania</w:t>
      </w:r>
      <w:bookmarkEnd w:id="42"/>
      <w:bookmarkEnd w:id="43"/>
    </w:p>
    <w:p>
      <w:pPr>
        <w:pStyle w:val="Heading3"/>
        <w:numPr>
          <w:ilvl w:val="2"/>
          <w:numId w:val="52"/>
        </w:numPr>
        <w:ind w:hanging="567" w:left="1418"/>
        <w:rPr>
          <w:rFonts w:cs="Arial"/>
        </w:rPr>
      </w:pPr>
      <w:bookmarkStart w:id="44" w:name="_Toc161341733"/>
      <w:bookmarkStart w:id="45" w:name="_Toc161343761"/>
      <w:r>
        <w:rPr>
          <w:rFonts w:cs="Arial"/>
        </w:rPr>
        <w:t>Spis rysunków</w:t>
      </w:r>
      <w:bookmarkEnd w:id="44"/>
      <w:bookmarkEnd w:id="45"/>
    </w:p>
    <w:p>
      <w:pPr>
        <w:pStyle w:val="Normal"/>
        <w:rPr>
          <w:rFonts w:cs="Arial"/>
        </w:rPr>
      </w:pPr>
      <w:r>
        <w:rPr>
          <w:rFonts w:cs="Arial"/>
        </w:rPr>
      </w:r>
    </w:p>
    <w:tbl>
      <w:tblPr>
        <w:tblStyle w:val="Tabela-Siatka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439"/>
        <w:gridCol w:w="5756"/>
        <w:gridCol w:w="1867"/>
      </w:tblGrid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  <w:b/>
                <w:bCs/>
              </w:rPr>
            </w:pPr>
            <w:r>
              <w:rPr>
                <w:rFonts w:eastAsia="Calibri" w:cs="Arial"/>
                <w:b/>
                <w:bCs/>
                <w:kern w:val="2"/>
                <w:sz w:val="22"/>
                <w:szCs w:val="22"/>
                <w:lang w:val="pl-PL" w:eastAsia="en-US" w:bidi="ar-SA"/>
              </w:rPr>
              <w:t>Nr rys.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  <w:b/>
                <w:bCs/>
              </w:rPr>
            </w:pPr>
            <w:r>
              <w:rPr>
                <w:rFonts w:eastAsia="Calibri" w:cs="Arial"/>
                <w:b/>
                <w:bCs/>
                <w:kern w:val="2"/>
                <w:sz w:val="22"/>
                <w:szCs w:val="22"/>
                <w:lang w:val="pl-PL" w:eastAsia="en-US" w:bidi="ar-SA"/>
              </w:rPr>
              <w:t>Nazwa rysunku: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  <w:b/>
                <w:bCs/>
              </w:rPr>
            </w:pPr>
            <w:r>
              <w:rPr>
                <w:rFonts w:eastAsia="Calibri" w:cs="Arial"/>
                <w:b/>
                <w:bCs/>
                <w:kern w:val="2"/>
                <w:sz w:val="22"/>
                <w:szCs w:val="22"/>
                <w:lang w:val="pl-PL" w:eastAsia="en-US" w:bidi="ar-SA"/>
              </w:rPr>
              <w:t>Skala:</w:t>
            </w:r>
          </w:p>
        </w:tc>
      </w:tr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IN-01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ELEWACJA POŁUDNIOWA I WSCHODNIA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1:200</w:t>
            </w:r>
          </w:p>
        </w:tc>
      </w:tr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IN-02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ELEWACJA PÓŁNOCNA I ZACHODNIA - STAN ISTNIEJĄCY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1:200</w:t>
            </w:r>
          </w:p>
        </w:tc>
      </w:tr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IN-03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ZESTAWIENIE STOLARKI - STAN ISTNIEJĄCY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1:100</w:t>
            </w:r>
          </w:p>
        </w:tc>
      </w:tr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PB-A-01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ELEWACJA POŁUDNIOWA I WSCHODNIA - STAN PROJEKTOWANY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1:200</w:t>
            </w:r>
          </w:p>
        </w:tc>
      </w:tr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PB-A-02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ELEWACJA PÓŁNOCNA I ZACHODNIA - STAN PROJEKTOWANY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1:200</w:t>
            </w:r>
          </w:p>
        </w:tc>
      </w:tr>
      <w:tr>
        <w:trPr>
          <w:trHeight w:val="397" w:hRule="atLeast"/>
        </w:trPr>
        <w:tc>
          <w:tcPr>
            <w:tcW w:w="143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PB-A-03</w:t>
            </w:r>
          </w:p>
        </w:tc>
        <w:tc>
          <w:tcPr>
            <w:tcW w:w="575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ZESTAWIENIE STOLARKI - STAN PROJEKTOWANY</w:t>
            </w:r>
          </w:p>
        </w:tc>
        <w:tc>
          <w:tcPr>
            <w:tcW w:w="186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Arial"/>
              </w:rPr>
            </w:pPr>
            <w:r>
              <w:rPr>
                <w:rFonts w:eastAsia="Calibri" w:cs="Arial"/>
                <w:kern w:val="2"/>
                <w:sz w:val="22"/>
                <w:szCs w:val="22"/>
                <w:lang w:val="pl-PL" w:eastAsia="en-US" w:bidi="ar-SA"/>
              </w:rPr>
              <w:t>1:100</w:t>
            </w:r>
          </w:p>
        </w:tc>
      </w:tr>
    </w:tbl>
    <w:p>
      <w:pPr>
        <w:pStyle w:val="Normal"/>
        <w:rPr>
          <w:rFonts w:cs="Arial"/>
        </w:rPr>
      </w:pPr>
      <w:r>
        <w:rPr>
          <w:rFonts w:cs="Arial"/>
        </w:rPr>
      </w:r>
    </w:p>
    <w:sectPr>
      <w:footerReference w:type="even" r:id="rId40"/>
      <w:footerReference w:type="default" r:id="rId41"/>
      <w:footerReference w:type="first" r:id="rId42"/>
      <w:type w:val="nextPage"/>
      <w:pgSz w:w="11906" w:h="16838"/>
      <w:pgMar w:left="1418" w:right="1134" w:gutter="0" w:header="0" w:top="1134" w:footer="567" w:bottom="1588"/>
      <w:pgNumType w:fmt="decimal"/>
      <w:formProt w:val="false"/>
      <w:textDirection w:val="lrTb"/>
      <w:docGrid w:type="default" w:linePitch="299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Arial">
    <w:charset w:val="ee"/>
    <w:family w:val="roman"/>
    <w:pitch w:val="variable"/>
  </w:font>
  <w:font w:name="Candara Light">
    <w:charset w:val="ee"/>
    <w:family w:val="swiss"/>
    <w:pitch w:val="variable"/>
  </w:font>
  <w:font w:name="Calibri Light">
    <w:charset w:val="ee"/>
    <w:family w:val="roman"/>
    <w:pitch w:val="variable"/>
  </w:font>
  <w:font w:name="Candide Light">
    <w:charset w:val="ee"/>
    <w:family w:val="roman"/>
    <w:pitch w:val="variable"/>
  </w:font>
  <w:font w:name="Times New Roman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Century Gothic">
    <w:charset w:val="ee"/>
    <w:family w:val="roman"/>
    <w:pitch w:val="variable"/>
  </w:font>
  <w:font w:name="Candide">
    <w:charset w:val="ee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431788368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0</w:t>
        </w:r>
        <w:r>
          <w:rPr/>
          <w:fldChar w:fldCharType="end"/>
        </w:r>
      </w:p>
    </w:sdtContent>
  </w:sdt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0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0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0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0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0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0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7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8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9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0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1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2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3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4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5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6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7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8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19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0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1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2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3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4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5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6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7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8">
    <w:lvl w:ilvl="0">
      <w:start w:val="1"/>
      <w:numFmt w:val="upperRoman"/>
      <w:lvlText w:val="%1."/>
      <w:lvlJc w:val="left"/>
      <w:pPr>
        <w:tabs>
          <w:tab w:val="num" w:pos="0"/>
        </w:tabs>
        <w:ind w:left="851" w:hanging="851"/>
      </w:pPr>
      <w:rPr>
        <w:sz w:val="28"/>
        <w:rFonts w:ascii="Candide" w:hAnsi="Candid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1" w:hanging="851"/>
      </w:pPr>
      <w:rPr>
        <w:sz w:val="22"/>
        <w:rFonts w:ascii="Candide" w:hAnsi="Candide"/>
      </w:rPr>
    </w:lvl>
    <w:lvl w:ilvl="2">
      <w:start w:val="1"/>
      <w:numFmt w:val="decimal"/>
      <w:lvlText w:val="%2.%3"/>
      <w:lvlJc w:val="left"/>
      <w:pPr>
        <w:tabs>
          <w:tab w:val="num" w:pos="0"/>
        </w:tabs>
        <w:ind w:left="1134" w:hanging="964"/>
      </w:pPr>
      <w:rPr>
        <w:sz w:val="22"/>
        <w:rFonts w:ascii="Candide" w:hAnsi="Candide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1247" w:hanging="963"/>
      </w:pPr>
      <w:rPr>
        <w:sz w:val="22"/>
        <w:rFonts w:ascii="Candide" w:hAnsi="Candide"/>
      </w:rPr>
    </w:lvl>
    <w:lvl w:ilvl="4">
      <w:start w:val="1"/>
      <w:numFmt w:val="bullet"/>
      <w:lvlText w:val=""/>
      <w:lvlJc w:val="left"/>
      <w:pPr>
        <w:tabs>
          <w:tab w:val="num" w:pos="284"/>
        </w:tabs>
        <w:ind w:left="567" w:hanging="283"/>
      </w:pPr>
      <w:rPr>
        <w:rFonts w:ascii="Symbol" w:hAnsi="Symbol" w:cs="Symbol" w:hint="default"/>
        <w:sz w:val="22"/>
      </w:r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9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6"/>
    <w:lvlOverride w:ilvl="0">
      <w:startOverride w:val="1"/>
    </w:lvlOverride>
    <w:lvlOverride w:ilvl="1">
      <w:startOverride w:val="1"/>
    </w:lvlOverride>
  </w:num>
  <w:num w:numId="31">
    <w:abstractNumId w:val="6"/>
  </w:num>
  <w:num w:numId="32">
    <w:abstractNumId w:val="6"/>
  </w:num>
  <w:num w:numId="33">
    <w:abstractNumId w:val="6"/>
  </w:num>
  <w:num w:numId="34">
    <w:abstractNumId w:val="6"/>
  </w:num>
  <w:num w:numId="35">
    <w:abstractNumId w:val="6"/>
  </w:num>
  <w:num w:numId="36">
    <w:abstractNumId w:val="6"/>
  </w:num>
  <w:num w:numId="37">
    <w:abstractNumId w:val="6"/>
  </w:num>
  <w:num w:numId="38">
    <w:abstractNumId w:val="6"/>
  </w:num>
  <w:num w:numId="39">
    <w:abstractNumId w:val="6"/>
  </w:num>
  <w:num w:numId="40">
    <w:abstractNumId w:val="6"/>
  </w:num>
  <w:num w:numId="41">
    <w:abstractNumId w:val="6"/>
  </w:num>
  <w:num w:numId="42">
    <w:abstractNumId w:val="6"/>
  </w:num>
  <w:num w:numId="43">
    <w:abstractNumId w:val="6"/>
  </w:num>
  <w:num w:numId="44">
    <w:abstractNumId w:val="6"/>
  </w:num>
  <w:num w:numId="45">
    <w:abstractNumId w:val="6"/>
  </w:num>
  <w:num w:numId="46">
    <w:abstractNumId w:val="6"/>
  </w:num>
  <w:num w:numId="47">
    <w:abstractNumId w:val="6"/>
  </w:num>
  <w:num w:numId="48">
    <w:abstractNumId w:val="6"/>
  </w:num>
  <w:num w:numId="49">
    <w:abstractNumId w:val="6"/>
  </w:num>
  <w:num w:numId="50">
    <w:abstractNumId w:val="6"/>
  </w:num>
  <w:num w:numId="51">
    <w:abstractNumId w:val="6"/>
  </w:num>
  <w:num w:numId="52">
    <w:abstractNumId w:val="6"/>
  </w:num>
</w:numbering>
</file>

<file path=word/settings.xml><?xml version="1.0" encoding="utf-8"?>
<w:settings xmlns:w="http://schemas.openxmlformats.org/wordprocessingml/2006/main">
  <w:zoom w:percent="120"/>
  <w:defaultTabStop w:val="567"/>
  <w:autoHyphenation w:val="true"/>
  <w:hyphenationZone w:val="425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imes New Roman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 w:qFormat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2e1bcd"/>
    <w:pPr>
      <w:widowControl/>
      <w:suppressAutoHyphens w:val="true"/>
      <w:bidi w:val="0"/>
      <w:spacing w:before="0" w:after="0"/>
      <w:jc w:val="both"/>
    </w:pPr>
    <w:rPr>
      <w:rFonts w:ascii="Arial" w:hAnsi="Arial" w:eastAsia="Calibri" w:cs="Times New Roman"/>
      <w:color w:val="auto"/>
      <w:kern w:val="0"/>
      <w:sz w:val="22"/>
      <w:szCs w:val="22"/>
      <w:lang w:val="pl-PL" w:eastAsia="en-US" w:bidi="ar-SA"/>
    </w:rPr>
  </w:style>
  <w:style w:type="paragraph" w:styleId="Heading1">
    <w:name w:val="Heading 1"/>
    <w:basedOn w:val="Normal"/>
    <w:next w:val="Normal"/>
    <w:uiPriority w:val="9"/>
    <w:qFormat/>
    <w:rsid w:val="00fa7544"/>
    <w:pPr>
      <w:keepNext w:val="true"/>
      <w:keepLines/>
      <w:spacing w:before="240" w:after="0"/>
      <w:outlineLvl w:val="0"/>
    </w:pPr>
    <w:rPr>
      <w:rFonts w:eastAsia="Gulim"/>
      <w:sz w:val="24"/>
      <w:szCs w:val="32"/>
    </w:rPr>
  </w:style>
  <w:style w:type="paragraph" w:styleId="Heading2">
    <w:name w:val="Heading 2"/>
    <w:basedOn w:val="Normal"/>
    <w:next w:val="Normal"/>
    <w:link w:val="Nagwek2Znak"/>
    <w:uiPriority w:val="9"/>
    <w:unhideWhenUsed/>
    <w:qFormat/>
    <w:rsid w:val="00ec236e"/>
    <w:pPr>
      <w:keepNext w:val="true"/>
      <w:keepLines/>
      <w:numPr>
        <w:ilvl w:val="1"/>
        <w:numId w:val="1"/>
      </w:numPr>
      <w:spacing w:before="40" w:after="0"/>
      <w:ind w:hanging="284"/>
      <w:outlineLvl w:val="1"/>
    </w:pPr>
    <w:rPr>
      <w:rFonts w:eastAsia="Times New Roman"/>
      <w:b/>
      <w:sz w:val="24"/>
      <w:szCs w:val="26"/>
    </w:rPr>
  </w:style>
  <w:style w:type="paragraph" w:styleId="Heading3">
    <w:name w:val="Heading 3"/>
    <w:basedOn w:val="Normal"/>
    <w:next w:val="Normal"/>
    <w:uiPriority w:val="9"/>
    <w:unhideWhenUsed/>
    <w:qFormat/>
    <w:rsid w:val="002862e4"/>
    <w:pPr>
      <w:keepNext w:val="true"/>
      <w:keepLines/>
      <w:numPr>
        <w:ilvl w:val="2"/>
        <w:numId w:val="1"/>
      </w:numPr>
      <w:spacing w:before="40" w:after="0"/>
      <w:ind w:hanging="567" w:left="1418"/>
      <w:outlineLvl w:val="2"/>
    </w:pPr>
    <w:rPr>
      <w:rFonts w:eastAsia="Times New Roman"/>
      <w:b/>
      <w:szCs w:val="24"/>
    </w:rPr>
  </w:style>
  <w:style w:type="paragraph" w:styleId="Heading4">
    <w:name w:val="Heading 4"/>
    <w:basedOn w:val="Normal"/>
    <w:next w:val="Normal"/>
    <w:uiPriority w:val="9"/>
    <w:unhideWhenUsed/>
    <w:qFormat/>
    <w:rsid w:val="004b6ddd"/>
    <w:pPr>
      <w:keepNext w:val="true"/>
      <w:keepLines/>
      <w:numPr>
        <w:ilvl w:val="3"/>
        <w:numId w:val="1"/>
      </w:numPr>
      <w:spacing w:before="40" w:after="0"/>
      <w:outlineLvl w:val="3"/>
    </w:pPr>
    <w:rPr>
      <w:rFonts w:eastAsia="Times New Roman"/>
      <w:iCs/>
      <w:szCs w:val="28"/>
    </w:rPr>
  </w:style>
  <w:style w:type="paragraph" w:styleId="Heading5">
    <w:name w:val="Heading 5"/>
    <w:basedOn w:val="Title"/>
    <w:next w:val="Normal"/>
    <w:uiPriority w:val="9"/>
    <w:unhideWhenUsed/>
    <w:qFormat/>
    <w:pPr>
      <w:keepNext w:val="true"/>
      <w:keepLines/>
      <w:spacing w:before="40" w:after="120"/>
      <w:contextualSpacing w:val="false"/>
      <w:outlineLvl w:val="4"/>
    </w:pPr>
    <w:rPr>
      <w:rFonts w:ascii="Candara Light" w:hAnsi="Candara Light"/>
      <w:color w:val="000000"/>
    </w:rPr>
  </w:style>
  <w:style w:type="paragraph" w:styleId="Heading6">
    <w:name w:val="Heading 6"/>
    <w:basedOn w:val="Normal"/>
    <w:next w:val="Normal"/>
    <w:uiPriority w:val="9"/>
    <w:unhideWhenUsed/>
    <w:qFormat/>
    <w:pPr>
      <w:keepNext w:val="true"/>
      <w:keepLines/>
      <w:spacing w:before="40" w:after="0"/>
      <w:outlineLvl w:val="5"/>
    </w:pPr>
    <w:rPr>
      <w:rFonts w:eastAsia="Times New Roman"/>
      <w:color w:val="1F3763"/>
      <w:sz w:val="14"/>
    </w:rPr>
  </w:style>
  <w:style w:type="paragraph" w:styleId="Heading7">
    <w:name w:val="Heading 7"/>
    <w:basedOn w:val="Normal"/>
    <w:next w:val="Normal"/>
    <w:qFormat/>
    <w:pPr>
      <w:keepNext w:val="true"/>
      <w:keepLines/>
      <w:spacing w:before="40" w:after="0"/>
      <w:outlineLvl w:val="6"/>
    </w:pPr>
    <w:rPr>
      <w:rFonts w:ascii="Calibri Light" w:hAnsi="Calibri Light" w:eastAsia="Times New Roman"/>
      <w:i/>
      <w:iCs/>
      <w:color w:val="1F3763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BezodstpwZnak" w:customStyle="1">
    <w:name w:val="Bez odstępów Znak"/>
    <w:basedOn w:val="DefaultParagraphFont"/>
    <w:qFormat/>
    <w:rPr>
      <w:rFonts w:eastAsia="Times New Roman"/>
      <w:lang w:eastAsia="pl-PL"/>
    </w:rPr>
  </w:style>
  <w:style w:type="character" w:styleId="NagwekZnak" w:customStyle="1">
    <w:name w:val="Nagłówek Znak"/>
    <w:basedOn w:val="DefaultParagraphFont"/>
    <w:uiPriority w:val="99"/>
    <w:qFormat/>
    <w:rPr/>
  </w:style>
  <w:style w:type="character" w:styleId="StopkaZnak" w:customStyle="1">
    <w:name w:val="Stopka Znak"/>
    <w:basedOn w:val="DefaultParagraphFont"/>
    <w:uiPriority w:val="99"/>
    <w:qFormat/>
    <w:rPr/>
  </w:style>
  <w:style w:type="character" w:styleId="Nagwek1Znak" w:customStyle="1">
    <w:name w:val="Nagłówek 1 Znak"/>
    <w:basedOn w:val="DefaultParagraphFont"/>
    <w:uiPriority w:val="9"/>
    <w:qFormat/>
    <w:rPr>
      <w:rFonts w:ascii="Candide Light" w:hAnsi="Candide Light" w:eastAsia="Times New Roman" w:cs="Times New Roman"/>
      <w:sz w:val="28"/>
      <w:szCs w:val="32"/>
    </w:rPr>
  </w:style>
  <w:style w:type="character" w:styleId="SubtleEmphasis">
    <w:name w:val="Subtle Emphasis"/>
    <w:basedOn w:val="DefaultParagraphFont"/>
    <w:qFormat/>
    <w:rPr>
      <w:i/>
      <w:iCs/>
      <w:color w:val="404040"/>
    </w:rPr>
  </w:style>
  <w:style w:type="character" w:styleId="Hyperlink">
    <w:name w:val="Hyperlink"/>
    <w:basedOn w:val="DefaultParagraphFont"/>
    <w:uiPriority w:val="99"/>
    <w:rPr>
      <w:color w:val="0563C1"/>
      <w:u w:val="single"/>
    </w:rPr>
  </w:style>
  <w:style w:type="character" w:styleId="Nagwek3Znak" w:customStyle="1">
    <w:name w:val="Nagłówek 3 Znak"/>
    <w:basedOn w:val="DefaultParagraphFont"/>
    <w:uiPriority w:val="9"/>
    <w:qFormat/>
    <w:rPr>
      <w:rFonts w:ascii="Calibri Light" w:hAnsi="Calibri Light" w:eastAsia="Times New Roman" w:cs="Times New Roman"/>
      <w:color w:val="1F3763"/>
      <w:sz w:val="24"/>
      <w:szCs w:val="24"/>
    </w:rPr>
  </w:style>
  <w:style w:type="character" w:styleId="Nagwek4Znak" w:customStyle="1">
    <w:name w:val="Nagłówek 4 Znak"/>
    <w:basedOn w:val="DefaultParagraphFont"/>
    <w:uiPriority w:val="9"/>
    <w:qFormat/>
    <w:rPr>
      <w:rFonts w:ascii="Calibri Light" w:hAnsi="Calibri Light" w:eastAsia="Times New Roman" w:cs="Times New Roman"/>
      <w:i/>
      <w:iCs/>
      <w:color w:val="2F5496"/>
      <w:szCs w:val="28"/>
    </w:rPr>
  </w:style>
  <w:style w:type="character" w:styleId="IntenseEmphasis">
    <w:name w:val="Intense Emphasis"/>
    <w:basedOn w:val="DefaultParagraphFont"/>
    <w:qFormat/>
    <w:rPr>
      <w:i/>
      <w:iCs/>
      <w:color w:val="auto"/>
    </w:rPr>
  </w:style>
  <w:style w:type="character" w:styleId="TekstprzypisudolnegoZnak" w:customStyle="1">
    <w:name w:val="Tekst przypisu dolnego Znak"/>
    <w:basedOn w:val="DefaultParagraphFont"/>
    <w:qFormat/>
    <w:rPr>
      <w:rFonts w:ascii="Candide Light" w:hAnsi="Candide Light" w:cs="Times New Roman"/>
      <w:sz w:val="20"/>
      <w:szCs w:val="20"/>
    </w:rPr>
  </w:style>
  <w:style w:type="character" w:styleId="Znakiprzypiswdolnych">
    <w:name w:val="Znaki przypisów dolnych"/>
    <w:qFormat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UnresolvedMention">
    <w:name w:val="Unresolved Mention"/>
    <w:basedOn w:val="DefaultParagraphFont"/>
    <w:qFormat/>
    <w:rPr>
      <w:color w:val="605E5C"/>
      <w:shd w:fill="E1DFDD" w:val="clear"/>
    </w:rPr>
  </w:style>
  <w:style w:type="character" w:styleId="TytuZnak" w:customStyle="1">
    <w:name w:val="Tytuł Znak"/>
    <w:basedOn w:val="DefaultParagraphFont"/>
    <w:uiPriority w:val="10"/>
    <w:qFormat/>
    <w:rPr>
      <w:rFonts w:ascii="Calibri" w:hAnsi="Calibri" w:eastAsia="Times New Roman" w:cs="Times New Roman"/>
      <w:color w:val="1F3763"/>
      <w:spacing w:val="-10"/>
      <w:kern w:val="2"/>
      <w:sz w:val="16"/>
      <w:szCs w:val="56"/>
    </w:rPr>
  </w:style>
  <w:style w:type="character" w:styleId="Nagwek5Znak" w:customStyle="1">
    <w:name w:val="Nagłówek 5 Znak"/>
    <w:basedOn w:val="DefaultParagraphFont"/>
    <w:qFormat/>
    <w:rPr>
      <w:rFonts w:ascii="Calibri Light" w:hAnsi="Calibri Light" w:eastAsia="Times New Roman" w:cs="Times New Roman"/>
      <w:color w:val="000000"/>
      <w:sz w:val="18"/>
    </w:rPr>
  </w:style>
  <w:style w:type="character" w:styleId="Nagwek6Znak" w:customStyle="1">
    <w:name w:val="Nagłówek 6 Znak"/>
    <w:basedOn w:val="DefaultParagraphFont"/>
    <w:qFormat/>
    <w:rPr>
      <w:rFonts w:eastAsia="Times New Roman" w:cs="Times New Roman"/>
      <w:color w:val="1F3763"/>
      <w:sz w:val="14"/>
    </w:rPr>
  </w:style>
  <w:style w:type="character" w:styleId="TekstprzypisukocowegoZnak" w:customStyle="1">
    <w:name w:val="Tekst przypisu końcowego Znak"/>
    <w:basedOn w:val="DefaultParagraphFont"/>
    <w:qFormat/>
    <w:rPr>
      <w:sz w:val="20"/>
      <w:szCs w:val="20"/>
    </w:rPr>
  </w:style>
  <w:style w:type="character" w:styleId="Znakiprzypiswkocowych">
    <w:name w:val="Znaki przypisów końcowych"/>
    <w:qFormat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FollowedHyperlink">
    <w:name w:val="FollowedHyperlink"/>
    <w:basedOn w:val="DefaultParagraphFont"/>
    <w:rPr>
      <w:color w:val="954F72"/>
      <w:u w:val="single"/>
    </w:rPr>
  </w:style>
  <w:style w:type="character" w:styleId="AkapitzlistZnak" w:customStyle="1">
    <w:name w:val="Akapit z listą Znak"/>
    <w:basedOn w:val="DefaultParagraphFont"/>
    <w:qFormat/>
    <w:rPr>
      <w:rFonts w:ascii="Candide Light" w:hAnsi="Candide Light"/>
      <w:szCs w:val="28"/>
    </w:rPr>
  </w:style>
  <w:style w:type="character" w:styleId="CytatintensywnyZnak" w:customStyle="1">
    <w:name w:val="Cytat intensywny Znak"/>
    <w:basedOn w:val="DefaultParagraphFont"/>
    <w:qFormat/>
    <w:rPr>
      <w:rFonts w:ascii="Candide Light" w:hAnsi="Candide Light"/>
      <w:i/>
      <w:iCs/>
      <w:color w:val="4472C4"/>
    </w:rPr>
  </w:style>
  <w:style w:type="character" w:styleId="PodtytuZnak" w:customStyle="1">
    <w:name w:val="Podtytuł Znak"/>
    <w:basedOn w:val="DefaultParagraphFont"/>
    <w:qFormat/>
    <w:rPr>
      <w:rFonts w:ascii="Calibri" w:hAnsi="Calibri" w:eastAsia="Times New Roman" w:cs="Times New Roman"/>
      <w:color w:val="5A5A5A"/>
      <w:spacing w:val="15"/>
    </w:rPr>
  </w:style>
  <w:style w:type="character" w:styleId="Nagwek7Znak" w:customStyle="1">
    <w:name w:val="Nagłówek 7 Znak"/>
    <w:basedOn w:val="DefaultParagraphFont"/>
    <w:qFormat/>
    <w:rPr>
      <w:rFonts w:ascii="Calibri Light" w:hAnsi="Calibri Light" w:eastAsia="Times New Roman" w:cs="Times New Roman"/>
      <w:i/>
      <w:iCs/>
      <w:color w:val="1F3763"/>
    </w:rPr>
  </w:style>
  <w:style w:type="character" w:styleId="CytatZnak" w:customStyle="1">
    <w:name w:val="Cytat Znak"/>
    <w:basedOn w:val="DefaultParagraphFont"/>
    <w:qFormat/>
    <w:rPr>
      <w:rFonts w:ascii="Candide Light" w:hAnsi="Candide Light"/>
      <w:i/>
      <w:iCs/>
      <w:color w:val="404040"/>
    </w:rPr>
  </w:style>
  <w:style w:type="character" w:styleId="Styl1Znak" w:customStyle="1">
    <w:name w:val="Styl1 Znak"/>
    <w:basedOn w:val="DefaultParagraphFont"/>
    <w:link w:val="Styl1"/>
    <w:qFormat/>
    <w:rsid w:val="00c77385"/>
    <w:rPr>
      <w:rFonts w:ascii="Times New Roman" w:hAnsi="Times New Roman" w:eastAsia="Calibri" w:eastAsiaTheme="minorHAnsi"/>
      <w:kern w:val="2"/>
      <w:sz w:val="24"/>
      <w:szCs w:val="24"/>
      <w14:ligatures w14:val="standardContextual"/>
    </w:rPr>
  </w:style>
  <w:style w:type="character" w:styleId="Nagwek2Znak" w:customStyle="1">
    <w:name w:val="Nagłówek 2 Znak"/>
    <w:basedOn w:val="DefaultParagraphFont"/>
    <w:uiPriority w:val="9"/>
    <w:qFormat/>
    <w:rsid w:val="0065102b"/>
    <w:rPr>
      <w:rFonts w:ascii="Times New Roman" w:hAnsi="Times New Roman" w:eastAsia="Times New Roman"/>
      <w:b/>
      <w:sz w:val="24"/>
      <w:szCs w:val="26"/>
    </w:rPr>
  </w:style>
  <w:style w:type="character" w:styleId="Czeindeksu">
    <w:name w:val="Łącze indeksu"/>
    <w:qFormat/>
    <w:rPr/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Title">
    <w:name w:val="Title"/>
    <w:basedOn w:val="Normal"/>
    <w:next w:val="Normal"/>
    <w:uiPriority w:val="10"/>
    <w:qFormat/>
    <w:pPr>
      <w:spacing w:before="0" w:after="0"/>
      <w:contextualSpacing/>
      <w:jc w:val="left"/>
    </w:pPr>
    <w:rPr>
      <w:rFonts w:eastAsia="Times New Roman"/>
      <w:i/>
      <w:spacing w:val="-10"/>
      <w:kern w:val="2"/>
      <w:sz w:val="16"/>
      <w:szCs w:val="56"/>
    </w:rPr>
  </w:style>
  <w:style w:type="paragraph" w:styleId="TOC3">
    <w:name w:val="TOC 3"/>
    <w:basedOn w:val="Normal"/>
    <w:next w:val="Normal"/>
    <w:autoRedefine/>
    <w:uiPriority w:val="39"/>
    <w:rsid w:val="007e4320"/>
    <w:pPr>
      <w:tabs>
        <w:tab w:val="clear" w:pos="567"/>
        <w:tab w:val="left" w:pos="880" w:leader="none"/>
        <w:tab w:val="right" w:pos="9060" w:leader="dot"/>
      </w:tabs>
      <w:spacing w:lineRule="auto" w:line="312"/>
    </w:pPr>
    <w:rPr>
      <w:rFonts w:ascii="Calibri" w:hAnsi="Calibri" w:cs="Calibri"/>
      <w:i/>
      <w:iCs/>
      <w:sz w:val="20"/>
      <w:szCs w:val="20"/>
    </w:rPr>
  </w:style>
  <w:style w:type="paragraph" w:styleId="NoSpacing">
    <w:name w:val="No Spacing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Times New Roman" w:cs="Times New Roman"/>
      <w:color w:val="auto"/>
      <w:kern w:val="0"/>
      <w:sz w:val="22"/>
      <w:szCs w:val="22"/>
      <w:lang w:val="pl-PL" w:eastAsia="pl-PL" w:bidi="ar-SA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uiPriority w:val="99"/>
    <w:pPr>
      <w:tabs>
        <w:tab w:val="clear" w:pos="567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uiPriority w:val="99"/>
    <w:pPr>
      <w:tabs>
        <w:tab w:val="clear" w:pos="567"/>
        <w:tab w:val="center" w:pos="4536" w:leader="none"/>
        <w:tab w:val="right" w:pos="9072" w:leader="none"/>
      </w:tabs>
    </w:pPr>
    <w:rPr/>
  </w:style>
  <w:style w:type="paragraph" w:styleId="IntenseQuote">
    <w:name w:val="Intense Quote"/>
    <w:basedOn w:val="Normal"/>
    <w:next w:val="Normal"/>
    <w:qFormat/>
    <w:pPr>
      <w:pBdr>
        <w:top w:val="single" w:sz="4" w:space="10" w:color="4472C4"/>
        <w:bottom w:val="single" w:sz="4" w:space="10" w:color="4472C4"/>
      </w:pBdr>
      <w:spacing w:before="360" w:after="360"/>
      <w:ind w:left="864" w:right="864"/>
      <w:jc w:val="center"/>
    </w:pPr>
    <w:rPr>
      <w:i/>
      <w:iCs/>
      <w:color w:val="4472C4"/>
    </w:rPr>
  </w:style>
  <w:style w:type="paragraph" w:styleId="TOC1">
    <w:name w:val="TOC 1"/>
    <w:basedOn w:val="Normal"/>
    <w:next w:val="Normal"/>
    <w:autoRedefine/>
    <w:uiPriority w:val="39"/>
    <w:qFormat/>
    <w:rsid w:val="000f006e"/>
    <w:pPr>
      <w:tabs>
        <w:tab w:val="clear" w:pos="567"/>
        <w:tab w:val="right" w:pos="113" w:leader="none"/>
        <w:tab w:val="right" w:pos="340" w:leader="dot"/>
        <w:tab w:val="right" w:pos="9345" w:leader="dot"/>
      </w:tabs>
      <w:suppressAutoHyphens w:val="false"/>
    </w:pPr>
    <w:rPr>
      <w:rFonts w:cs="Calibri"/>
      <w:b/>
    </w:rPr>
  </w:style>
  <w:style w:type="paragraph" w:styleId="IndexHeading">
    <w:name w:val="Index Heading"/>
    <w:basedOn w:val="Nagwek"/>
    <w:pPr/>
    <w:rPr/>
  </w:style>
  <w:style w:type="paragraph" w:styleId="TOCHeading">
    <w:name w:val="TOC Heading"/>
    <w:basedOn w:val="Heading1"/>
    <w:next w:val="Normal"/>
    <w:uiPriority w:val="39"/>
    <w:qFormat/>
    <w:pPr/>
    <w:rPr>
      <w:lang w:eastAsia="pl-PL"/>
    </w:rPr>
  </w:style>
  <w:style w:type="paragraph" w:styleId="TOC2">
    <w:name w:val="TOC 2"/>
    <w:basedOn w:val="Normal"/>
    <w:next w:val="Normal"/>
    <w:autoRedefine/>
    <w:uiPriority w:val="39"/>
    <w:rsid w:val="0077768d"/>
    <w:pPr>
      <w:tabs>
        <w:tab w:val="clear" w:pos="567"/>
        <w:tab w:val="left" w:pos="1100" w:leader="none"/>
        <w:tab w:val="right" w:pos="9060" w:leader="dot"/>
      </w:tabs>
      <w:spacing w:lineRule="auto" w:line="360" w:before="0" w:after="0"/>
      <w:ind w:hanging="360" w:left="720"/>
      <w:contextualSpacing/>
    </w:pPr>
    <w:rPr>
      <w:rFonts w:cs="Calibri"/>
      <w:b/>
      <w:sz w:val="20"/>
      <w:szCs w:val="20"/>
    </w:rPr>
  </w:style>
  <w:style w:type="paragraph" w:styleId="Caption1">
    <w:name w:val="caption1"/>
    <w:basedOn w:val="Normal"/>
    <w:next w:val="Normal"/>
    <w:qFormat/>
    <w:pPr>
      <w:spacing w:before="0" w:after="200"/>
    </w:pPr>
    <w:rPr>
      <w:i/>
      <w:iCs/>
      <w:color w:val="44546A"/>
      <w:sz w:val="18"/>
      <w:szCs w:val="18"/>
    </w:rPr>
  </w:style>
  <w:style w:type="paragraph" w:styleId="FootnoteText">
    <w:name w:val="Footnote Text"/>
    <w:basedOn w:val="Normal"/>
    <w:pPr/>
    <w:rPr>
      <w:sz w:val="20"/>
      <w:szCs w:val="20"/>
    </w:rPr>
  </w:style>
  <w:style w:type="paragraph" w:styleId="EndnoteText">
    <w:name w:val="Endnote Text"/>
    <w:basedOn w:val="Normal"/>
    <w:pPr/>
    <w:rPr>
      <w:sz w:val="20"/>
      <w:szCs w:val="20"/>
    </w:rPr>
  </w:style>
  <w:style w:type="paragraph" w:styleId="NormalWeb">
    <w:name w:val="Normal (Web)"/>
    <w:basedOn w:val="Normal"/>
    <w:qFormat/>
    <w:pPr>
      <w:suppressAutoHyphens w:val="false"/>
      <w:spacing w:before="100" w:after="100"/>
    </w:pPr>
    <w:rPr>
      <w:rFonts w:eastAsia="Times New Roman"/>
      <w:sz w:val="24"/>
      <w:szCs w:val="24"/>
      <w:lang w:eastAsia="pl-PL"/>
    </w:rPr>
  </w:style>
  <w:style w:type="paragraph" w:styleId="TOC4">
    <w:name w:val="TOC 4"/>
    <w:basedOn w:val="Normal"/>
    <w:next w:val="Normal"/>
    <w:autoRedefine/>
    <w:uiPriority w:val="39"/>
    <w:pPr>
      <w:tabs>
        <w:tab w:val="clear" w:pos="567"/>
        <w:tab w:val="left" w:pos="1320" w:leader="none"/>
        <w:tab w:val="right" w:pos="9060" w:leader="dot"/>
      </w:tabs>
      <w:spacing w:before="120" w:after="120"/>
      <w:ind w:left="284"/>
      <w:contextualSpacing/>
    </w:pPr>
    <w:rPr>
      <w:rFonts w:ascii="Calibri" w:hAnsi="Calibri" w:cs="Calibri"/>
      <w:sz w:val="18"/>
      <w:szCs w:val="18"/>
    </w:rPr>
  </w:style>
  <w:style w:type="paragraph" w:styleId="ListParagraph">
    <w:name w:val="List Paragraph"/>
    <w:basedOn w:val="Normal"/>
    <w:qFormat/>
    <w:rsid w:val="00d35759"/>
    <w:pPr>
      <w:spacing w:before="0" w:after="0"/>
      <w:ind w:left="720"/>
      <w:contextualSpacing/>
    </w:pPr>
    <w:rPr/>
  </w:style>
  <w:style w:type="paragraph" w:styleId="TOC6">
    <w:name w:val="TOC 6"/>
    <w:basedOn w:val="Normal"/>
    <w:next w:val="Normal"/>
    <w:autoRedefine/>
    <w:pPr>
      <w:ind w:left="1100"/>
    </w:pPr>
    <w:rPr>
      <w:rFonts w:ascii="Calibri" w:hAnsi="Calibri" w:cs="Calibri"/>
      <w:sz w:val="18"/>
      <w:szCs w:val="18"/>
    </w:rPr>
  </w:style>
  <w:style w:type="paragraph" w:styleId="TOC5">
    <w:name w:val="TOC 5"/>
    <w:basedOn w:val="Normal"/>
    <w:next w:val="Normal"/>
    <w:autoRedefine/>
    <w:pPr>
      <w:ind w:left="880"/>
    </w:pPr>
    <w:rPr>
      <w:rFonts w:ascii="Calibri" w:hAnsi="Calibri" w:cs="Calibri"/>
      <w:sz w:val="18"/>
      <w:szCs w:val="18"/>
    </w:rPr>
  </w:style>
  <w:style w:type="paragraph" w:styleId="TOC7">
    <w:name w:val="TOC 7"/>
    <w:basedOn w:val="Normal"/>
    <w:next w:val="Normal"/>
    <w:autoRedefine/>
    <w:pPr>
      <w:ind w:left="1320"/>
    </w:pPr>
    <w:rPr>
      <w:rFonts w:ascii="Calibri" w:hAnsi="Calibri" w:cs="Calibri"/>
      <w:sz w:val="18"/>
      <w:szCs w:val="18"/>
    </w:rPr>
  </w:style>
  <w:style w:type="paragraph" w:styleId="TOC8">
    <w:name w:val="TOC 8"/>
    <w:basedOn w:val="Normal"/>
    <w:next w:val="Normal"/>
    <w:autoRedefine/>
    <w:pPr>
      <w:ind w:left="1540"/>
    </w:pPr>
    <w:rPr>
      <w:rFonts w:ascii="Calibri" w:hAnsi="Calibri" w:cs="Calibri"/>
      <w:sz w:val="18"/>
      <w:szCs w:val="18"/>
    </w:rPr>
  </w:style>
  <w:style w:type="paragraph" w:styleId="TOC9">
    <w:name w:val="TOC 9"/>
    <w:basedOn w:val="Normal"/>
    <w:next w:val="Normal"/>
    <w:autoRedefine/>
    <w:pPr>
      <w:ind w:left="1760"/>
    </w:pPr>
    <w:rPr>
      <w:rFonts w:ascii="Calibri" w:hAnsi="Calibri" w:cs="Calibri"/>
      <w:sz w:val="18"/>
      <w:szCs w:val="18"/>
    </w:rPr>
  </w:style>
  <w:style w:type="paragraph" w:styleId="Subtitle">
    <w:name w:val="Subtitle"/>
    <w:basedOn w:val="Normal"/>
    <w:next w:val="Normal"/>
    <w:uiPriority w:val="11"/>
    <w:qFormat/>
    <w:pPr>
      <w:spacing w:before="0" w:after="160"/>
    </w:pPr>
    <w:rPr>
      <w:rFonts w:ascii="Calibri" w:hAnsi="Calibri" w:eastAsia="Times New Roman"/>
      <w:color w:val="5A5A5A"/>
      <w:spacing w:val="15"/>
    </w:rPr>
  </w:style>
  <w:style w:type="paragraph" w:styleId="TableofFigures">
    <w:name w:val="Table of Figures"/>
    <w:basedOn w:val="Normal"/>
    <w:next w:val="Normal"/>
    <w:pPr/>
    <w:rPr/>
  </w:style>
  <w:style w:type="paragraph" w:styleId="Quote">
    <w:name w:val="Quote"/>
    <w:basedOn w:val="Normal"/>
    <w:next w:val="Normal"/>
    <w:qFormat/>
    <w:pPr>
      <w:spacing w:before="200" w:after="160"/>
      <w:ind w:left="864" w:right="864"/>
      <w:jc w:val="center"/>
    </w:pPr>
    <w:rPr>
      <w:i/>
      <w:iCs/>
      <w:color w:val="404040"/>
    </w:rPr>
  </w:style>
  <w:style w:type="paragraph" w:styleId="Styl1" w:customStyle="1">
    <w:name w:val="Styl1"/>
    <w:basedOn w:val="Normal"/>
    <w:link w:val="Styl1Znak"/>
    <w:qFormat/>
    <w:rsid w:val="00c77385"/>
    <w:pPr>
      <w:suppressAutoHyphens w:val="false"/>
      <w:spacing w:lineRule="auto" w:line="259" w:before="0" w:after="160"/>
      <w:jc w:val="left"/>
    </w:pPr>
    <w:rPr>
      <w:rFonts w:eastAsia="Calibri" w:eastAsiaTheme="minorHAnsi"/>
      <w:kern w:val="2"/>
      <w:sz w:val="24"/>
      <w:szCs w:val="24"/>
      <w14:ligatures w14:val="standardContextual"/>
    </w:rPr>
  </w:style>
  <w:style w:type="paragraph" w:styleId="Tekst" w:customStyle="1">
    <w:name w:val="Tekst"/>
    <w:basedOn w:val="Normal"/>
    <w:qFormat/>
    <w:rsid w:val="007235ab"/>
    <w:pPr>
      <w:suppressAutoHyphens w:val="false"/>
      <w:textAlignment w:val="baseline"/>
    </w:pPr>
    <w:rPr>
      <w:rFonts w:ascii="Century Gothic" w:hAnsi="Century Gothic" w:eastAsia="Lucida Sans Unicode" w:cs="Mangal"/>
      <w:kern w:val="2"/>
      <w:sz w:val="20"/>
      <w:lang w:bidi="hi-IN"/>
    </w:rPr>
  </w:style>
  <w:style w:type="paragraph" w:styleId="Zawartotabeli">
    <w:name w:val="Zawartość tabeli"/>
    <w:basedOn w:val="Normal"/>
    <w:qFormat/>
    <w:pPr>
      <w:widowControl w:val="false"/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numbering" w:styleId="WWOutlineListStyle57" w:customStyle="1">
    <w:name w:val="WW_OutlineListStyle_57"/>
    <w:qFormat/>
    <w:rsid w:val="004b6ddd"/>
  </w:style>
  <w:style w:type="numbering" w:styleId="WWOutlineListStyle56" w:customStyle="1">
    <w:name w:val="WW_OutlineListStyle_56"/>
    <w:qFormat/>
  </w:style>
  <w:style w:type="numbering" w:styleId="WWOutlineListStyle55" w:customStyle="1">
    <w:name w:val="WW_OutlineListStyle_55"/>
    <w:qFormat/>
  </w:style>
  <w:style w:type="numbering" w:styleId="WWOutlineListStyle54" w:customStyle="1">
    <w:name w:val="WW_OutlineListStyle_54"/>
    <w:qFormat/>
  </w:style>
  <w:style w:type="numbering" w:styleId="WWOutlineListStyle53" w:customStyle="1">
    <w:name w:val="WW_OutlineListStyle_53"/>
    <w:qFormat/>
  </w:style>
  <w:style w:type="numbering" w:styleId="WWOutlineListStyle52" w:customStyle="1">
    <w:name w:val="WW_OutlineListStyle_52"/>
    <w:qFormat/>
  </w:style>
  <w:style w:type="numbering" w:styleId="WWOutlineListStyle51" w:customStyle="1">
    <w:name w:val="WW_OutlineListStyle_51"/>
    <w:qFormat/>
  </w:style>
  <w:style w:type="numbering" w:styleId="WWOutlineListStyle50" w:customStyle="1">
    <w:name w:val="WW_OutlineListStyle_50"/>
    <w:qFormat/>
  </w:style>
  <w:style w:type="numbering" w:styleId="WWOutlineListStyle49" w:customStyle="1">
    <w:name w:val="WW_OutlineListStyle_49"/>
    <w:qFormat/>
  </w:style>
  <w:style w:type="numbering" w:styleId="WWOutlineListStyle48" w:customStyle="1">
    <w:name w:val="WW_OutlineListStyle_48"/>
    <w:qFormat/>
  </w:style>
  <w:style w:type="numbering" w:styleId="WWOutlineListStyle47" w:customStyle="1">
    <w:name w:val="WW_OutlineListStyle_47"/>
    <w:qFormat/>
  </w:style>
  <w:style w:type="numbering" w:styleId="WWOutlineListStyle46" w:customStyle="1">
    <w:name w:val="WW_OutlineListStyle_46"/>
    <w:qFormat/>
  </w:style>
  <w:style w:type="numbering" w:styleId="WWOutlineListStyle45" w:customStyle="1">
    <w:name w:val="WW_OutlineListStyle_45"/>
    <w:qFormat/>
  </w:style>
  <w:style w:type="numbering" w:styleId="WWOutlineListStyle44" w:customStyle="1">
    <w:name w:val="WW_OutlineListStyle_44"/>
    <w:qFormat/>
  </w:style>
  <w:style w:type="numbering" w:styleId="WWOutlineListStyle43" w:customStyle="1">
    <w:name w:val="WW_OutlineListStyle_43"/>
    <w:qFormat/>
  </w:style>
  <w:style w:type="numbering" w:styleId="WWOutlineListStyle42" w:customStyle="1">
    <w:name w:val="WW_OutlineListStyle_42"/>
    <w:qFormat/>
  </w:style>
  <w:style w:type="numbering" w:styleId="WWOutlineListStyle41" w:customStyle="1">
    <w:name w:val="WW_OutlineListStyle_41"/>
    <w:qFormat/>
  </w:style>
  <w:style w:type="numbering" w:styleId="WWOutlineListStyle40" w:customStyle="1">
    <w:name w:val="WW_OutlineListStyle_40"/>
    <w:qFormat/>
  </w:style>
  <w:style w:type="numbering" w:styleId="WWOutlineListStyle39" w:customStyle="1">
    <w:name w:val="WW_OutlineListStyle_39"/>
    <w:qFormat/>
  </w:style>
  <w:style w:type="numbering" w:styleId="WWOutlineListStyle38" w:customStyle="1">
    <w:name w:val="WW_OutlineListStyle_38"/>
    <w:qFormat/>
  </w:style>
  <w:style w:type="numbering" w:styleId="WWOutlineListStyle37" w:customStyle="1">
    <w:name w:val="WW_OutlineListStyle_37"/>
    <w:qFormat/>
  </w:style>
  <w:style w:type="numbering" w:styleId="WWOutlineListStyle36" w:customStyle="1">
    <w:name w:val="WW_OutlineListStyle_36"/>
    <w:qFormat/>
  </w:style>
  <w:style w:type="numbering" w:styleId="WWOutlineListStyle35" w:customStyle="1">
    <w:name w:val="WW_OutlineListStyle_35"/>
    <w:qFormat/>
  </w:style>
  <w:style w:type="numbering" w:styleId="WWOutlineListStyle34" w:customStyle="1">
    <w:name w:val="WW_OutlineListStyle_34"/>
    <w:qFormat/>
  </w:style>
  <w:style w:type="numbering" w:styleId="WWOutlineListStyle33" w:customStyle="1">
    <w:name w:val="WW_OutlineListStyle_33"/>
    <w:qFormat/>
  </w:style>
  <w:style w:type="numbering" w:styleId="WWOutlineListStyle32" w:customStyle="1">
    <w:name w:val="WW_OutlineListStyle_32"/>
    <w:qFormat/>
  </w:style>
  <w:style w:type="numbering" w:styleId="WWOutlineListStyle31" w:customStyle="1">
    <w:name w:val="WW_OutlineListStyle_31"/>
    <w:qFormat/>
  </w:style>
  <w:style w:type="numbering" w:styleId="WWOutlineListStyle30" w:customStyle="1">
    <w:name w:val="WW_OutlineListStyle_30"/>
    <w:qFormat/>
  </w:style>
  <w:style w:type="numbering" w:styleId="WWOutlineListStyle29" w:customStyle="1">
    <w:name w:val="WW_OutlineListStyle_29"/>
    <w:qFormat/>
  </w:style>
  <w:style w:type="numbering" w:styleId="WWOutlineListStyle28" w:customStyle="1">
    <w:name w:val="WW_OutlineListStyle_28"/>
    <w:qFormat/>
  </w:style>
  <w:style w:type="numbering" w:styleId="WWOutlineListStyle27" w:customStyle="1">
    <w:name w:val="WW_OutlineListStyle_27"/>
    <w:qFormat/>
  </w:style>
  <w:style w:type="numbering" w:styleId="WWOutlineListStyle26" w:customStyle="1">
    <w:name w:val="WW_OutlineListStyle_26"/>
    <w:qFormat/>
  </w:style>
  <w:style w:type="numbering" w:styleId="WWOutlineListStyle25" w:customStyle="1">
    <w:name w:val="WW_OutlineListStyle_25"/>
    <w:qFormat/>
  </w:style>
  <w:style w:type="numbering" w:styleId="WWOutlineListStyle24" w:customStyle="1">
    <w:name w:val="WW_OutlineListStyle_24"/>
    <w:qFormat/>
  </w:style>
  <w:style w:type="numbering" w:styleId="WWOutlineListStyle23" w:customStyle="1">
    <w:name w:val="WW_OutlineListStyle_23"/>
    <w:qFormat/>
  </w:style>
  <w:style w:type="numbering" w:styleId="WWOutlineListStyle22" w:customStyle="1">
    <w:name w:val="WW_OutlineListStyle_22"/>
    <w:qFormat/>
  </w:style>
  <w:style w:type="numbering" w:styleId="WWOutlineListStyle21" w:customStyle="1">
    <w:name w:val="WW_OutlineListStyle_21"/>
    <w:qFormat/>
  </w:style>
  <w:style w:type="numbering" w:styleId="WWOutlineListStyle20" w:customStyle="1">
    <w:name w:val="WW_OutlineListStyle_20"/>
    <w:qFormat/>
  </w:style>
  <w:style w:type="numbering" w:styleId="WWOutlineListStyle19" w:customStyle="1">
    <w:name w:val="WW_OutlineListStyle_19"/>
    <w:qFormat/>
  </w:style>
  <w:style w:type="numbering" w:styleId="WWOutlineListStyle18" w:customStyle="1">
    <w:name w:val="WW_OutlineListStyle_18"/>
    <w:qFormat/>
  </w:style>
  <w:style w:type="numbering" w:styleId="WWOutlineListStyle17" w:customStyle="1">
    <w:name w:val="WW_OutlineListStyle_17"/>
    <w:qFormat/>
  </w:style>
  <w:style w:type="numbering" w:styleId="WWOutlineListStyle16" w:customStyle="1">
    <w:name w:val="WW_OutlineListStyle_16"/>
    <w:qFormat/>
  </w:style>
  <w:style w:type="numbering" w:styleId="WWOutlineListStyle15" w:customStyle="1">
    <w:name w:val="WW_OutlineListStyle_15"/>
    <w:qFormat/>
  </w:style>
  <w:style w:type="numbering" w:styleId="WWOutlineListStyle14" w:customStyle="1">
    <w:name w:val="WW_OutlineListStyle_14"/>
    <w:qFormat/>
  </w:style>
  <w:style w:type="numbering" w:styleId="WWOutlineListStyle13" w:customStyle="1">
    <w:name w:val="WW_OutlineListStyle_13"/>
    <w:qFormat/>
  </w:style>
  <w:style w:type="numbering" w:styleId="WWOutlineListStyle12" w:customStyle="1">
    <w:name w:val="WW_OutlineListStyle_12"/>
    <w:qFormat/>
  </w:style>
  <w:style w:type="numbering" w:styleId="WWOutlineListStyle11" w:customStyle="1">
    <w:name w:val="WW_OutlineListStyle_11"/>
    <w:qFormat/>
  </w:style>
  <w:style w:type="numbering" w:styleId="WWOutlineListStyle10" w:customStyle="1">
    <w:name w:val="WW_OutlineListStyle_10"/>
    <w:qFormat/>
  </w:style>
  <w:style w:type="numbering" w:styleId="WWOutlineListStyle9" w:customStyle="1">
    <w:name w:val="WW_OutlineListStyle_9"/>
    <w:qFormat/>
  </w:style>
  <w:style w:type="numbering" w:styleId="WWOutlineListStyle8" w:customStyle="1">
    <w:name w:val="WW_OutlineListStyle_8"/>
    <w:qFormat/>
  </w:style>
  <w:style w:type="numbering" w:styleId="WWOutlineListStyle7" w:customStyle="1">
    <w:name w:val="WW_OutlineListStyle_7"/>
    <w:qFormat/>
  </w:style>
  <w:style w:type="numbering" w:styleId="WWOutlineListStyle6" w:customStyle="1">
    <w:name w:val="WW_OutlineListStyle_6"/>
    <w:qFormat/>
  </w:style>
  <w:style w:type="numbering" w:styleId="WWOutlineListStyle5" w:customStyle="1">
    <w:name w:val="WW_OutlineListStyle_5"/>
    <w:qFormat/>
  </w:style>
  <w:style w:type="numbering" w:styleId="WWOutlineListStyle4" w:customStyle="1">
    <w:name w:val="WW_OutlineListStyle_4"/>
    <w:qFormat/>
  </w:style>
  <w:style w:type="numbering" w:styleId="WWOutlineListStyle3" w:customStyle="1">
    <w:name w:val="WW_OutlineListStyle_3"/>
    <w:qFormat/>
  </w:style>
  <w:style w:type="numbering" w:styleId="WWOutlineListStyle2" w:customStyle="1">
    <w:name w:val="WW_OutlineListStyle_2"/>
    <w:qFormat/>
  </w:style>
  <w:style w:type="numbering" w:styleId="WWOutlineListStyle1" w:customStyle="1">
    <w:name w:val="WW_OutlineListStyle_1"/>
    <w:qFormat/>
  </w:style>
  <w:style w:type="numbering" w:styleId="WWOutlineListStyle" w:customStyle="1">
    <w:name w:val="WW_OutlineListStyle"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uiPriority w:val="39"/>
    <w:rsid w:val="00c77385"/>
    <w:pPr>
      <w:spacing w:after="0"/>
    </w:pPr>
    <w:rPr>
      <w:rFonts w:asciiTheme="minorHAnsi" w:hAnsiTheme="minorHAnsi" w:eastAsiaTheme="minorHAnsi" w:cstheme="minorBid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1.jpeg"/><Relationship Id="rId4" Type="http://schemas.openxmlformats.org/officeDocument/2006/relationships/image" Target="media/image2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8.jpeg"/><Relationship Id="rId18" Type="http://schemas.openxmlformats.org/officeDocument/2006/relationships/image" Target="media/image9.jpeg"/><Relationship Id="rId19" Type="http://schemas.openxmlformats.org/officeDocument/2006/relationships/image" Target="media/image9.jpeg"/><Relationship Id="rId20" Type="http://schemas.openxmlformats.org/officeDocument/2006/relationships/image" Target="media/image10.jpeg"/><Relationship Id="rId21" Type="http://schemas.openxmlformats.org/officeDocument/2006/relationships/image" Target="media/image10.jpeg"/><Relationship Id="rId22" Type="http://schemas.openxmlformats.org/officeDocument/2006/relationships/image" Target="media/image11.jpeg"/><Relationship Id="rId23" Type="http://schemas.openxmlformats.org/officeDocument/2006/relationships/image" Target="media/image11.jpeg"/><Relationship Id="rId24" Type="http://schemas.openxmlformats.org/officeDocument/2006/relationships/image" Target="media/image12.jpeg"/><Relationship Id="rId25" Type="http://schemas.openxmlformats.org/officeDocument/2006/relationships/image" Target="media/image12.jpeg"/><Relationship Id="rId26" Type="http://schemas.openxmlformats.org/officeDocument/2006/relationships/image" Target="media/image13.jpeg"/><Relationship Id="rId27" Type="http://schemas.openxmlformats.org/officeDocument/2006/relationships/image" Target="media/image13.jpeg"/><Relationship Id="rId28" Type="http://schemas.openxmlformats.org/officeDocument/2006/relationships/image" Target="media/image14.jpeg"/><Relationship Id="rId29" Type="http://schemas.openxmlformats.org/officeDocument/2006/relationships/image" Target="media/image14.jpeg"/><Relationship Id="rId30" Type="http://schemas.openxmlformats.org/officeDocument/2006/relationships/image" Target="media/image15.jpeg"/><Relationship Id="rId31" Type="http://schemas.openxmlformats.org/officeDocument/2006/relationships/image" Target="media/image15.jpeg"/><Relationship Id="rId32" Type="http://schemas.openxmlformats.org/officeDocument/2006/relationships/image" Target="media/image16.jpeg"/><Relationship Id="rId33" Type="http://schemas.openxmlformats.org/officeDocument/2006/relationships/image" Target="media/image16.jpeg"/><Relationship Id="rId34" Type="http://schemas.openxmlformats.org/officeDocument/2006/relationships/image" Target="media/image17.jpeg"/><Relationship Id="rId35" Type="http://schemas.openxmlformats.org/officeDocument/2006/relationships/image" Target="media/image17.jpeg"/><Relationship Id="rId36" Type="http://schemas.openxmlformats.org/officeDocument/2006/relationships/image" Target="media/image17.jpeg"/><Relationship Id="rId37" Type="http://schemas.openxmlformats.org/officeDocument/2006/relationships/image" Target="media/image17.jpeg"/><Relationship Id="rId38" Type="http://schemas.openxmlformats.org/officeDocument/2006/relationships/image" Target="media/image18.jpeg"/><Relationship Id="rId39" Type="http://schemas.openxmlformats.org/officeDocument/2006/relationships/image" Target="media/image18.jpeg"/><Relationship Id="rId40" Type="http://schemas.openxmlformats.org/officeDocument/2006/relationships/footer" Target="footer1.xml"/><Relationship Id="rId41" Type="http://schemas.openxmlformats.org/officeDocument/2006/relationships/footer" Target="footer2.xml"/><Relationship Id="rId42" Type="http://schemas.openxmlformats.org/officeDocument/2006/relationships/footer" Target="footer3.xml"/><Relationship Id="rId43" Type="http://schemas.openxmlformats.org/officeDocument/2006/relationships/numbering" Target="numbering.xml"/><Relationship Id="rId44" Type="http://schemas.openxmlformats.org/officeDocument/2006/relationships/fontTable" Target="fontTable.xml"/><Relationship Id="rId45" Type="http://schemas.openxmlformats.org/officeDocument/2006/relationships/settings" Target="settings.xml"/><Relationship Id="rId46" Type="http://schemas.openxmlformats.org/officeDocument/2006/relationships/theme" Target="theme/theme1.xml"/><Relationship Id="rId4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24ABD0-B050-456A-BA55-DCAE4456F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Application>LibreOffice/7.6.2.1$Windows_X86_64 LibreOffice_project/56f7684011345957bbf33a7ee678afaf4d2ba333</Application>
  <AppVersion>15.0000</AppVersion>
  <Pages>12</Pages>
  <Words>2218</Words>
  <Characters>14952</Characters>
  <CharactersWithSpaces>16902</CharactersWithSpaces>
  <Paragraphs>280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2024-03-14T19:38:00Z</dcterms:created>
  <dc:creator>Magdalena Banasik (224892)</dc:creator>
  <dc:description/>
  <dc:language>pl-PL</dc:language>
  <cp:lastModifiedBy/>
  <cp:lastPrinted>2024-06-05T10:31:37Z</cp:lastPrinted>
  <dcterms:modified xsi:type="dcterms:W3CDTF">2024-06-24T19:50:44Z</dcterms:modified>
  <cp:revision>20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