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2C45" w14:textId="77777777" w:rsidR="00586074" w:rsidRPr="0046591D" w:rsidRDefault="00586074" w:rsidP="00586074">
      <w:pPr>
        <w:spacing w:line="276" w:lineRule="auto"/>
        <w:ind w:left="4956" w:firstLine="708"/>
        <w:jc w:val="right"/>
        <w:rPr>
          <w:rFonts w:asciiTheme="majorHAnsi" w:hAnsiTheme="majorHAnsi" w:cstheme="majorHAnsi"/>
          <w:b/>
          <w:bCs/>
          <w:i/>
          <w:iCs/>
          <w:color w:val="000000"/>
          <w:sz w:val="20"/>
          <w:szCs w:val="20"/>
          <w:lang w:eastAsia="pl-PL"/>
        </w:rPr>
      </w:pPr>
      <w:r w:rsidRPr="0046591D">
        <w:rPr>
          <w:rFonts w:asciiTheme="majorHAnsi" w:hAnsiTheme="majorHAnsi" w:cstheme="majorHAnsi"/>
          <w:bCs/>
          <w:i/>
          <w:iCs/>
          <w:color w:val="000000"/>
          <w:sz w:val="20"/>
          <w:szCs w:val="20"/>
          <w:lang w:eastAsia="pl-PL"/>
        </w:rPr>
        <w:t xml:space="preserve">Załącznik nr 1 do Umowy </w:t>
      </w:r>
    </w:p>
    <w:p w14:paraId="210900ED" w14:textId="77777777" w:rsidR="00586074" w:rsidRPr="0046591D" w:rsidRDefault="00586074" w:rsidP="00586074">
      <w:pPr>
        <w:spacing w:line="276" w:lineRule="auto"/>
        <w:jc w:val="both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71753DDD" w14:textId="77777777" w:rsidR="00586074" w:rsidRPr="0046591D" w:rsidRDefault="00586074" w:rsidP="00586074">
      <w:pPr>
        <w:spacing w:line="276" w:lineRule="auto"/>
        <w:ind w:left="426"/>
        <w:rPr>
          <w:rFonts w:asciiTheme="majorHAnsi" w:hAnsiTheme="majorHAnsi" w:cstheme="majorHAnsi"/>
          <w:color w:val="000000"/>
          <w:lang w:eastAsia="pl-PL"/>
        </w:rPr>
      </w:pPr>
      <w:r w:rsidRPr="0046591D">
        <w:rPr>
          <w:rFonts w:asciiTheme="majorHAnsi" w:hAnsiTheme="majorHAnsi" w:cstheme="majorHAnsi"/>
          <w:color w:val="000000"/>
          <w:lang w:eastAsia="pl-PL"/>
        </w:rPr>
        <w:t>…………………………………</w:t>
      </w:r>
    </w:p>
    <w:p w14:paraId="39D34936" w14:textId="77777777" w:rsidR="00586074" w:rsidRPr="0046591D" w:rsidRDefault="00586074" w:rsidP="00586074">
      <w:pPr>
        <w:spacing w:line="276" w:lineRule="auto"/>
        <w:ind w:left="852" w:hanging="426"/>
        <w:rPr>
          <w:rFonts w:asciiTheme="majorHAnsi" w:hAnsiTheme="majorHAnsi" w:cstheme="majorHAnsi"/>
          <w:color w:val="000000"/>
          <w:sz w:val="20"/>
          <w:szCs w:val="20"/>
          <w:lang w:eastAsia="pl-PL"/>
        </w:rPr>
      </w:pPr>
      <w:r w:rsidRPr="0046591D">
        <w:rPr>
          <w:rFonts w:asciiTheme="majorHAnsi" w:hAnsiTheme="majorHAnsi" w:cstheme="majorHAnsi"/>
          <w:color w:val="000000"/>
          <w:sz w:val="20"/>
          <w:szCs w:val="20"/>
          <w:lang w:eastAsia="pl-PL"/>
        </w:rPr>
        <w:t>pieczęć Gwaranta</w:t>
      </w:r>
    </w:p>
    <w:p w14:paraId="79AC7541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681B3A3E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 xml:space="preserve">KARTA GWARANCYJNA </w:t>
      </w:r>
    </w:p>
    <w:p w14:paraId="779651A2" w14:textId="7AE7AEA2" w:rsidR="00586074" w:rsidRPr="0046591D" w:rsidRDefault="00586074" w:rsidP="00586074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theme="majorHAnsi"/>
          <w:sz w:val="22"/>
          <w:szCs w:val="22"/>
        </w:rPr>
      </w:pPr>
      <w:r w:rsidRPr="0046591D">
        <w:rPr>
          <w:rFonts w:asciiTheme="majorHAnsi" w:hAnsiTheme="majorHAnsi" w:cstheme="majorHAnsi"/>
          <w:color w:val="000000"/>
          <w:sz w:val="22"/>
          <w:szCs w:val="22"/>
          <w:u w:val="single"/>
        </w:rPr>
        <w:t>Zadania pn.:</w:t>
      </w:r>
      <w:r w:rsidRPr="0046591D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</w:t>
      </w:r>
      <w:r w:rsidR="0046591D" w:rsidRPr="0046591D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Termomodernizacja Zespołu Szkół Ponadpodstawowych w Ziębicach – część 1 (Wymiana źródeł ciepła)</w:t>
      </w:r>
      <w:r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realizowan</w:t>
      </w:r>
      <w:r w:rsidR="0046591D"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>a</w:t>
      </w:r>
      <w:r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46591D"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dla zadania pn. </w:t>
      </w:r>
      <w:r w:rsidR="0046591D" w:rsidRPr="0046591D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Termomodernizacja Zespołu Szkół Ponadpodstawowych w Ziębicach </w:t>
      </w:r>
      <w:r w:rsidR="0046591D"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w ramach projektu pn. </w:t>
      </w:r>
      <w:r w:rsidR="0046591D" w:rsidRPr="0046591D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Poprawa efektywności energetycznej budynków użyteczności publicznej Powiatu Ząbkowickiego - etap II</w:t>
      </w:r>
      <w:r w:rsidR="00B73E95"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>.</w:t>
      </w:r>
      <w:r w:rsidRPr="0046591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2D3529B9" w14:textId="77777777" w:rsidR="00586074" w:rsidRPr="0046591D" w:rsidRDefault="00586074" w:rsidP="00586074">
      <w:pPr>
        <w:pStyle w:val="Tekstpodstawowy"/>
        <w:spacing w:line="276" w:lineRule="auto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</w:p>
    <w:p w14:paraId="6B8E5773" w14:textId="68BFA80D" w:rsidR="00586074" w:rsidRPr="0046591D" w:rsidRDefault="00586074" w:rsidP="00586074">
      <w:pPr>
        <w:pStyle w:val="Tekstpodstawowy"/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46591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Gwarantem będącym jednocześnie Wykonawcą Umowy nr </w:t>
      </w:r>
      <w:r w:rsidR="00B73E95" w:rsidRPr="0046591D">
        <w:rPr>
          <w:rFonts w:asciiTheme="majorHAnsi" w:hAnsiTheme="majorHAnsi" w:cstheme="majorHAnsi"/>
          <w:bCs/>
          <w:color w:val="000000"/>
          <w:sz w:val="22"/>
          <w:szCs w:val="22"/>
        </w:rPr>
        <w:t>WBKZP.273. … .2024</w:t>
      </w:r>
      <w:r w:rsidRPr="0046591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z dnia …………</w:t>
      </w:r>
      <w:r w:rsidR="00B73E95" w:rsidRPr="0046591D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……………………… </w:t>
      </w:r>
      <w:r w:rsidRPr="0046591D">
        <w:rPr>
          <w:rFonts w:asciiTheme="majorHAnsi" w:hAnsiTheme="majorHAnsi" w:cstheme="majorHAnsi"/>
          <w:bCs/>
          <w:color w:val="000000"/>
          <w:sz w:val="22"/>
          <w:szCs w:val="22"/>
        </w:rPr>
        <w:t>jest</w:t>
      </w:r>
      <w:r w:rsidRPr="0046591D">
        <w:rPr>
          <w:rFonts w:asciiTheme="majorHAnsi" w:hAnsiTheme="majorHAnsi" w:cstheme="majorHAnsi"/>
          <w:bCs/>
          <w:color w:val="000000"/>
        </w:rPr>
        <w:t xml:space="preserve"> </w:t>
      </w:r>
      <w:r w:rsidRPr="0046591D">
        <w:rPr>
          <w:rFonts w:asciiTheme="majorHAnsi" w:hAnsiTheme="majorHAnsi" w:cstheme="majorHAnsi"/>
          <w:color w:val="000000"/>
          <w:sz w:val="22"/>
          <w:szCs w:val="22"/>
        </w:rPr>
        <w:t>………………………………</w:t>
      </w:r>
    </w:p>
    <w:p w14:paraId="4EBDCE4A" w14:textId="77777777" w:rsidR="00586074" w:rsidRPr="0046591D" w:rsidRDefault="00586074" w:rsidP="00586074">
      <w:p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Uprawnionym z tytułu gwarancji jest Zamawiający – Powiat Ząbkowicki</w:t>
      </w:r>
    </w:p>
    <w:p w14:paraId="629FBBEE" w14:textId="77777777" w:rsidR="00586074" w:rsidRPr="0046591D" w:rsidRDefault="00586074" w:rsidP="00586074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24F98B81" w14:textId="7A6B9950" w:rsidR="00586074" w:rsidRPr="0046591D" w:rsidRDefault="00586074" w:rsidP="00586074">
      <w:p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Wykonawca (Gwarant) oświadcza, że objęte niniejszą kartą gwarancyjną roboty budowlane wraz z urządzeniami zostały wykonane zgodnie z Umową nr </w:t>
      </w:r>
      <w:r w:rsidR="00B73E95" w:rsidRPr="0046591D">
        <w:rPr>
          <w:rFonts w:asciiTheme="majorHAnsi" w:hAnsiTheme="majorHAnsi" w:cstheme="majorHAnsi"/>
          <w:bCs/>
          <w:color w:val="000000"/>
        </w:rPr>
        <w:t xml:space="preserve">WBKZP.273. … .2024,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S</w:t>
      </w:r>
      <w:r w:rsidR="00B73E95"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pecyfikacją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W</w:t>
      </w:r>
      <w:r w:rsidR="00B73E95"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arunków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Z</w:t>
      </w:r>
      <w:r w:rsidR="00B73E95" w:rsidRPr="0046591D">
        <w:rPr>
          <w:rFonts w:asciiTheme="majorHAnsi" w:hAnsiTheme="majorHAnsi" w:cstheme="majorHAnsi"/>
          <w:bCs/>
          <w:color w:val="000000"/>
          <w:lang w:eastAsia="pl-PL"/>
        </w:rPr>
        <w:t>amówienia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 postępowania przetargowego nr </w:t>
      </w:r>
      <w:r w:rsidR="00B73E95" w:rsidRPr="0046591D">
        <w:rPr>
          <w:rFonts w:asciiTheme="majorHAnsi" w:hAnsiTheme="majorHAnsi" w:cstheme="majorHAnsi"/>
          <w:bCs/>
          <w:color w:val="000000"/>
        </w:rPr>
        <w:t>WBKZP.272.</w:t>
      </w:r>
      <w:r w:rsidR="009B2089" w:rsidRPr="0046591D">
        <w:rPr>
          <w:rFonts w:asciiTheme="majorHAnsi" w:hAnsiTheme="majorHAnsi" w:cstheme="majorHAnsi"/>
          <w:bCs/>
          <w:color w:val="000000"/>
        </w:rPr>
        <w:t>37</w:t>
      </w:r>
      <w:r w:rsidR="00B73E95" w:rsidRPr="0046591D">
        <w:rPr>
          <w:rFonts w:asciiTheme="majorHAnsi" w:hAnsiTheme="majorHAnsi" w:cstheme="majorHAnsi"/>
          <w:bCs/>
          <w:color w:val="000000"/>
        </w:rPr>
        <w:t xml:space="preserve">.2024 </w:t>
      </w:r>
      <w:r w:rsidRPr="0046591D">
        <w:rPr>
          <w:rFonts w:asciiTheme="majorHAnsi" w:hAnsiTheme="majorHAnsi" w:cstheme="majorHAnsi"/>
          <w:color w:val="000000"/>
          <w:lang w:eastAsia="pl-PL"/>
        </w:rPr>
        <w:t xml:space="preserve">dokumentacją projektową i STWIORB, zasadami wiedzy technicznej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i zgodnie z przepisami techniczno-budowlanymi. Wykonawca udziela gwarancji na sprawne działanie i niezakłóconą </w:t>
      </w: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>eksploatację obiektów inżynieryjnych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, w tym w szczególności w zakresie opisanym dokumentacją projektową.</w:t>
      </w:r>
    </w:p>
    <w:p w14:paraId="146998E0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321A8804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PRZEDMIOT I TERMIN GWARANCJI</w:t>
      </w:r>
    </w:p>
    <w:p w14:paraId="3EE0D599" w14:textId="1BB33E9D" w:rsidR="00586074" w:rsidRPr="0046591D" w:rsidRDefault="00586074" w:rsidP="00586074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Niniejsza gwarancja obejmuje całość robót budowlanych, objętych dokumentacją projektową zgodnie z Umową </w:t>
      </w:r>
      <w:r w:rsidR="00B73E95" w:rsidRPr="0046591D">
        <w:rPr>
          <w:rFonts w:asciiTheme="majorHAnsi" w:hAnsiTheme="majorHAnsi" w:cstheme="majorHAnsi"/>
          <w:bCs/>
          <w:color w:val="000000"/>
        </w:rPr>
        <w:t xml:space="preserve">WBKZP.273. … .2024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z dnia …………………….</w:t>
      </w:r>
    </w:p>
    <w:p w14:paraId="526F27BF" w14:textId="77777777" w:rsidR="00586074" w:rsidRPr="0046591D" w:rsidRDefault="00586074" w:rsidP="00586074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Gwarant odpowiada wobec Zamawiającego za cały przedmiot umowy, w tym także za części realizowane przez Podwykonawców.</w:t>
      </w:r>
    </w:p>
    <w:p w14:paraId="0D54AA13" w14:textId="77777777" w:rsidR="00586074" w:rsidRPr="0046591D" w:rsidRDefault="00586074" w:rsidP="00586074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FF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Okres gwarancji jakości na zrealizowane roboty budowlane oraz zamontowane urządzenia wynosi </w:t>
      </w: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……..  miesięcy</w:t>
      </w:r>
    </w:p>
    <w:p w14:paraId="040D4CA9" w14:textId="77777777" w:rsidR="00586074" w:rsidRPr="0046591D" w:rsidRDefault="00586074" w:rsidP="00586074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Termin ten należy liczyć od dnia ukończenia całości robót potwierdzonego w protokole odbioru robót bez wad.</w:t>
      </w:r>
    </w:p>
    <w:p w14:paraId="0D4293E3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OBOWIĄZKI I UPRAWNIENIA STRON</w:t>
      </w:r>
    </w:p>
    <w:p w14:paraId="4E30308C" w14:textId="3B01B5BE" w:rsidR="00586074" w:rsidRPr="0046591D" w:rsidRDefault="00B73E95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O </w:t>
      </w:r>
      <w:r w:rsidR="00586074" w:rsidRPr="0046591D">
        <w:rPr>
          <w:rFonts w:asciiTheme="majorHAnsi" w:hAnsiTheme="majorHAnsi" w:cstheme="majorHAnsi"/>
          <w:bCs/>
          <w:color w:val="000000"/>
          <w:lang w:eastAsia="pl-PL"/>
        </w:rPr>
        <w:t>wystąpieniu wad Zamawiający powiadomi Wykonawcę (Gwaranta) w formie pisemnej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>,</w:t>
      </w:r>
      <w:r w:rsidR="00586074"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 podając jej rodzaj.</w:t>
      </w:r>
    </w:p>
    <w:p w14:paraId="29C356D5" w14:textId="791EA48A" w:rsidR="00586074" w:rsidRPr="0046591D" w:rsidRDefault="00586074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W przypadku wystąpienia wad, Zamawiający może żądać ich usunięcia wyznaczając w tym celu Wykonawcy odpowiedni termin. Jeżeli jednak stwierdzone wady uniemożliwiałyby użytkowanie obiektu, a także gdy ujawniona wada może skutkować zagrożeniem dla życia lub zdrowia ludzi, zanieczyszczeniem środowiska, wystąpieniem niepowetowanej szkody dla Zamawiającego Wykonawca obowiązany jest przystąpić do usunięcia wady niezwłocznie tj. w terminie do </w:t>
      </w:r>
      <w:r w:rsidR="00B73E95" w:rsidRPr="0046591D">
        <w:rPr>
          <w:rFonts w:asciiTheme="majorHAnsi" w:hAnsiTheme="majorHAnsi" w:cstheme="majorHAnsi"/>
          <w:bCs/>
          <w:color w:val="000000"/>
          <w:lang w:eastAsia="pl-PL"/>
        </w:rPr>
        <w:t>48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 godzin od powiadomienia i usunięcia jej w najwcześniej możliwym terminie.</w:t>
      </w:r>
    </w:p>
    <w:p w14:paraId="45E6F967" w14:textId="77777777" w:rsidR="00586074" w:rsidRPr="0046591D" w:rsidRDefault="00586074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Po bezskutecznym upływie wyznaczonego przez Zamawiającego terminu, Zamawiający może zlecić usunięcie wad i szkód spowodowanych przez wady na koszt Wykonawcy innemu podmiotowi (pokrywając powstałą należność w pierwszej kolejności z kwoty zabezpieczenie należytego wykonania umowy) Niezależnie od tego Zamawiający może żądać od Wykonawcy (Gwaranta) naprawienia szkody wynikłej ze zwłoki w przystąpieniu do usuwania wad.</w:t>
      </w:r>
    </w:p>
    <w:p w14:paraId="48FABDF5" w14:textId="77777777" w:rsidR="00586074" w:rsidRPr="0046591D" w:rsidRDefault="00586074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Usunięcie wad uważa się za skuteczne z chwilą podpisania przez obie strony protokołu odbioru prac z usuwania wad.</w:t>
      </w:r>
    </w:p>
    <w:p w14:paraId="56563C2A" w14:textId="77777777" w:rsidR="00586074" w:rsidRPr="0046591D" w:rsidRDefault="00586074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Wykonawca jest odpowiedzialny za wszelkie szkody, które spowodował usuwaniem wad.</w:t>
      </w:r>
    </w:p>
    <w:p w14:paraId="454F0122" w14:textId="77777777" w:rsidR="00586074" w:rsidRPr="0046591D" w:rsidRDefault="00586074" w:rsidP="0058607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02EB4215" w14:textId="77777777" w:rsidR="00586074" w:rsidRPr="0046591D" w:rsidRDefault="00586074" w:rsidP="0058607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Cs/>
          <w:color w:val="000000"/>
          <w:lang w:eastAsia="pl-PL"/>
        </w:rPr>
      </w:pPr>
    </w:p>
    <w:p w14:paraId="1652D31C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INNE WARUNKI GWARANCJI</w:t>
      </w:r>
    </w:p>
    <w:p w14:paraId="0279847D" w14:textId="77777777" w:rsidR="00586074" w:rsidRPr="0046591D" w:rsidRDefault="00586074" w:rsidP="00586074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Nie podlegają gwarancji wady powstałe na skutek siły wyższej, szkód wynikłych z winy Zamawiającego (w tym Użytkownika), a szczególnie użytkowania obiektu w sposób niezgodny z instrukcją lub zasadami eksploatacji i użytkowania, szkód wynikłych ze zwłoki w zgłoszeniu wady Wykonawcy.</w:t>
      </w:r>
    </w:p>
    <w:p w14:paraId="0ADC5314" w14:textId="77777777" w:rsidR="00586074" w:rsidRPr="0046591D" w:rsidRDefault="00586074" w:rsidP="00586074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Okres gwarancji biegnie od nowa w przypadku wymiany elementu na nowy, wolny od wad, a także w przypadku dokonania istotnych napraw elementu.</w:t>
      </w:r>
    </w:p>
    <w:p w14:paraId="416BEB6D" w14:textId="77777777" w:rsidR="00586074" w:rsidRPr="0046591D" w:rsidRDefault="00586074" w:rsidP="00586074">
      <w:pPr>
        <w:pStyle w:val="Akapitzlist"/>
        <w:numPr>
          <w:ilvl w:val="0"/>
          <w:numId w:val="9"/>
        </w:numPr>
        <w:suppressAutoHyphens/>
        <w:spacing w:line="276" w:lineRule="auto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Gwarancja wygasa automatycznie na te elementy, które użytkownik poddał remontowi lub wymianie z przyczyn, za które nie ponosi odpowiedzialności Wykonawca w ramach niniejszej gwarancji.</w:t>
      </w:r>
    </w:p>
    <w:p w14:paraId="6433982B" w14:textId="77777777" w:rsidR="00586074" w:rsidRPr="0046591D" w:rsidRDefault="00586074" w:rsidP="00586074">
      <w:pPr>
        <w:pStyle w:val="Akapitzlist"/>
        <w:suppressAutoHyphens/>
        <w:spacing w:line="276" w:lineRule="auto"/>
        <w:ind w:left="360"/>
        <w:jc w:val="both"/>
        <w:rPr>
          <w:rFonts w:asciiTheme="majorHAnsi" w:hAnsiTheme="majorHAnsi" w:cstheme="majorHAnsi"/>
          <w:bCs/>
          <w:color w:val="000000"/>
          <w:lang w:eastAsia="pl-PL"/>
        </w:rPr>
      </w:pPr>
    </w:p>
    <w:p w14:paraId="2A618389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PRZEGLĄDY GWARANCYJNE</w:t>
      </w:r>
    </w:p>
    <w:p w14:paraId="79FFF768" w14:textId="77777777" w:rsidR="00586074" w:rsidRPr="0046591D" w:rsidRDefault="00586074" w:rsidP="00586074">
      <w:pPr>
        <w:pStyle w:val="Akapitzlist"/>
        <w:numPr>
          <w:ilvl w:val="0"/>
          <w:numId w:val="4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Komisyjne przeglądy gwarancyjne odbywać się będą co 12 miesięcy w okresie obowiązywania niniejszej gwarancji.</w:t>
      </w:r>
    </w:p>
    <w:p w14:paraId="6BC34C69" w14:textId="77777777" w:rsidR="00586074" w:rsidRPr="0046591D" w:rsidRDefault="00586074" w:rsidP="00586074">
      <w:pPr>
        <w:pStyle w:val="Akapitzlist"/>
        <w:numPr>
          <w:ilvl w:val="0"/>
          <w:numId w:val="4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Datę godzinę i miejsce dokonania przeglądu gwarancyjnego wyznacza Zamawiający, zawiadamiając o nim Gwaranta na piśmie z co najmniej 14 - dniowym wyprzedzeniem.</w:t>
      </w:r>
    </w:p>
    <w:p w14:paraId="3E574D42" w14:textId="77777777" w:rsidR="00586074" w:rsidRPr="0046591D" w:rsidRDefault="00586074" w:rsidP="00586074">
      <w:pPr>
        <w:pStyle w:val="Akapitzlist"/>
        <w:numPr>
          <w:ilvl w:val="0"/>
          <w:numId w:val="4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W skład komisji przeglądowej będą wchodziły, co najmniej 2 osoby wyznaczone przez Zamawiającego oraz co najmniej 2 osoby wyznaczone przez Gwaranta.</w:t>
      </w:r>
    </w:p>
    <w:p w14:paraId="363BB338" w14:textId="77777777" w:rsidR="00586074" w:rsidRPr="0046591D" w:rsidRDefault="00586074" w:rsidP="00586074">
      <w:pPr>
        <w:pStyle w:val="Akapitzlist"/>
        <w:numPr>
          <w:ilvl w:val="0"/>
          <w:numId w:val="4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14:paraId="2B5747CF" w14:textId="77777777" w:rsidR="00586074" w:rsidRPr="0046591D" w:rsidRDefault="00586074" w:rsidP="00586074">
      <w:pPr>
        <w:pStyle w:val="Akapitzlist"/>
        <w:numPr>
          <w:ilvl w:val="0"/>
          <w:numId w:val="4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Z każdego przeglądu gwarancyjnego sporządzany będzie Protokół Przeglądu Gwarancyjnego,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br/>
        <w:t>w dwóch egzemplarzach, po jednym dla Zamawiającego i Gwaranta. W przypadku nieobecności przedstawiciela Gwaranta, Zamawiający obowiązany jest niezwłocznie przesłać Gwarantowi jeden egzemplarz Protokołu Przeglądu.</w:t>
      </w:r>
    </w:p>
    <w:p w14:paraId="4E6A8938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681F0BF2" w14:textId="77777777" w:rsidR="00586074" w:rsidRPr="0046591D" w:rsidRDefault="00586074" w:rsidP="00586074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KOMUNIKACJA</w:t>
      </w:r>
    </w:p>
    <w:p w14:paraId="0A1A449E" w14:textId="77777777" w:rsidR="00586074" w:rsidRPr="0046591D" w:rsidRDefault="00586074" w:rsidP="00586074">
      <w:pPr>
        <w:pStyle w:val="Akapitzlist"/>
        <w:numPr>
          <w:ilvl w:val="0"/>
          <w:numId w:val="5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 xml:space="preserve">Wszelka komunikacja pomiędzy stronami wymaga potwierdzenia w formie pisemnej. </w:t>
      </w:r>
      <w:r w:rsidRPr="0046591D">
        <w:rPr>
          <w:rFonts w:asciiTheme="majorHAnsi" w:hAnsiTheme="majorHAnsi" w:cstheme="majorHAnsi"/>
          <w:bCs/>
          <w:color w:val="000000"/>
          <w:lang w:eastAsia="pl-PL"/>
        </w:rPr>
        <w:br/>
        <w:t>O każdej wadzie osoba wyznaczona przez Zamawiającego powiadamia telefonicznie przedstawiciela Gwaranta, a następnie potwierdza zgłoszenie faksem bądź e-mailem na wskazane numery telefonów i adresy. Kopia potwierdzenia zgłoszenia przesyłana jest również faksem lub e-mailem do Zamawiającego.</w:t>
      </w:r>
    </w:p>
    <w:p w14:paraId="2CC724FC" w14:textId="77777777" w:rsidR="00586074" w:rsidRPr="0046591D" w:rsidRDefault="00586074" w:rsidP="00586074">
      <w:pPr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Pisma skierowane do Gwaranta należy wysyłać na adres: </w:t>
      </w:r>
      <w:r w:rsidRPr="0046591D">
        <w:rPr>
          <w:rFonts w:asciiTheme="majorHAnsi" w:hAnsiTheme="majorHAnsi" w:cstheme="majorHAnsi"/>
          <w:color w:val="000000" w:themeColor="text1"/>
        </w:rPr>
        <w:t>………………………..</w:t>
      </w:r>
    </w:p>
    <w:p w14:paraId="6EE2AB3D" w14:textId="77777777" w:rsidR="00586074" w:rsidRPr="0046591D" w:rsidRDefault="00586074" w:rsidP="00586074">
      <w:pPr>
        <w:pStyle w:val="Akapitzlist"/>
        <w:numPr>
          <w:ilvl w:val="0"/>
          <w:numId w:val="5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>Pisma skierowane do Zamawiającego należy wysyłać na adres: …………………….</w:t>
      </w:r>
    </w:p>
    <w:p w14:paraId="08D03F3F" w14:textId="77777777" w:rsidR="00586074" w:rsidRPr="0046591D" w:rsidRDefault="00586074" w:rsidP="00586074">
      <w:pPr>
        <w:pStyle w:val="Akapitzlist"/>
        <w:numPr>
          <w:ilvl w:val="0"/>
          <w:numId w:val="5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>O zmianach danych teleadresowych strony obowiązane informować się niezwłocznie, nie później niż 7 dni od chwili zaistnienia zmian, pod rygorem uznania wysyłania korespondencji pod ostatnio znany adres za skutecznie doręczoną.</w:t>
      </w:r>
    </w:p>
    <w:p w14:paraId="3816FF92" w14:textId="77777777" w:rsidR="00586074" w:rsidRPr="0046591D" w:rsidRDefault="00586074" w:rsidP="00586074">
      <w:pPr>
        <w:spacing w:line="276" w:lineRule="auto"/>
        <w:rPr>
          <w:rFonts w:asciiTheme="majorHAnsi" w:hAnsiTheme="majorHAnsi" w:cstheme="majorHAnsi"/>
          <w:b/>
          <w:bCs/>
          <w:color w:val="000000" w:themeColor="text1"/>
          <w:lang w:eastAsia="pl-PL"/>
        </w:rPr>
      </w:pPr>
    </w:p>
    <w:p w14:paraId="655759E8" w14:textId="77777777" w:rsidR="00586074" w:rsidRPr="0046591D" w:rsidRDefault="00586074" w:rsidP="00586074">
      <w:pPr>
        <w:spacing w:line="276" w:lineRule="auto"/>
        <w:ind w:left="426" w:hanging="426"/>
        <w:jc w:val="center"/>
        <w:rPr>
          <w:rFonts w:asciiTheme="majorHAnsi" w:hAnsiTheme="majorHAnsi" w:cstheme="majorHAnsi"/>
          <w:b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 w:themeColor="text1"/>
          <w:lang w:eastAsia="pl-PL"/>
        </w:rPr>
        <w:t>POSTANOWIENIA KOŃCOWE</w:t>
      </w:r>
    </w:p>
    <w:p w14:paraId="6320F943" w14:textId="77777777" w:rsidR="00586074" w:rsidRPr="0046591D" w:rsidRDefault="00586074" w:rsidP="00586074">
      <w:pPr>
        <w:pStyle w:val="Akapitzlist"/>
        <w:numPr>
          <w:ilvl w:val="0"/>
          <w:numId w:val="6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W sprawach nieuregulowanych zastosowanie mają przepisy prawa polskiego, w szczególności kodeksu cywilnego oraz </w:t>
      </w:r>
      <w:r w:rsidRPr="0046591D">
        <w:rPr>
          <w:rFonts w:asciiTheme="majorHAnsi" w:hAnsiTheme="majorHAnsi" w:cstheme="majorHAnsi"/>
          <w:color w:val="000000" w:themeColor="text1"/>
        </w:rPr>
        <w:t>ustawy z dnia 11 września 2019 roku – Prawo zamówień publicznych.</w:t>
      </w:r>
    </w:p>
    <w:p w14:paraId="03077355" w14:textId="77777777" w:rsidR="00586074" w:rsidRPr="0046591D" w:rsidRDefault="00586074" w:rsidP="00586074">
      <w:pPr>
        <w:pStyle w:val="Akapitzlist"/>
        <w:numPr>
          <w:ilvl w:val="0"/>
          <w:numId w:val="6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>Wszelkie zmiany niniejszej Karty Gwarancyjnej wymagają formy pisemnej pod rygorem nieważności.</w:t>
      </w:r>
    </w:p>
    <w:p w14:paraId="4FE03E3F" w14:textId="7A17C2F7" w:rsidR="00586074" w:rsidRPr="0046591D" w:rsidRDefault="00586074" w:rsidP="00586074">
      <w:pPr>
        <w:pStyle w:val="Akapitzlist"/>
        <w:numPr>
          <w:ilvl w:val="0"/>
          <w:numId w:val="6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Niniejsza Karta Gwarancyjna stanowi załącznik nr 1 do Umowy </w:t>
      </w:r>
      <w:r w:rsidR="00B73E95" w:rsidRPr="0046591D">
        <w:rPr>
          <w:rFonts w:asciiTheme="majorHAnsi" w:hAnsiTheme="majorHAnsi" w:cstheme="majorHAnsi"/>
          <w:bCs/>
          <w:color w:val="000000"/>
        </w:rPr>
        <w:t xml:space="preserve">WBKZP.273. … .2024 </w:t>
      </w:r>
      <w:r w:rsidRPr="0046591D">
        <w:rPr>
          <w:rFonts w:asciiTheme="majorHAnsi" w:hAnsiTheme="majorHAnsi" w:cstheme="majorHAnsi"/>
          <w:bCs/>
          <w:color w:val="000000" w:themeColor="text1"/>
          <w:lang w:eastAsia="pl-PL"/>
        </w:rPr>
        <w:t>z dnia …………………</w:t>
      </w:r>
    </w:p>
    <w:p w14:paraId="68C0E3D5" w14:textId="77777777" w:rsidR="00586074" w:rsidRPr="0046591D" w:rsidRDefault="00586074" w:rsidP="00586074">
      <w:pPr>
        <w:spacing w:line="276" w:lineRule="auto"/>
        <w:ind w:left="426" w:hanging="426"/>
        <w:jc w:val="both"/>
        <w:rPr>
          <w:rFonts w:asciiTheme="majorHAnsi" w:hAnsiTheme="majorHAnsi" w:cstheme="majorHAnsi"/>
          <w:bCs/>
          <w:color w:val="000000" w:themeColor="text1"/>
          <w:lang w:eastAsia="pl-PL"/>
        </w:rPr>
      </w:pPr>
    </w:p>
    <w:p w14:paraId="4AF15744" w14:textId="77777777" w:rsidR="00586074" w:rsidRPr="0046591D" w:rsidRDefault="00586074" w:rsidP="00586074">
      <w:pPr>
        <w:spacing w:line="276" w:lineRule="auto"/>
        <w:ind w:left="4674" w:firstLine="282"/>
        <w:jc w:val="both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/>
          <w:bCs/>
          <w:color w:val="000000"/>
          <w:lang w:eastAsia="pl-PL"/>
        </w:rPr>
        <w:t>GWARANT:</w:t>
      </w:r>
    </w:p>
    <w:p w14:paraId="27ADB355" w14:textId="77777777" w:rsidR="00586074" w:rsidRPr="0046591D" w:rsidRDefault="00586074" w:rsidP="00586074">
      <w:pPr>
        <w:spacing w:line="276" w:lineRule="auto"/>
        <w:ind w:left="4248"/>
        <w:jc w:val="both"/>
        <w:rPr>
          <w:rFonts w:asciiTheme="majorHAnsi" w:hAnsiTheme="majorHAnsi" w:cstheme="majorHAnsi"/>
          <w:color w:val="000000"/>
          <w:lang w:eastAsia="pl-PL"/>
        </w:rPr>
      </w:pPr>
      <w:r w:rsidRPr="0046591D">
        <w:rPr>
          <w:rFonts w:asciiTheme="majorHAnsi" w:hAnsiTheme="majorHAnsi" w:cstheme="majorHAnsi"/>
          <w:color w:val="000000"/>
          <w:lang w:eastAsia="pl-PL"/>
        </w:rPr>
        <w:t>………………........................................................</w:t>
      </w:r>
    </w:p>
    <w:p w14:paraId="4DC57F5F" w14:textId="77777777" w:rsidR="00586074" w:rsidRPr="0046591D" w:rsidRDefault="00586074" w:rsidP="00586074">
      <w:pPr>
        <w:spacing w:line="276" w:lineRule="auto"/>
        <w:ind w:left="3966" w:firstLine="282"/>
        <w:jc w:val="both"/>
        <w:rPr>
          <w:rFonts w:asciiTheme="majorHAnsi" w:hAnsiTheme="majorHAnsi" w:cstheme="majorHAnsi"/>
          <w:bCs/>
          <w:color w:val="000000"/>
          <w:lang w:eastAsia="pl-PL"/>
        </w:rPr>
      </w:pPr>
      <w:r w:rsidRPr="0046591D">
        <w:rPr>
          <w:rFonts w:asciiTheme="majorHAnsi" w:hAnsiTheme="majorHAnsi" w:cstheme="majorHAnsi"/>
          <w:bCs/>
          <w:color w:val="000000"/>
          <w:lang w:eastAsia="pl-PL"/>
        </w:rPr>
        <w:t>(podpis osób upoważnionych do reprezentacji)</w:t>
      </w:r>
    </w:p>
    <w:sectPr w:rsidR="00586074" w:rsidRPr="0046591D" w:rsidSect="00F520F7">
      <w:headerReference w:type="first" r:id="rId7"/>
      <w:pgSz w:w="11906" w:h="16838"/>
      <w:pgMar w:top="141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1AC98" w14:textId="77777777" w:rsidR="003F2DA3" w:rsidRDefault="003F2DA3" w:rsidP="00E52B76">
      <w:r>
        <w:separator/>
      </w:r>
    </w:p>
  </w:endnote>
  <w:endnote w:type="continuationSeparator" w:id="0">
    <w:p w14:paraId="08F43F06" w14:textId="77777777" w:rsidR="003F2DA3" w:rsidRDefault="003F2DA3" w:rsidP="00E5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4B4C5" w14:textId="77777777" w:rsidR="003F2DA3" w:rsidRDefault="003F2DA3" w:rsidP="00E52B76">
      <w:r>
        <w:separator/>
      </w:r>
    </w:p>
  </w:footnote>
  <w:footnote w:type="continuationSeparator" w:id="0">
    <w:p w14:paraId="36DFCCA1" w14:textId="77777777" w:rsidR="003F2DA3" w:rsidRDefault="003F2DA3" w:rsidP="00E5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B0B89" w14:textId="25D1CC8A" w:rsidR="00E52B76" w:rsidRDefault="0046591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A07DE8" wp14:editId="268C089D">
          <wp:simplePos x="0" y="0"/>
          <wp:positionH relativeFrom="margin">
            <wp:align>center</wp:align>
          </wp:positionH>
          <wp:positionV relativeFrom="paragraph">
            <wp:posOffset>-302895</wp:posOffset>
          </wp:positionV>
          <wp:extent cx="4895850" cy="603250"/>
          <wp:effectExtent l="0" t="0" r="0" b="6350"/>
          <wp:wrapSquare wrapText="bothSides"/>
          <wp:docPr id="1505999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F3B7B"/>
    <w:multiLevelType w:val="hybridMultilevel"/>
    <w:tmpl w:val="3C04E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F0CFA"/>
    <w:multiLevelType w:val="hybridMultilevel"/>
    <w:tmpl w:val="646E47B8"/>
    <w:lvl w:ilvl="0" w:tplc="8B744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815EA"/>
    <w:multiLevelType w:val="hybridMultilevel"/>
    <w:tmpl w:val="C7742B60"/>
    <w:lvl w:ilvl="0" w:tplc="2F74C6A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  <w:color w:val="000000" w:themeColor="text1"/>
      </w:rPr>
    </w:lvl>
    <w:lvl w:ilvl="1" w:tplc="5100F46C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D1650"/>
    <w:multiLevelType w:val="hybridMultilevel"/>
    <w:tmpl w:val="33E64B8A"/>
    <w:lvl w:ilvl="0" w:tplc="783CFCA4">
      <w:start w:val="1"/>
      <w:numFmt w:val="decimal"/>
      <w:lvlText w:val="%1."/>
      <w:lvlJc w:val="left"/>
      <w:pPr>
        <w:tabs>
          <w:tab w:val="num" w:pos="639"/>
        </w:tabs>
        <w:ind w:left="639" w:hanging="360"/>
      </w:pPr>
      <w:rPr>
        <w:rFonts w:asciiTheme="minorHAnsi" w:eastAsia="Calibri" w:hAnsiTheme="minorHAnsi" w:cstheme="minorHAnsi"/>
      </w:rPr>
    </w:lvl>
    <w:lvl w:ilvl="1" w:tplc="B16C2A68">
      <w:start w:val="1"/>
      <w:numFmt w:val="decimal"/>
      <w:lvlText w:val="%2."/>
      <w:lvlJc w:val="left"/>
      <w:pPr>
        <w:ind w:left="639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9" w:hanging="180"/>
      </w:pPr>
    </w:lvl>
    <w:lvl w:ilvl="3" w:tplc="0415000F" w:tentative="1">
      <w:start w:val="1"/>
      <w:numFmt w:val="decimal"/>
      <w:lvlText w:val="%4."/>
      <w:lvlJc w:val="left"/>
      <w:pPr>
        <w:ind w:left="2799" w:hanging="360"/>
      </w:pPr>
    </w:lvl>
    <w:lvl w:ilvl="4" w:tplc="04150019" w:tentative="1">
      <w:start w:val="1"/>
      <w:numFmt w:val="lowerLetter"/>
      <w:lvlText w:val="%5."/>
      <w:lvlJc w:val="left"/>
      <w:pPr>
        <w:ind w:left="3519" w:hanging="360"/>
      </w:pPr>
    </w:lvl>
    <w:lvl w:ilvl="5" w:tplc="0415001B" w:tentative="1">
      <w:start w:val="1"/>
      <w:numFmt w:val="lowerRoman"/>
      <w:lvlText w:val="%6."/>
      <w:lvlJc w:val="right"/>
      <w:pPr>
        <w:ind w:left="4239" w:hanging="180"/>
      </w:pPr>
    </w:lvl>
    <w:lvl w:ilvl="6" w:tplc="0415000F" w:tentative="1">
      <w:start w:val="1"/>
      <w:numFmt w:val="decimal"/>
      <w:lvlText w:val="%7."/>
      <w:lvlJc w:val="left"/>
      <w:pPr>
        <w:ind w:left="4959" w:hanging="360"/>
      </w:pPr>
    </w:lvl>
    <w:lvl w:ilvl="7" w:tplc="04150019" w:tentative="1">
      <w:start w:val="1"/>
      <w:numFmt w:val="lowerLetter"/>
      <w:lvlText w:val="%8."/>
      <w:lvlJc w:val="left"/>
      <w:pPr>
        <w:ind w:left="5679" w:hanging="360"/>
      </w:pPr>
    </w:lvl>
    <w:lvl w:ilvl="8" w:tplc="041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4" w15:restartNumberingAfterBreak="0">
    <w:nsid w:val="35E70F48"/>
    <w:multiLevelType w:val="hybridMultilevel"/>
    <w:tmpl w:val="0B120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FE1F8B"/>
    <w:multiLevelType w:val="hybridMultilevel"/>
    <w:tmpl w:val="7AC45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0962A2"/>
    <w:multiLevelType w:val="hybridMultilevel"/>
    <w:tmpl w:val="3A7C3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D406C0"/>
    <w:multiLevelType w:val="hybridMultilevel"/>
    <w:tmpl w:val="90660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331810"/>
    <w:multiLevelType w:val="hybridMultilevel"/>
    <w:tmpl w:val="01E4C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342448">
    <w:abstractNumId w:val="3"/>
  </w:num>
  <w:num w:numId="2" w16cid:durableId="1220164444">
    <w:abstractNumId w:val="2"/>
  </w:num>
  <w:num w:numId="3" w16cid:durableId="1866939730">
    <w:abstractNumId w:val="0"/>
  </w:num>
  <w:num w:numId="4" w16cid:durableId="970399096">
    <w:abstractNumId w:val="6"/>
  </w:num>
  <w:num w:numId="5" w16cid:durableId="1041050209">
    <w:abstractNumId w:val="7"/>
  </w:num>
  <w:num w:numId="6" w16cid:durableId="178859481">
    <w:abstractNumId w:val="8"/>
  </w:num>
  <w:num w:numId="7" w16cid:durableId="551818606">
    <w:abstractNumId w:val="1"/>
  </w:num>
  <w:num w:numId="8" w16cid:durableId="67964406">
    <w:abstractNumId w:val="4"/>
  </w:num>
  <w:num w:numId="9" w16cid:durableId="715005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74"/>
    <w:rsid w:val="00017C29"/>
    <w:rsid w:val="002E562F"/>
    <w:rsid w:val="003B79B1"/>
    <w:rsid w:val="003F2DA3"/>
    <w:rsid w:val="0046591D"/>
    <w:rsid w:val="00586074"/>
    <w:rsid w:val="007144D2"/>
    <w:rsid w:val="008A034A"/>
    <w:rsid w:val="009B2089"/>
    <w:rsid w:val="00B4255D"/>
    <w:rsid w:val="00B73E95"/>
    <w:rsid w:val="00CD2219"/>
    <w:rsid w:val="00E52B76"/>
    <w:rsid w:val="00F5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2E13"/>
  <w15:chartTrackingRefBased/>
  <w15:docId w15:val="{2CA89C58-D298-473B-BA25-83659505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07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T_SZ_List Paragraph,normalny tekst,Akapit z listą BS,Kolorowa lista — akcent 11,Podsis rysunku,Akapit z listą 1"/>
    <w:basedOn w:val="Normalny"/>
    <w:link w:val="AkapitzlistZnak"/>
    <w:uiPriority w:val="34"/>
    <w:qFormat/>
    <w:rsid w:val="0058607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86074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60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T_SZ_List Paragraph Znak,normalny tekst Znak"/>
    <w:link w:val="Akapitzlist"/>
    <w:uiPriority w:val="34"/>
    <w:qFormat/>
    <w:locked/>
    <w:rsid w:val="00586074"/>
    <w:rPr>
      <w:rFonts w:ascii="Calibri" w:eastAsia="Calibri" w:hAnsi="Calibri" w:cs="Times New Roman"/>
    </w:rPr>
  </w:style>
  <w:style w:type="character" w:customStyle="1" w:styleId="Teksttreci2">
    <w:name w:val="Tekst treści (2)_"/>
    <w:link w:val="Teksttreci20"/>
    <w:rsid w:val="00586074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86074"/>
    <w:pPr>
      <w:widowControl w:val="0"/>
      <w:shd w:val="clear" w:color="auto" w:fill="FFFFFF"/>
      <w:spacing w:before="240" w:line="230" w:lineRule="exact"/>
      <w:ind w:hanging="448"/>
      <w:jc w:val="both"/>
    </w:pPr>
    <w:rPr>
      <w:rFonts w:ascii="Book Antiqua" w:eastAsia="Book Antiqua" w:hAnsi="Book Antiqua" w:cs="Book Antiqua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E52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2B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B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E1B.137E15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842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6</cp:revision>
  <cp:lastPrinted>2024-06-07T07:59:00Z</cp:lastPrinted>
  <dcterms:created xsi:type="dcterms:W3CDTF">2023-03-07T13:29:00Z</dcterms:created>
  <dcterms:modified xsi:type="dcterms:W3CDTF">2024-07-05T08:22:00Z</dcterms:modified>
</cp:coreProperties>
</file>