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18548B"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 xml:space="preserve"> </w:t>
      </w:r>
      <w:r w:rsidR="00C318BA">
        <w:rPr>
          <w:rFonts w:ascii="Times New Roman" w:hAnsi="Times New Roman"/>
          <w:b/>
          <w:bCs/>
          <w:color w:val="000000"/>
          <w:sz w:val="28"/>
          <w:szCs w:val="28"/>
        </w:rPr>
        <w:t xml:space="preserve">D-05.03.05a </w:t>
      </w:r>
      <w:r w:rsidR="00C318BA">
        <w:rPr>
          <w:rFonts w:ascii="Times New Roman" w:hAnsi="Times New Roman"/>
          <w:b/>
          <w:bCs/>
          <w:color w:val="000000"/>
          <w:sz w:val="28"/>
          <w:szCs w:val="28"/>
        </w:rPr>
        <w:tab/>
        <w:t>NAWIERZCHNIA Z BETONU ASFALTOWEGO WARSTWA ŚCIERALNA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495617" w:rsidRDefault="00C318BA" w:rsidP="00495617">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 xml:space="preserve">betonu asfaltowego </w:t>
      </w:r>
      <w:r w:rsidR="001D6567">
        <w:rPr>
          <w:rFonts w:ascii="Times New Roman" w:hAnsi="Times New Roman"/>
          <w:color w:val="000000"/>
          <w:sz w:val="24"/>
          <w:szCs w:val="24"/>
        </w:rPr>
        <w:t xml:space="preserve">dla </w:t>
      </w:r>
      <w:r w:rsidR="00A16B56" w:rsidRPr="00A16B56">
        <w:rPr>
          <w:rFonts w:ascii="Times New Roman" w:hAnsi="Times New Roman"/>
          <w:sz w:val="24"/>
          <w:szCs w:val="24"/>
        </w:rPr>
        <w:t>zadania pn</w:t>
      </w:r>
      <w:r w:rsidR="00A16B56" w:rsidRPr="00A16B56">
        <w:rPr>
          <w:rFonts w:ascii="Times New Roman" w:hAnsi="Times New Roman"/>
          <w:i/>
          <w:sz w:val="24"/>
          <w:szCs w:val="24"/>
        </w:rPr>
        <w:t>.</w:t>
      </w:r>
      <w:r w:rsidR="00F15137" w:rsidRPr="00F15137">
        <w:t xml:space="preserve"> </w:t>
      </w:r>
      <w:r w:rsidR="00B87A65" w:rsidRPr="00B87A65">
        <w:rPr>
          <w:rFonts w:ascii="Times New Roman" w:hAnsi="Times New Roman"/>
          <w:b/>
          <w:i/>
          <w:sz w:val="24"/>
          <w:szCs w:val="24"/>
        </w:rPr>
        <w:t>Odbudowa dróg uszkodzonych w związku z kryzysem na granicy Państwa - rozbudowa odcinka drogi powiatowej Nr 1234B i remont odcinka drogi powiatowej Nr 1237B</w:t>
      </w:r>
      <w:r w:rsidR="00A16B56" w:rsidRPr="00B04A4B">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w:t>
      </w:r>
      <w:bookmarkStart w:id="0" w:name="_GoBack"/>
      <w:bookmarkEnd w:id="0"/>
      <w:r w:rsidRPr="00536809">
        <w:rPr>
          <w:rFonts w:ascii="Times New Roman" w:hAnsi="Times New Roman"/>
          <w:color w:val="000000"/>
          <w:sz w:val="24"/>
          <w:szCs w:val="24"/>
        </w:rPr>
        <w:t>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6376EE">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warstwy ścieralnej z mieszanki typu AC11S 50/70 dla KR1</w:t>
      </w:r>
      <w:r w:rsidR="00BF066B">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sidR="00A621E0">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 xml:space="preserve">i typu AC 16 S TD 50/70 dla KR1-2 </w:t>
      </w:r>
      <w:r w:rsidR="002F3700">
        <w:rPr>
          <w:rFonts w:ascii="Times New Roman" w:hAnsi="Times New Roman"/>
          <w:color w:val="000000"/>
          <w:sz w:val="24"/>
          <w:szCs w:val="24"/>
        </w:rPr>
        <w:t>wg D-05.03.05b</w:t>
      </w:r>
      <w:r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w:t>
      </w:r>
      <w:r w:rsidRPr="00536809">
        <w:rPr>
          <w:rFonts w:ascii="Times New Roman" w:hAnsi="Times New Roman"/>
          <w:color w:val="000000"/>
          <w:sz w:val="24"/>
          <w:szCs w:val="24"/>
        </w:rPr>
        <w:lastRenderedPageBreak/>
        <w:t xml:space="preserve">kruszywa mineralne zgodne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1, 2a, 2b</w:t>
      </w:r>
      <w:r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kruszywa grubego do warstwy ścieralnej z betonu asfaltowego</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Procentowa zawartość ziaren o powierzchni przekruszonej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lastRenderedPageBreak/>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csDeklarowana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a) NR – No Required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a) NR – No Required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 xml:space="preserve">Grysy bazaltowe nie powinny wykazywać oznak zgorzeli słonecznej i zmian natury chemicznej - wymagane badanie kruszywa pod kątem występowania zgorzeli. Badanie </w:t>
      </w:r>
      <w:r w:rsidRPr="00536809">
        <w:rPr>
          <w:rFonts w:ascii="Times New Roman" w:hAnsi="Times New Roman"/>
          <w:color w:val="000000"/>
          <w:sz w:val="24"/>
          <w:szCs w:val="24"/>
        </w:rPr>
        <w:lastRenderedPageBreak/>
        <w:t>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Lp</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Clevelenda,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Fraassa,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t>
            </w:r>
            <w:r w:rsidR="00DD63B6">
              <w:rPr>
                <w:rFonts w:ascii="Times New Roman" w:hAnsi="Times New Roman"/>
              </w:rPr>
              <w:t xml:space="preserve"> </w:t>
            </w:r>
            <w:r w:rsidRPr="00305D44">
              <w:rPr>
                <w:rFonts w:ascii="Times New Roman" w:hAnsi="Times New Roman"/>
              </w:rPr>
              <w:t>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 xml:space="preserve">Wolne przestrzenie w suchym zagęszczonym wypełniaczu według PN-EN 1097-4, wymagana </w:t>
            </w:r>
            <w:r w:rsidRPr="00305D44">
              <w:rPr>
                <w:rFonts w:ascii="Times New Roman" w:hAnsi="Times New Roman"/>
              </w:rPr>
              <w:lastRenderedPageBreak/>
              <w:t>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lastRenderedPageBreak/>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lastRenderedPageBreak/>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BN</w:t>
            </w:r>
            <w:r w:rsidRPr="00305D44">
              <w:rPr>
                <w:rFonts w:ascii="Times New Roman" w:hAnsi="Times New Roman"/>
                <w:vertAlign w:val="subscript"/>
              </w:rPr>
              <w:t>Deklarowana</w:t>
            </w:r>
          </w:p>
        </w:tc>
      </w:tr>
    </w:tbl>
    <w:p w:rsidR="00C318BA" w:rsidRPr="00536809" w:rsidRDefault="00DD63B6"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t>
      </w:r>
      <w:r w:rsidRPr="005A12B6">
        <w:rPr>
          <w:rFonts w:ascii="Times New Roman" w:hAnsi="Times New Roman"/>
          <w:color w:val="000000"/>
          <w:sz w:val="24"/>
          <w:szCs w:val="24"/>
        </w:rPr>
        <w:lastRenderedPageBreak/>
        <w:t xml:space="preserve">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w:t>
      </w:r>
      <w:r w:rsidRPr="005A12B6">
        <w:rPr>
          <w:rFonts w:ascii="Times New Roman" w:hAnsi="Times New Roman"/>
          <w:color w:val="000000"/>
          <w:sz w:val="24"/>
          <w:szCs w:val="24"/>
        </w:rPr>
        <w:lastRenderedPageBreak/>
        <w:t xml:space="preserve">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1905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wyższa od podanego B</w:t>
      </w:r>
      <w:r w:rsidRPr="003A40BA">
        <w:rPr>
          <w:rFonts w:ascii="Times New Roman" w:hAnsi="Times New Roman"/>
          <w:color w:val="000000"/>
          <w:sz w:val="24"/>
          <w:szCs w:val="24"/>
          <w:vertAlign w:val="subscript"/>
        </w:rPr>
        <w:t>min</w:t>
      </w:r>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betonu asfaltowego do warstwy ścieralnej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Tablice 12, 13, 14, 15,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t>
      </w:r>
      <w:r w:rsidRPr="005A12B6">
        <w:rPr>
          <w:rFonts w:ascii="Times New Roman" w:hAnsi="Times New Roman"/>
          <w:color w:val="000000"/>
          <w:sz w:val="24"/>
          <w:szCs w:val="24"/>
        </w:rPr>
        <w:lastRenderedPageBreak/>
        <w:t xml:space="preserve">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Pr="005A12B6">
        <w:rPr>
          <w:rFonts w:ascii="Times New Roman" w:hAnsi="Times New Roman"/>
          <w:b/>
          <w:bCs/>
          <w:color w:val="000000"/>
          <w:sz w:val="24"/>
          <w:szCs w:val="24"/>
        </w:rPr>
        <w:t xml:space="preserve"> do warstwy ścieralnej,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70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B</w:t>
            </w:r>
            <w:r w:rsidRPr="00C318BA">
              <w:rPr>
                <w:rFonts w:ascii="Times New Roman" w:hAnsi="Times New Roman"/>
                <w:bCs/>
                <w:color w:val="000000"/>
                <w:vertAlign w:val="subscript"/>
              </w:rPr>
              <w:t>min</w:t>
            </w:r>
            <w:r w:rsidRPr="00C318BA">
              <w:rPr>
                <w:rFonts w:ascii="Times New Roman" w:hAnsi="Times New Roman"/>
                <w:bCs/>
                <w:color w:val="000000"/>
              </w:rPr>
              <w:t xml:space="preserve"> 5,6</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373DB9">
          <w:headerReference w:type="even" r:id="rId10"/>
          <w:headerReference w:type="default" r:id="rId11"/>
          <w:footerReference w:type="even" r:id="rId12"/>
          <w:footerReference w:type="default" r:id="rId13"/>
          <w:headerReference w:type="first" r:id="rId14"/>
          <w:footerReference w:type="first" r:id="rId15"/>
          <w:pgSz w:w="11900" w:h="16840"/>
          <w:pgMar w:top="737" w:right="1127" w:bottom="764" w:left="1589" w:header="708" w:footer="708" w:gutter="0"/>
          <w:pgNumType w:start="53"/>
          <w:cols w:space="708" w:equalWidth="0">
            <w:col w:w="9156"/>
          </w:cols>
          <w:noEndnote/>
        </w:sectPr>
      </w:pPr>
    </w:p>
    <w:p w:rsidR="00C318BA" w:rsidRPr="005A12B6" w:rsidRDefault="00C318BA" w:rsidP="00C318BA">
      <w:pPr>
        <w:widowControl w:val="0"/>
        <w:autoSpaceDE w:val="0"/>
        <w:autoSpaceDN w:val="0"/>
        <w:adjustRightInd w:val="0"/>
        <w:spacing w:after="0" w:line="240" w:lineRule="auto"/>
        <w:rPr>
          <w:rFonts w:ascii="Arial" w:hAnsi="Arial" w:cs="Arial"/>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Pr="00165C84">
              <w:rPr>
                <w:rFonts w:ascii="Times New Roman" w:hAnsi="Times New Roman"/>
                <w:sz w:val="22"/>
                <w:szCs w:val="22"/>
                <w:vertAlign w:val="subscript"/>
                <w:lang w:val="de-DE"/>
              </w:rPr>
              <w:t>min1,0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Pr="00165C84">
              <w:rPr>
                <w:rFonts w:ascii="Times New Roman" w:hAnsi="Times New Roman"/>
                <w:sz w:val="22"/>
                <w:szCs w:val="22"/>
                <w:vertAlign w:val="subscript"/>
              </w:rPr>
              <w:t>max3,0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autoSpaceDE w:val="0"/>
              <w:autoSpaceDN w:val="0"/>
              <w:adjustRightInd w:val="0"/>
              <w:spacing w:after="0" w:line="240" w:lineRule="auto"/>
              <w:jc w:val="center"/>
              <w:rPr>
                <w:rFonts w:ascii="Times New Roman" w:eastAsiaTheme="minorHAnsi" w:hAnsi="Times New Roman"/>
                <w:lang w:eastAsia="en-US"/>
              </w:rPr>
            </w:pPr>
            <w:r w:rsidRPr="00165C84">
              <w:rPr>
                <w:rFonts w:ascii="Times New Roman" w:eastAsiaTheme="minorHAnsi" w:hAnsi="Times New Roman"/>
                <w:lang w:eastAsia="en-US"/>
              </w:rPr>
              <w:t>VFB min 75</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VFB max 93</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Pr="00165C84">
              <w:rPr>
                <w:rFonts w:ascii="Times New Roman" w:eastAsiaTheme="minorHAnsi" w:hAnsi="Times New Roman"/>
                <w:sz w:val="22"/>
                <w:szCs w:val="22"/>
                <w:lang w:eastAsia="en-US"/>
              </w:rPr>
              <w:t>90</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F64B3" w:rsidRDefault="00CF64B3" w:rsidP="00C318BA">
      <w:pPr>
        <w:widowControl w:val="0"/>
        <w:autoSpaceDE w:val="0"/>
        <w:autoSpaceDN w:val="0"/>
        <w:adjustRightInd w:val="0"/>
        <w:spacing w:before="53" w:after="0" w:line="240" w:lineRule="auto"/>
        <w:jc w:val="both"/>
        <w:rPr>
          <w:rFonts w:ascii="Times New Roman" w:hAnsi="Times New Roman"/>
          <w:b/>
          <w:bCs/>
          <w:color w:val="000000"/>
          <w:sz w:val="24"/>
          <w:szCs w:val="24"/>
        </w:rPr>
      </w:pP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w:t>
      </w:r>
      <w:r w:rsidRPr="0033183F">
        <w:rPr>
          <w:rFonts w:ascii="Times New Roman" w:hAnsi="Times New Roman"/>
          <w:color w:val="000000"/>
          <w:sz w:val="24"/>
          <w:szCs w:val="24"/>
        </w:rPr>
        <w:lastRenderedPageBreak/>
        <w:t xml:space="preserve">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przekruszonych,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r w:rsidRPr="00CF64B3">
              <w:rPr>
                <w:rStyle w:val="FontStyle63"/>
                <w:sz w:val="20"/>
                <w:szCs w:val="20"/>
                <w:lang w:val="de-DE"/>
              </w:rPr>
              <w:t>Lepiszcze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PN-EN 1426 lub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PN-EN 12697-3 lub PN-EN 12697-4 oraz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PN-EN 12697-3 lub PN-EN 12697-4 oraz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Zawartość wolnych przestrzeni łącznie z VFB i VMA przy wymaganej zawartości wolnych przestrzeni V</w:t>
            </w:r>
            <w:r w:rsidRPr="00627C55">
              <w:rPr>
                <w:rStyle w:val="FontStyle63"/>
                <w:sz w:val="22"/>
                <w:szCs w:val="22"/>
                <w:vertAlign w:val="subscript"/>
              </w:rPr>
              <w:t>max</w:t>
            </w:r>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lastRenderedPageBreak/>
              <w:t>Zawartość wolnych przestrzeni łącznie z VFB i VMA przy wymaganej zawartości wolnych przestrzeni 7% &lt;V</w:t>
            </w:r>
            <w:r w:rsidRPr="00627C55">
              <w:rPr>
                <w:rStyle w:val="FontStyle63"/>
                <w:sz w:val="22"/>
                <w:szCs w:val="22"/>
                <w:vertAlign w:val="subscript"/>
              </w:rPr>
              <w:t>max</w:t>
            </w:r>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Zawartość wolnych przestrzeni łącznie z VFB i VMA przy wymaganej zawartości wolnych przestrzeni V</w:t>
            </w:r>
            <w:r w:rsidRPr="00627C55">
              <w:rPr>
                <w:rStyle w:val="FontStyle63"/>
                <w:sz w:val="22"/>
                <w:szCs w:val="22"/>
                <w:vertAlign w:val="subscript"/>
              </w:rPr>
              <w:t>max</w:t>
            </w:r>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Odporność na deformacje trwałe (powiązana funkcjonalnie), dotyczy betonu asfaltowego zaprojektowanego do maksymalnego obciążenia osi poniżej 130 kN</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dopuszcza się, aby w podłożu były koleiny lub inne zagłębienia mogące powodować zwiększone zaleganie wody, co jest szczególnie ważne w wypadku pozostawienia istniejących 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w:t>
      </w:r>
      <w:r w:rsidRPr="00B82DE0">
        <w:rPr>
          <w:rFonts w:ascii="Times New Roman" w:hAnsi="Times New Roman"/>
          <w:color w:val="000000"/>
          <w:sz w:val="24"/>
          <w:szCs w:val="24"/>
        </w:rPr>
        <w:lastRenderedPageBreak/>
        <w:t xml:space="preserve">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5.5. Połączenie międzywarstwowe</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5.7</w:t>
      </w:r>
      <w:r w:rsidRPr="00B82DE0">
        <w:rPr>
          <w:rFonts w:ascii="Times New Roman" w:hAnsi="Times New Roman"/>
          <w:b/>
          <w:bCs/>
          <w:color w:val="000000"/>
          <w:sz w:val="24"/>
          <w:szCs w:val="24"/>
        </w:rPr>
        <w:t xml:space="preserve">.  Wykonanie warstwy z betonu asfaltowego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lastRenderedPageBreak/>
        <w:t>5.7</w:t>
      </w:r>
      <w:r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w warstwie ścieralnej należy stosować wyłącznie </w:t>
      </w:r>
      <w:r w:rsidRPr="00B82DE0">
        <w:rPr>
          <w:rFonts w:ascii="Times New Roman" w:hAnsi="Times New Roman"/>
          <w:color w:val="000000"/>
          <w:sz w:val="24"/>
          <w:szCs w:val="24"/>
        </w:rPr>
        <w:lastRenderedPageBreak/>
        <w:t>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Zagęszczanie należy prowadzić statycznymi walcami stalowymi gładkimi, wibracyjnymi lub też zespołem tych walców, o ciężarze 80 - 100 kN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kN.</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Walce powinny pracować z prędkością nie większą niż 5 km/godz. Nie dopuszcza się postoju </w:t>
      </w:r>
      <w:r w:rsidRPr="00B82DE0">
        <w:rPr>
          <w:rFonts w:ascii="Times New Roman" w:hAnsi="Times New Roman"/>
          <w:color w:val="000000"/>
          <w:sz w:val="24"/>
          <w:szCs w:val="24"/>
        </w:rPr>
        <w:lastRenderedPageBreak/>
        <w:t>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C318BA"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AC 11 S,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Pr>
                <w:rStyle w:val="FontStyle67"/>
                <w:sz w:val="20"/>
                <w:szCs w:val="20"/>
              </w:rPr>
              <w:t>1</w:t>
            </w:r>
            <w:r w:rsidRPr="004E2DDA">
              <w:rPr>
                <w:rStyle w:val="FontStyle67"/>
                <w:sz w:val="20"/>
                <w:szCs w:val="20"/>
              </w:rPr>
              <w:t xml:space="preserve">,0 - </w:t>
            </w:r>
            <w:r>
              <w:rPr>
                <w:rStyle w:val="FontStyle67"/>
                <w:sz w:val="20"/>
                <w:szCs w:val="20"/>
              </w:rPr>
              <w:t>4</w:t>
            </w:r>
            <w:r w:rsidRPr="004E2DDA">
              <w:rPr>
                <w:rStyle w:val="FontStyle67"/>
                <w:sz w:val="20"/>
                <w:szCs w:val="20"/>
              </w:rPr>
              <w:t>,0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Pr="00C00445" w:rsidRDefault="00C00445" w:rsidP="005C2619">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lastRenderedPageBreak/>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yciu łaty 4m i klina lub planografu.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670DD9">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polimeroasfaltu)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Jeżeli w składzie mieszanki mineralno-asfaltowej jest granulat asfaltowy, to temperatura mięknienia wyekstrahowanego lepiszcza nie może przekroczyć temperatury mięknienia T</w:t>
      </w:r>
      <w:r>
        <w:rPr>
          <w:rFonts w:ascii="Times New Roman" w:hAnsi="Times New Roman"/>
          <w:color w:val="000000"/>
          <w:sz w:val="24"/>
          <w:szCs w:val="24"/>
          <w:vertAlign w:val="subscript"/>
        </w:rPr>
        <w:t>R&amp;Bmix</w:t>
      </w:r>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polimeroasfaltem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lastRenderedPageBreak/>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670DD9">
        <w:trPr>
          <w:trHeight w:hRule="exact" w:val="3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70DD9">
        <w:trPr>
          <w:trHeight w:hRule="exact" w:val="514"/>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70DD9">
        <w:trPr>
          <w:trHeight w:hRule="exact" w:val="27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5C2619" w:rsidRDefault="005C2619" w:rsidP="00C318BA">
      <w:pPr>
        <w:widowControl w:val="0"/>
        <w:autoSpaceDE w:val="0"/>
        <w:autoSpaceDN w:val="0"/>
        <w:adjustRightInd w:val="0"/>
        <w:spacing w:before="22" w:after="0" w:line="240" w:lineRule="auto"/>
        <w:jc w:val="both"/>
        <w:rPr>
          <w:rFonts w:ascii="Times New Roman" w:hAnsi="Times New Roman"/>
          <w:b/>
          <w:bCs/>
          <w:i/>
          <w:iCs/>
          <w:color w:val="000000"/>
          <w:sz w:val="24"/>
          <w:szCs w:val="24"/>
        </w:rPr>
      </w:pPr>
    </w:p>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t>-  AC S   1,5%(v/v)</w:t>
      </w:r>
    </w:p>
    <w:p w:rsidR="005C2619" w:rsidRDefault="005C2619"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lastRenderedPageBreak/>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Rodzaj i zakres badań kontrolnych mieszanki mineralno-asfaltowej i wykonanej z niej warstwy</w:t>
      </w:r>
      <w:r w:rsidR="00670DD9">
        <w:rPr>
          <w:rFonts w:ascii="Times New Roman" w:hAnsi="Times New Roman"/>
          <w:color w:val="000000"/>
          <w:sz w:val="24"/>
          <w:szCs w:val="24"/>
        </w:rPr>
        <w:t xml:space="preserve">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lastRenderedPageBreak/>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przeasfaltowanych,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(metr kwadratowy) wykonanej warstwy ścieralnej.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lastRenderedPageBreak/>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704BD0" w:rsidRDefault="00704BD0" w:rsidP="00C318BA">
      <w:pPr>
        <w:pStyle w:val="Style5"/>
        <w:widowControl/>
        <w:spacing w:before="120" w:after="120"/>
        <w:ind w:left="14"/>
        <w:jc w:val="both"/>
        <w:rPr>
          <w:rStyle w:val="FontStyle66"/>
          <w:sz w:val="24"/>
          <w:szCs w:val="24"/>
        </w:rPr>
      </w:pP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C30" w:rsidRDefault="00146C30" w:rsidP="00C318BA">
      <w:pPr>
        <w:spacing w:after="0" w:line="240" w:lineRule="auto"/>
      </w:pPr>
      <w:r>
        <w:separator/>
      </w:r>
    </w:p>
  </w:endnote>
  <w:endnote w:type="continuationSeparator" w:id="0">
    <w:p w:rsidR="00146C30" w:rsidRDefault="00146C30"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B6" w:rsidRPr="00BF67B7" w:rsidRDefault="00DD63B6" w:rsidP="00BF6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C30" w:rsidRDefault="00146C30" w:rsidP="00C318BA">
      <w:pPr>
        <w:spacing w:after="0" w:line="240" w:lineRule="auto"/>
      </w:pPr>
      <w:r>
        <w:separator/>
      </w:r>
    </w:p>
  </w:footnote>
  <w:footnote w:type="continuationSeparator" w:id="0">
    <w:p w:rsidR="00146C30" w:rsidRDefault="00146C30"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B6" w:rsidRPr="008D352D" w:rsidRDefault="00DD63B6"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18BA"/>
    <w:rsid w:val="000D67F8"/>
    <w:rsid w:val="000F021A"/>
    <w:rsid w:val="00143094"/>
    <w:rsid w:val="00146C30"/>
    <w:rsid w:val="0018548B"/>
    <w:rsid w:val="001D6567"/>
    <w:rsid w:val="0028227D"/>
    <w:rsid w:val="002B3AB4"/>
    <w:rsid w:val="002F3700"/>
    <w:rsid w:val="00356E71"/>
    <w:rsid w:val="0036349A"/>
    <w:rsid w:val="00373DB9"/>
    <w:rsid w:val="003D0AED"/>
    <w:rsid w:val="004542C8"/>
    <w:rsid w:val="00464CBE"/>
    <w:rsid w:val="00495617"/>
    <w:rsid w:val="00517171"/>
    <w:rsid w:val="00550D1F"/>
    <w:rsid w:val="0055261C"/>
    <w:rsid w:val="005B6D5A"/>
    <w:rsid w:val="005C2619"/>
    <w:rsid w:val="00627E41"/>
    <w:rsid w:val="00634AD6"/>
    <w:rsid w:val="006376EE"/>
    <w:rsid w:val="00666480"/>
    <w:rsid w:val="00670DD9"/>
    <w:rsid w:val="00704BD0"/>
    <w:rsid w:val="007A5D1A"/>
    <w:rsid w:val="007E7499"/>
    <w:rsid w:val="0084386B"/>
    <w:rsid w:val="008D15F2"/>
    <w:rsid w:val="008D669F"/>
    <w:rsid w:val="00986527"/>
    <w:rsid w:val="009B5020"/>
    <w:rsid w:val="00A16B56"/>
    <w:rsid w:val="00A621E0"/>
    <w:rsid w:val="00AC0388"/>
    <w:rsid w:val="00B04A4B"/>
    <w:rsid w:val="00B87A65"/>
    <w:rsid w:val="00BC65EE"/>
    <w:rsid w:val="00BF066B"/>
    <w:rsid w:val="00BF67B7"/>
    <w:rsid w:val="00C00445"/>
    <w:rsid w:val="00C318BA"/>
    <w:rsid w:val="00C73FA5"/>
    <w:rsid w:val="00CF64B3"/>
    <w:rsid w:val="00DB692F"/>
    <w:rsid w:val="00DD63B6"/>
    <w:rsid w:val="00E32AE3"/>
    <w:rsid w:val="00F15137"/>
    <w:rsid w:val="00F15A42"/>
    <w:rsid w:val="00F421E4"/>
    <w:rsid w:val="00FA14A8"/>
    <w:rsid w:val="00FA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9562</Words>
  <Characters>57378</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PZD_MM</cp:lastModifiedBy>
  <cp:revision>21</cp:revision>
  <dcterms:created xsi:type="dcterms:W3CDTF">2015-01-08T07:52:00Z</dcterms:created>
  <dcterms:modified xsi:type="dcterms:W3CDTF">2024-06-21T12:02:00Z</dcterms:modified>
</cp:coreProperties>
</file>