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B42D" w14:textId="77777777" w:rsidR="00BC21B0" w:rsidRDefault="00BC21B0" w:rsidP="00254461">
      <w:pPr>
        <w:pStyle w:val="Nagwek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763244">
        <w:rPr>
          <w:noProof/>
          <w:lang w:eastAsia="pl-PL"/>
        </w:rPr>
        <w:drawing>
          <wp:inline distT="0" distB="0" distL="0" distR="0" wp14:anchorId="24E807D1" wp14:editId="74809139">
            <wp:extent cx="5760720" cy="1047404"/>
            <wp:effectExtent l="0" t="0" r="0" b="635"/>
            <wp:docPr id="1" name="Obraz 1" descr="Firmówka Gó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mówka Góra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47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6D4B3" w14:textId="71DA2DCD" w:rsidR="00FE7B65" w:rsidRPr="00424DD5" w:rsidRDefault="00424DD5" w:rsidP="00FE7B65">
      <w:pPr>
        <w:rPr>
          <w:b/>
          <w:u w:val="single"/>
        </w:rPr>
      </w:pPr>
      <w:r w:rsidRPr="00424DD5">
        <w:rPr>
          <w:b/>
          <w:u w:val="single"/>
        </w:rPr>
        <w:t xml:space="preserve">Nr ref. </w:t>
      </w:r>
      <w:r w:rsidR="00F02809">
        <w:rPr>
          <w:b/>
          <w:u w:val="single"/>
        </w:rPr>
        <w:t>p</w:t>
      </w:r>
      <w:r w:rsidRPr="00424DD5">
        <w:rPr>
          <w:b/>
          <w:u w:val="single"/>
        </w:rPr>
        <w:t>rojektu:</w:t>
      </w:r>
      <w:r w:rsidR="00096690">
        <w:rPr>
          <w:b/>
          <w:u w:val="single"/>
        </w:rPr>
        <w:t xml:space="preserve"> </w:t>
      </w:r>
      <w:r w:rsidR="000F4D7A">
        <w:rPr>
          <w:b/>
          <w:u w:val="single"/>
        </w:rPr>
        <w:t xml:space="preserve"> </w:t>
      </w:r>
      <w:r w:rsidR="000F4D7A" w:rsidRPr="000F4D7A">
        <w:rPr>
          <w:b/>
        </w:rPr>
        <w:t>S</w:t>
      </w:r>
      <w:r w:rsidR="004620A7">
        <w:rPr>
          <w:b/>
        </w:rPr>
        <w:t>.202</w:t>
      </w:r>
      <w:r w:rsidR="008E2F80">
        <w:rPr>
          <w:b/>
        </w:rPr>
        <w:t>2</w:t>
      </w:r>
      <w:r w:rsidR="004620A7">
        <w:rPr>
          <w:b/>
        </w:rPr>
        <w:t>.</w:t>
      </w:r>
      <w:r w:rsidR="00254461">
        <w:rPr>
          <w:b/>
        </w:rPr>
        <w:t>40</w:t>
      </w:r>
    </w:p>
    <w:p w14:paraId="1FFAB344" w14:textId="77777777" w:rsidR="00BC21B0" w:rsidRDefault="00BC21B0" w:rsidP="00C2341E">
      <w:pPr>
        <w:ind w:left="3540" w:firstLine="60"/>
        <w:rPr>
          <w:iCs/>
          <w:sz w:val="48"/>
          <w:szCs w:val="48"/>
        </w:rPr>
      </w:pPr>
      <w:r w:rsidRPr="00AD46C6">
        <w:rPr>
          <w:iCs/>
          <w:sz w:val="48"/>
          <w:szCs w:val="48"/>
        </w:rPr>
        <w:t>Egz. Nr</w:t>
      </w:r>
      <w:r w:rsidR="00AD46C6">
        <w:rPr>
          <w:iCs/>
          <w:sz w:val="48"/>
          <w:szCs w:val="48"/>
        </w:rPr>
        <w:t>:</w:t>
      </w:r>
    </w:p>
    <w:p w14:paraId="6FBC022E" w14:textId="77777777" w:rsidR="00C2341E" w:rsidRDefault="00C2341E" w:rsidP="00C2341E">
      <w:pPr>
        <w:rPr>
          <w:b/>
          <w:sz w:val="52"/>
        </w:rPr>
      </w:pPr>
    </w:p>
    <w:p w14:paraId="1AAC8DAF" w14:textId="77777777" w:rsidR="00BC21B0" w:rsidRDefault="008638EC" w:rsidP="00534B91">
      <w:pPr>
        <w:jc w:val="center"/>
        <w:rPr>
          <w:b/>
          <w:sz w:val="52"/>
        </w:rPr>
      </w:pPr>
      <w:r>
        <w:rPr>
          <w:b/>
          <w:sz w:val="52"/>
        </w:rPr>
        <w:t>Projekt stałej organizacji ruchu</w:t>
      </w:r>
      <w:r w:rsidR="00AD46C6" w:rsidRPr="00AD46C6">
        <w:rPr>
          <w:b/>
          <w:sz w:val="52"/>
        </w:rPr>
        <w:t>.</w:t>
      </w:r>
    </w:p>
    <w:p w14:paraId="68C4267F" w14:textId="77777777" w:rsidR="00FE7B65" w:rsidRDefault="00FE7B65" w:rsidP="00AD46C6">
      <w:pPr>
        <w:jc w:val="center"/>
        <w:rPr>
          <w:b/>
          <w:sz w:val="52"/>
        </w:rPr>
      </w:pPr>
    </w:p>
    <w:tbl>
      <w:tblPr>
        <w:tblpPr w:leftFromText="141" w:rightFromText="141" w:vertAnchor="text" w:horzAnchor="margin" w:tblpXSpec="center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AD46C6" w:rsidRPr="00763244" w14:paraId="3BABA687" w14:textId="77777777" w:rsidTr="00AD46C6">
        <w:tc>
          <w:tcPr>
            <w:tcW w:w="8280" w:type="dxa"/>
          </w:tcPr>
          <w:p w14:paraId="4805D19E" w14:textId="77777777" w:rsidR="00AD46C6" w:rsidRPr="00AD46C6" w:rsidRDefault="00AD46C6" w:rsidP="00AD46C6">
            <w:pPr>
              <w:spacing w:line="360" w:lineRule="auto"/>
              <w:rPr>
                <w:b/>
              </w:rPr>
            </w:pPr>
            <w:r w:rsidRPr="00AD46C6">
              <w:rPr>
                <w:b/>
              </w:rPr>
              <w:t>Nazwa projektu:</w:t>
            </w:r>
          </w:p>
          <w:p w14:paraId="2247816D" w14:textId="77777777" w:rsidR="00AD46C6" w:rsidRDefault="00AD46C6" w:rsidP="00AD46C6">
            <w:pPr>
              <w:jc w:val="center"/>
              <w:rPr>
                <w:b/>
              </w:rPr>
            </w:pPr>
            <w:r>
              <w:t>P</w:t>
            </w:r>
            <w:r w:rsidRPr="00763244">
              <w:t xml:space="preserve">rojekt </w:t>
            </w:r>
            <w:r w:rsidR="00FD3ECA">
              <w:rPr>
                <w:u w:val="single"/>
              </w:rPr>
              <w:t>stałej</w:t>
            </w:r>
            <w:r>
              <w:t xml:space="preserve"> </w:t>
            </w:r>
            <w:r w:rsidRPr="00763244">
              <w:t xml:space="preserve">organizacji ruchu </w:t>
            </w:r>
            <w:r>
              <w:t xml:space="preserve">dla zadania pn.: </w:t>
            </w:r>
          </w:p>
          <w:p w14:paraId="2C3D0312" w14:textId="55DEE15A" w:rsidR="00AD46C6" w:rsidRPr="00454ACF" w:rsidRDefault="00254461" w:rsidP="00AD46C6">
            <w:pPr>
              <w:jc w:val="center"/>
              <w:rPr>
                <w:b/>
              </w:rPr>
            </w:pPr>
            <w:r w:rsidRPr="00DF6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Pr="00DF6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Przebudowa drogi publicznej gminnej nr K 601450 (ul. Krakowska)”</w:t>
            </w:r>
            <w:r w:rsidRPr="00DF6575">
              <w:rPr>
                <w:rFonts w:ascii="Arial" w:hAnsi="Arial" w:cs="Arial"/>
                <w:b/>
              </w:rPr>
              <w:t>.</w:t>
            </w:r>
          </w:p>
        </w:tc>
      </w:tr>
    </w:tbl>
    <w:p w14:paraId="43204C7B" w14:textId="77777777" w:rsidR="00BC21B0" w:rsidRDefault="00BC21B0" w:rsidP="00BC21B0"/>
    <w:tbl>
      <w:tblPr>
        <w:tblpPr w:leftFromText="141" w:rightFromText="141" w:vertAnchor="text" w:horzAnchor="margin" w:tblpXSpec="center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AD46C6" w:rsidRPr="00763244" w14:paraId="34F26BE0" w14:textId="77777777" w:rsidTr="007B1F10">
        <w:tc>
          <w:tcPr>
            <w:tcW w:w="8280" w:type="dxa"/>
          </w:tcPr>
          <w:p w14:paraId="4922D071" w14:textId="77777777" w:rsidR="00AD46C6" w:rsidRPr="00AD46C6" w:rsidRDefault="00AD46C6" w:rsidP="00AD46C6">
            <w:pPr>
              <w:tabs>
                <w:tab w:val="left" w:pos="3402"/>
              </w:tabs>
              <w:spacing w:line="360" w:lineRule="auto"/>
              <w:ind w:left="2124" w:hanging="2124"/>
              <w:rPr>
                <w:b/>
              </w:rPr>
            </w:pPr>
            <w:r w:rsidRPr="00AD46C6">
              <w:rPr>
                <w:b/>
              </w:rPr>
              <w:t>Zleceniodawca:</w:t>
            </w:r>
          </w:p>
          <w:p w14:paraId="3A5ECBA3" w14:textId="77777777" w:rsidR="00254461" w:rsidRDefault="00254461" w:rsidP="00254461">
            <w:pPr>
              <w:tabs>
                <w:tab w:val="left" w:pos="3402"/>
              </w:tabs>
              <w:spacing w:line="360" w:lineRule="auto"/>
              <w:ind w:left="2124" w:hanging="2124"/>
              <w:jc w:val="center"/>
            </w:pPr>
            <w:r>
              <w:t xml:space="preserve">Gmina Wielka Wieś - Urzędem Gminy Wielka Wieś </w:t>
            </w:r>
          </w:p>
          <w:p w14:paraId="31340D63" w14:textId="61B6F737" w:rsidR="00AD46C6" w:rsidRPr="00454ACF" w:rsidRDefault="00254461" w:rsidP="00254461">
            <w:pPr>
              <w:tabs>
                <w:tab w:val="left" w:pos="3402"/>
              </w:tabs>
              <w:spacing w:line="360" w:lineRule="auto"/>
              <w:ind w:left="2124" w:hanging="2124"/>
              <w:jc w:val="center"/>
              <w:rPr>
                <w:b/>
              </w:rPr>
            </w:pPr>
            <w:r>
              <w:t>32-085 Szyce, Pl. Wspólnoty 1</w:t>
            </w:r>
          </w:p>
        </w:tc>
      </w:tr>
    </w:tbl>
    <w:p w14:paraId="4081E222" w14:textId="301459D9" w:rsidR="00BC21B0" w:rsidRDefault="00BC21B0" w:rsidP="00D54FB0">
      <w:pPr>
        <w:tabs>
          <w:tab w:val="left" w:pos="3402"/>
        </w:tabs>
        <w:spacing w:line="360" w:lineRule="auto"/>
        <w:ind w:left="2124" w:hanging="2124"/>
      </w:pPr>
      <w:r>
        <w:t>Opracował:</w:t>
      </w:r>
    </w:p>
    <w:p w14:paraId="51CD0FF0" w14:textId="77777777" w:rsidR="00BC21B0" w:rsidRDefault="00BC21B0" w:rsidP="00D54FB0">
      <w:r>
        <w:t>inż. Mariusz Lisiecki</w:t>
      </w:r>
    </w:p>
    <w:p w14:paraId="42E93F02" w14:textId="77777777" w:rsidR="00BC21B0" w:rsidRDefault="00BC21B0" w:rsidP="00BC21B0"/>
    <w:p w14:paraId="1DFF6AB3" w14:textId="77777777" w:rsidR="00FE7B65" w:rsidRDefault="00FE7B65" w:rsidP="00BC21B0"/>
    <w:p w14:paraId="6AAD0A26" w14:textId="77777777" w:rsidR="00BC21B0" w:rsidRDefault="00BC21B0" w:rsidP="00BC21B0"/>
    <w:p w14:paraId="0B6B4BB2" w14:textId="77777777" w:rsidR="00BC21B0" w:rsidRPr="00763244" w:rsidRDefault="00BC21B0" w:rsidP="00BC21B0"/>
    <w:p w14:paraId="2E4390C1" w14:textId="70A2D801" w:rsidR="00BC21B0" w:rsidRDefault="00BC21B0" w:rsidP="00BC21B0">
      <w:pPr>
        <w:jc w:val="center"/>
      </w:pPr>
      <w:r w:rsidRPr="00763244">
        <w:t>Katowice,</w:t>
      </w:r>
      <w:r>
        <w:t xml:space="preserve"> </w:t>
      </w:r>
      <w:r w:rsidR="00254461">
        <w:t>marzec</w:t>
      </w:r>
      <w:r w:rsidR="008515A2">
        <w:t xml:space="preserve"> 202</w:t>
      </w:r>
      <w:r w:rsidR="00254461">
        <w:t>3</w:t>
      </w:r>
      <w:r w:rsidRPr="00763244">
        <w:t xml:space="preserve"> r.</w:t>
      </w:r>
    </w:p>
    <w:p w14:paraId="5E6EDCF8" w14:textId="77777777" w:rsidR="00C3213D" w:rsidRPr="00C970FB" w:rsidRDefault="006872CE" w:rsidP="00715560">
      <w:pPr>
        <w:pStyle w:val="Akapitzlist"/>
        <w:numPr>
          <w:ilvl w:val="0"/>
          <w:numId w:val="1"/>
        </w:numPr>
        <w:spacing w:after="0" w:line="240" w:lineRule="auto"/>
        <w:ind w:left="567" w:hanging="567"/>
        <w:outlineLvl w:val="0"/>
        <w:rPr>
          <w:b/>
        </w:rPr>
      </w:pPr>
      <w:r w:rsidRPr="00C970FB">
        <w:rPr>
          <w:b/>
        </w:rPr>
        <w:lastRenderedPageBreak/>
        <w:t>Podstawa opracowania</w:t>
      </w:r>
    </w:p>
    <w:p w14:paraId="0C6DAD55" w14:textId="65F5542E" w:rsidR="00A55D1B" w:rsidRDefault="00A55D1B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</w:pPr>
      <w:r>
        <w:t>Rozporządzenie Ministra Infrastruktury z dnia 3 lipca 2003 r. w sprawie szczegółowych warunków technicznych dla znaków i sygnałów drogowych</w:t>
      </w:r>
      <w:r w:rsidR="00715560">
        <w:t>;</w:t>
      </w:r>
    </w:p>
    <w:p w14:paraId="669F5F88" w14:textId="77777777" w:rsidR="00A55D1B" w:rsidRDefault="00A55D1B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</w:pPr>
      <w:r>
        <w:t xml:space="preserve">oraz urządzeń bezpieczeństwa ruchu drogowego i warunków ich umieszczania na drogach (Dz.U. 2019 poz. 2311 z </w:t>
      </w:r>
      <w:proofErr w:type="spellStart"/>
      <w:r>
        <w:t>późn</w:t>
      </w:r>
      <w:proofErr w:type="spellEnd"/>
      <w:r>
        <w:t>. zm.)Ustawa z dnia 21 marca 1985 r. o drogach publicznych (</w:t>
      </w:r>
      <w:proofErr w:type="spellStart"/>
      <w:r>
        <w:t>t.j</w:t>
      </w:r>
      <w:proofErr w:type="spellEnd"/>
      <w:r>
        <w:t xml:space="preserve">. Dz. U. z 2022 r., poz. 1693 z </w:t>
      </w:r>
      <w:proofErr w:type="spellStart"/>
      <w:r>
        <w:t>późn</w:t>
      </w:r>
      <w:proofErr w:type="spellEnd"/>
      <w:r>
        <w:t>. zm.);</w:t>
      </w:r>
    </w:p>
    <w:p w14:paraId="0B20D374" w14:textId="77777777" w:rsidR="00A55D1B" w:rsidRDefault="00A55D1B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</w:pPr>
      <w:r>
        <w:t xml:space="preserve">Rozporządzenie Ministra Infrastruktury z dnia 24 czerwca 2022 </w:t>
      </w:r>
      <w:proofErr w:type="spellStart"/>
      <w:r>
        <w:t>r.w</w:t>
      </w:r>
      <w:proofErr w:type="spellEnd"/>
      <w:r>
        <w:t xml:space="preserve"> sprawie przepisów techniczno-budowlanych dotyczących dróg publicznych (Dz. U. 2022 r., poz. 1518);Dz.U.97.98.602 j.t. - Ustawa z dnia 20 czerwca 1997r. Prawo o ruchu drogowym (tekst ujednolicony </w:t>
      </w:r>
      <w:hyperlink r:id="rId9" w:history="1">
        <w:r>
          <w:rPr>
            <w:rStyle w:val="Hipercze"/>
            <w:color w:val="auto"/>
          </w:rPr>
          <w:t>Dz.U. 2021 poz. 450</w:t>
        </w:r>
      </w:hyperlink>
      <w:r>
        <w:t xml:space="preserve"> z dnia 1 marca 2021 r.),</w:t>
      </w:r>
    </w:p>
    <w:p w14:paraId="055CC3F7" w14:textId="77777777" w:rsidR="00A55D1B" w:rsidRDefault="00A55D1B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</w:pPr>
      <w:r>
        <w:t>Ustawa z dnia 20 czerwca 1997 r. Prawo o ruchu drogowym (</w:t>
      </w:r>
      <w:proofErr w:type="spellStart"/>
      <w:r>
        <w:t>t.j</w:t>
      </w:r>
      <w:proofErr w:type="spellEnd"/>
      <w:r>
        <w:t xml:space="preserve">. Dz. U. z 2022 r., poz. 988 z </w:t>
      </w:r>
      <w:proofErr w:type="spellStart"/>
      <w:r>
        <w:t>późn</w:t>
      </w:r>
      <w:proofErr w:type="spellEnd"/>
      <w:r>
        <w:t>. zm.);</w:t>
      </w:r>
    </w:p>
    <w:p w14:paraId="52D67E65" w14:textId="5AE08AD3" w:rsidR="00A55D1B" w:rsidRDefault="00A55D1B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</w:pPr>
      <w:r>
        <w:t>Rozporządzenie Ministrów Infrastruktury oraz Spraw Wewnętrznych</w:t>
      </w:r>
      <w:r w:rsidR="00E34DCB">
        <w:t xml:space="preserve"> </w:t>
      </w:r>
      <w:r>
        <w:t xml:space="preserve">i Administracji z dnia 31 lipca 2002 r. w sprawie znaków i sygnałów drogowych (Dz. U. 2019 poz. 2310 z </w:t>
      </w:r>
      <w:proofErr w:type="spellStart"/>
      <w:r>
        <w:t>późn</w:t>
      </w:r>
      <w:proofErr w:type="spellEnd"/>
      <w:r>
        <w:t>. zm.);Dz.U.02.170.1393 - Rozporządzenie Ministra Infrastruktury z dnia 3 lipca 2003r. w sprawie szczegółowych warunków technicznych dla znaków i sygnałów drogowych oraz urządzeń bezpieczeństwa ruchu drogowego i warunków umieszczania ich na drogach (Dz. U.2019 poz. 2311 z dnia 9 września 2019r.)</w:t>
      </w:r>
    </w:p>
    <w:p w14:paraId="0DB46D8A" w14:textId="77777777" w:rsidR="00C970FB" w:rsidRPr="00C970FB" w:rsidRDefault="00C970FB" w:rsidP="00C970FB">
      <w:pPr>
        <w:spacing w:after="0" w:line="240" w:lineRule="auto"/>
      </w:pPr>
    </w:p>
    <w:p w14:paraId="5DDB02B3" w14:textId="77777777" w:rsidR="006872CE" w:rsidRPr="00C970FB" w:rsidRDefault="006872CE" w:rsidP="00715560">
      <w:pPr>
        <w:pStyle w:val="Akapitzlist"/>
        <w:numPr>
          <w:ilvl w:val="0"/>
          <w:numId w:val="1"/>
        </w:numPr>
        <w:spacing w:after="0" w:line="240" w:lineRule="auto"/>
        <w:ind w:left="567" w:hanging="567"/>
        <w:outlineLvl w:val="0"/>
        <w:rPr>
          <w:b/>
        </w:rPr>
      </w:pPr>
      <w:r w:rsidRPr="00C970FB">
        <w:rPr>
          <w:b/>
        </w:rPr>
        <w:t>Zakres opracowania</w:t>
      </w:r>
    </w:p>
    <w:p w14:paraId="25339DD4" w14:textId="3FCCBEC2" w:rsidR="008B0634" w:rsidRDefault="00254461" w:rsidP="00254461">
      <w:pPr>
        <w:spacing w:after="0" w:line="360" w:lineRule="auto"/>
        <w:ind w:firstLine="567"/>
        <w:outlineLvl w:val="0"/>
      </w:pPr>
      <w:r w:rsidRPr="00254461">
        <w:t>Przedmiotem niniejszego opracowania jest zaprojektowanie czasowej organizacji ruchu dla przebudowy drogi publicznej, ulicy Krakowskiej we wsi Modlniczka, zlokalizowanej w gminie Wielka Wieś w powiecie krakowskim (woj. małopolskie).</w:t>
      </w:r>
    </w:p>
    <w:p w14:paraId="21E4066C" w14:textId="77777777" w:rsidR="00254461" w:rsidRDefault="00254461" w:rsidP="00254461">
      <w:pPr>
        <w:spacing w:after="0" w:line="360" w:lineRule="auto"/>
        <w:ind w:firstLine="567"/>
        <w:outlineLvl w:val="0"/>
      </w:pPr>
    </w:p>
    <w:p w14:paraId="0203D68D" w14:textId="77777777" w:rsidR="007E7CEF" w:rsidRPr="00C970FB" w:rsidRDefault="006872CE" w:rsidP="00715560">
      <w:pPr>
        <w:pStyle w:val="Akapitzlist"/>
        <w:numPr>
          <w:ilvl w:val="0"/>
          <w:numId w:val="1"/>
        </w:numPr>
        <w:spacing w:after="0" w:line="240" w:lineRule="auto"/>
        <w:ind w:left="567" w:hanging="567"/>
        <w:outlineLvl w:val="0"/>
        <w:rPr>
          <w:b/>
        </w:rPr>
      </w:pPr>
      <w:r w:rsidRPr="00C970FB">
        <w:rPr>
          <w:b/>
        </w:rPr>
        <w:t>Opis stanu istniejącego</w:t>
      </w:r>
    </w:p>
    <w:p w14:paraId="4570F9ED" w14:textId="77777777" w:rsidR="00254461" w:rsidRPr="00254461" w:rsidRDefault="00254461" w:rsidP="00254461">
      <w:pPr>
        <w:spacing w:after="0" w:line="360" w:lineRule="auto"/>
        <w:jc w:val="both"/>
        <w:outlineLvl w:val="0"/>
        <w:rPr>
          <w:b/>
          <w:u w:val="single"/>
        </w:rPr>
      </w:pPr>
      <w:bookmarkStart w:id="0" w:name="_Hlk64275388"/>
      <w:r w:rsidRPr="00254461">
        <w:rPr>
          <w:b/>
          <w:u w:val="single"/>
        </w:rPr>
        <w:t>Ulica Krakowska</w:t>
      </w:r>
    </w:p>
    <w:p w14:paraId="1A30C6CD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Kategoria drogi: gminna;</w:t>
      </w:r>
    </w:p>
    <w:p w14:paraId="5C4767CF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Nr: 601450K Klasa: L;</w:t>
      </w:r>
    </w:p>
    <w:p w14:paraId="3A665906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 xml:space="preserve">Nawierzchnia: asfaltowa; </w:t>
      </w:r>
    </w:p>
    <w:p w14:paraId="03721972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 xml:space="preserve">Szerokość ok. 5 m.; </w:t>
      </w:r>
    </w:p>
    <w:p w14:paraId="4B46CADC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 xml:space="preserve">Przekrój drogi 1x2; </w:t>
      </w:r>
    </w:p>
    <w:p w14:paraId="75E12659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Obszar: zabudowany;</w:t>
      </w:r>
    </w:p>
    <w:p w14:paraId="598908A9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Zabudowa: sporadyczna;</w:t>
      </w:r>
    </w:p>
    <w:p w14:paraId="791E1D9F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Natężenie ruchu kołowego: małe; Pieszego: małe;</w:t>
      </w:r>
    </w:p>
    <w:p w14:paraId="136361FD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Chodniki: po stronie zachodniej i częściowo po stronie wschodniej;</w:t>
      </w:r>
    </w:p>
    <w:p w14:paraId="66B2D8E3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Parkingi: brak w rejonie opracowania;</w:t>
      </w:r>
    </w:p>
    <w:p w14:paraId="76375C38" w14:textId="77777777" w:rsidR="00254461" w:rsidRDefault="00254461" w:rsidP="00254461">
      <w:pPr>
        <w:spacing w:after="0" w:line="360" w:lineRule="auto"/>
        <w:jc w:val="both"/>
        <w:outlineLvl w:val="0"/>
      </w:pPr>
      <w:r>
        <w:lastRenderedPageBreak/>
        <w:t>•</w:t>
      </w:r>
      <w:r>
        <w:tab/>
        <w:t>Przystanki komunikacji zbiorowej: brak w rejonie opracowania;</w:t>
      </w:r>
    </w:p>
    <w:p w14:paraId="44D9D5CB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Inne: Przy drodze znajdują się domy jednorodzinne oraz tereny niezagospodarowane.</w:t>
      </w:r>
    </w:p>
    <w:p w14:paraId="73EB938D" w14:textId="77777777" w:rsidR="00254461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 xml:space="preserve">Skrzyżowania w rejonie opracowania: ul. Zielna DG 601445K (L); </w:t>
      </w:r>
    </w:p>
    <w:p w14:paraId="0E4CC154" w14:textId="2F887B04" w:rsidR="00C2341E" w:rsidRDefault="00254461" w:rsidP="00254461">
      <w:pPr>
        <w:spacing w:after="0" w:line="360" w:lineRule="auto"/>
        <w:jc w:val="both"/>
        <w:outlineLvl w:val="0"/>
      </w:pPr>
      <w:r>
        <w:t>•</w:t>
      </w:r>
      <w:r>
        <w:tab/>
        <w:t>Połączenia z drogami wewnętrznymi: ul. Św. Faustyny (wewnętrzna, jednokierunkowa); ul. Marii (wewnętrzna, ślepa); ul. Łąkowa (wewnętrzna)</w:t>
      </w:r>
    </w:p>
    <w:p w14:paraId="37D304C4" w14:textId="77777777" w:rsidR="00254461" w:rsidRDefault="00254461" w:rsidP="00C2341E">
      <w:pPr>
        <w:spacing w:after="0" w:line="360" w:lineRule="auto"/>
        <w:jc w:val="both"/>
        <w:outlineLvl w:val="0"/>
        <w:rPr>
          <w:b/>
          <w:u w:val="single"/>
        </w:rPr>
        <w:sectPr w:rsidR="00254461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26E5E583" w14:textId="77777777" w:rsidR="00254461" w:rsidRDefault="00254461" w:rsidP="00C970FB">
      <w:pPr>
        <w:spacing w:after="0" w:line="360" w:lineRule="auto"/>
        <w:outlineLvl w:val="0"/>
        <w:sectPr w:rsidR="00254461" w:rsidSect="0001151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934DF" w14:textId="43622302" w:rsidR="0051723B" w:rsidRPr="00C970FB" w:rsidRDefault="0051723B" w:rsidP="00C970FB">
      <w:pPr>
        <w:spacing w:after="0" w:line="360" w:lineRule="auto"/>
        <w:outlineLvl w:val="0"/>
      </w:pPr>
    </w:p>
    <w:p w14:paraId="705E3942" w14:textId="77777777" w:rsidR="006872CE" w:rsidRPr="00C970FB" w:rsidRDefault="006872CE" w:rsidP="00715560">
      <w:pPr>
        <w:pStyle w:val="Akapitzlist"/>
        <w:numPr>
          <w:ilvl w:val="0"/>
          <w:numId w:val="1"/>
        </w:numPr>
        <w:spacing w:after="0" w:line="240" w:lineRule="auto"/>
        <w:ind w:left="567" w:hanging="567"/>
        <w:outlineLvl w:val="0"/>
        <w:rPr>
          <w:b/>
        </w:rPr>
      </w:pPr>
      <w:r w:rsidRPr="00C970FB">
        <w:rPr>
          <w:b/>
        </w:rPr>
        <w:t>Opis Stanu projektowanego</w:t>
      </w:r>
    </w:p>
    <w:p w14:paraId="69C7888B" w14:textId="77777777" w:rsidR="003D2C6B" w:rsidRDefault="003D2C6B" w:rsidP="00715560">
      <w:pPr>
        <w:suppressAutoHyphens/>
        <w:spacing w:after="0" w:line="360" w:lineRule="auto"/>
        <w:ind w:firstLine="567"/>
        <w:jc w:val="both"/>
        <w:rPr>
          <w:iCs/>
        </w:rPr>
      </w:pPr>
      <w:r>
        <w:rPr>
          <w:iCs/>
        </w:rPr>
        <w:t>Zaprojektowano nowe oznakowanie pionowe i poziome oraz urządzenia bezpieczeństwa:</w:t>
      </w:r>
    </w:p>
    <w:p w14:paraId="25A860C1" w14:textId="1F392151" w:rsidR="00F66701" w:rsidRDefault="00F66701" w:rsidP="00F66701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iCs/>
        </w:rPr>
      </w:pPr>
      <w:r>
        <w:rPr>
          <w:iCs/>
        </w:rPr>
        <w:t>Znaki A-7 + D-2 przed skrzyżowaniem ulic Krakowska i Zielna.</w:t>
      </w:r>
    </w:p>
    <w:p w14:paraId="48446E7A" w14:textId="77777777" w:rsidR="00F66701" w:rsidRDefault="00F66701" w:rsidP="00F66701">
      <w:pPr>
        <w:suppressAutoHyphens/>
        <w:spacing w:after="0" w:line="360" w:lineRule="auto"/>
        <w:jc w:val="both"/>
        <w:rPr>
          <w:iCs/>
        </w:rPr>
      </w:pPr>
    </w:p>
    <w:p w14:paraId="7ADF469E" w14:textId="04646BB4" w:rsidR="00F66701" w:rsidRDefault="00F66701" w:rsidP="00F66701">
      <w:pPr>
        <w:suppressAutoHyphens/>
        <w:spacing w:after="0" w:line="360" w:lineRule="auto"/>
        <w:ind w:left="360"/>
        <w:jc w:val="both"/>
        <w:rPr>
          <w:iCs/>
        </w:rPr>
      </w:pPr>
      <w:r>
        <w:rPr>
          <w:iCs/>
        </w:rPr>
        <w:t>Oznakowanie pionowe przeznaczone do przeniesienia:</w:t>
      </w:r>
    </w:p>
    <w:p w14:paraId="6DBD8F0C" w14:textId="69F6DCBD" w:rsidR="00F66701" w:rsidRDefault="00F66701" w:rsidP="00F66701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iCs/>
        </w:rPr>
      </w:pPr>
      <w:r>
        <w:rPr>
          <w:iCs/>
        </w:rPr>
        <w:t>D-6 + T-27 – kolizja z projektowanym chodnikiem,</w:t>
      </w:r>
    </w:p>
    <w:p w14:paraId="08CF024B" w14:textId="1C3E891A" w:rsidR="00F66701" w:rsidRDefault="00F66701" w:rsidP="00F66701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iCs/>
        </w:rPr>
      </w:pPr>
      <w:r>
        <w:rPr>
          <w:iCs/>
        </w:rPr>
        <w:t>A-17 + A-16 – kolizja z projektowanym chodnikiem,</w:t>
      </w:r>
    </w:p>
    <w:p w14:paraId="76685980" w14:textId="1A9EC555" w:rsidR="00F66701" w:rsidRDefault="00F66701" w:rsidP="00F66701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iCs/>
        </w:rPr>
      </w:pPr>
      <w:r>
        <w:rPr>
          <w:iCs/>
        </w:rPr>
        <w:t xml:space="preserve">A-30 + T-16 – znak przeniesiono w ulicę Św. Faustyny, która jest drogą jednokierunkową, niedopuszczającą wyjazdu w ul. Krakowską. </w:t>
      </w:r>
    </w:p>
    <w:p w14:paraId="423284DD" w14:textId="75DF95EA" w:rsidR="00F66701" w:rsidRDefault="00AB5439" w:rsidP="00F66701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iCs/>
        </w:rPr>
      </w:pPr>
      <w:r>
        <w:rPr>
          <w:iCs/>
        </w:rPr>
        <w:t>A-17 na tablicy fluoroscencyjnej – do przeniesienia ze względu na konieczność zachowania wymaganych odległości pomiędzy oznakowaniem pionowym.</w:t>
      </w:r>
    </w:p>
    <w:p w14:paraId="4BE36599" w14:textId="77777777" w:rsidR="00F66701" w:rsidRPr="00F66701" w:rsidRDefault="00F66701" w:rsidP="00F66701">
      <w:pPr>
        <w:suppressAutoHyphens/>
        <w:spacing w:after="0" w:line="360" w:lineRule="auto"/>
        <w:jc w:val="both"/>
        <w:rPr>
          <w:iCs/>
        </w:rPr>
      </w:pPr>
    </w:p>
    <w:p w14:paraId="063AF797" w14:textId="1D0A76B6" w:rsidR="00F66701" w:rsidRDefault="00F66701" w:rsidP="00F66701">
      <w:pPr>
        <w:pStyle w:val="Akapitzlist"/>
        <w:suppressAutoHyphens/>
        <w:spacing w:after="0" w:line="360" w:lineRule="auto"/>
        <w:jc w:val="both"/>
        <w:rPr>
          <w:iCs/>
        </w:rPr>
      </w:pPr>
      <w:r>
        <w:rPr>
          <w:iCs/>
        </w:rPr>
        <w:t>Oznakowanie przeznaczone do likwidacji:</w:t>
      </w:r>
    </w:p>
    <w:p w14:paraId="3578EF92" w14:textId="18E7F0F0" w:rsidR="00F66701" w:rsidRDefault="00F66701" w:rsidP="00F66701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iCs/>
        </w:rPr>
      </w:pPr>
      <w:r>
        <w:rPr>
          <w:iCs/>
        </w:rPr>
        <w:t xml:space="preserve">T „Zmiana organizacji ruchu” przed skrzyżowaniem ulic Krakowska i Zielna – znaki zaprojektowano niezgodnie z Rozporządzeniem (dodatkowo, rondo funkcjonuje od ponad 2 tygodni). </w:t>
      </w:r>
    </w:p>
    <w:p w14:paraId="69A265BB" w14:textId="104D5A38" w:rsidR="00F750AF" w:rsidRPr="00F750AF" w:rsidRDefault="00F66701" w:rsidP="00F750AF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iCs/>
        </w:rPr>
      </w:pPr>
      <w:r>
        <w:rPr>
          <w:iCs/>
        </w:rPr>
        <w:t>A-7 na ulicy Marii – znak zostanie zastąpiony znakami D-46 i D-47.</w:t>
      </w:r>
    </w:p>
    <w:p w14:paraId="731CE3BB" w14:textId="77777777" w:rsidR="00254461" w:rsidRDefault="00254461" w:rsidP="00715560">
      <w:pPr>
        <w:suppressAutoHyphens/>
        <w:spacing w:after="0" w:line="360" w:lineRule="auto"/>
        <w:ind w:firstLine="567"/>
        <w:jc w:val="both"/>
        <w:rPr>
          <w:iCs/>
        </w:rPr>
      </w:pPr>
    </w:p>
    <w:p w14:paraId="14E5CCA8" w14:textId="39455F91" w:rsidR="00F750AF" w:rsidRDefault="00F750AF" w:rsidP="00F750AF">
      <w:pPr>
        <w:suppressAutoHyphens/>
        <w:spacing w:after="0" w:line="360" w:lineRule="auto"/>
        <w:ind w:firstLine="567"/>
        <w:jc w:val="both"/>
        <w:rPr>
          <w:iCs/>
        </w:rPr>
      </w:pPr>
      <w:r>
        <w:rPr>
          <w:iCs/>
        </w:rPr>
        <w:t>Projektowana infrastruktura:</w:t>
      </w:r>
    </w:p>
    <w:p w14:paraId="26CD4570" w14:textId="6EAD6AC4" w:rsidR="00F750AF" w:rsidRDefault="00F750AF" w:rsidP="00F750A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iCs/>
        </w:rPr>
      </w:pPr>
      <w:r>
        <w:rPr>
          <w:iCs/>
        </w:rPr>
        <w:t>Chodnik o szerokości 2 m z kostki betonowej koloru szarego.</w:t>
      </w:r>
    </w:p>
    <w:p w14:paraId="68967ADF" w14:textId="09BDEC11" w:rsidR="00F750AF" w:rsidRPr="00F750AF" w:rsidRDefault="00F750AF" w:rsidP="00F750AF">
      <w:pPr>
        <w:suppressAutoHyphens/>
        <w:spacing w:after="0" w:line="360" w:lineRule="auto"/>
        <w:jc w:val="center"/>
        <w:rPr>
          <w:iCs/>
        </w:rPr>
      </w:pPr>
      <w:r>
        <w:rPr>
          <w:iCs/>
          <w:noProof/>
        </w:rPr>
        <w:drawing>
          <wp:inline distT="0" distB="0" distL="0" distR="0" wp14:anchorId="626EECAC" wp14:editId="5144F8C7">
            <wp:extent cx="5025225" cy="1948036"/>
            <wp:effectExtent l="0" t="0" r="4445" b="0"/>
            <wp:docPr id="72324800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533" cy="1981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22B95" w14:textId="77777777" w:rsidR="006872CE" w:rsidRPr="00C970FB" w:rsidRDefault="006872CE" w:rsidP="00715560">
      <w:pPr>
        <w:pStyle w:val="Akapitzlist"/>
        <w:numPr>
          <w:ilvl w:val="0"/>
          <w:numId w:val="1"/>
        </w:numPr>
        <w:spacing w:after="0" w:line="240" w:lineRule="auto"/>
        <w:ind w:left="567" w:hanging="567"/>
        <w:outlineLvl w:val="0"/>
        <w:rPr>
          <w:b/>
        </w:rPr>
      </w:pPr>
      <w:r w:rsidRPr="00C970FB">
        <w:rPr>
          <w:b/>
        </w:rPr>
        <w:lastRenderedPageBreak/>
        <w:t>Warunki techniczne</w:t>
      </w:r>
    </w:p>
    <w:p w14:paraId="1C9ECC99" w14:textId="77777777" w:rsidR="00E1600C" w:rsidRPr="00C970FB" w:rsidRDefault="00E1600C" w:rsidP="00715560">
      <w:pPr>
        <w:suppressAutoHyphens/>
        <w:spacing w:after="0" w:line="360" w:lineRule="auto"/>
        <w:ind w:firstLine="567"/>
        <w:jc w:val="both"/>
        <w:rPr>
          <w:rFonts w:cs="Times New Roman"/>
        </w:rPr>
      </w:pPr>
      <w:r w:rsidRPr="00C970FB">
        <w:rPr>
          <w:rFonts w:cs="Times New Roman"/>
        </w:rPr>
        <w:t>Lokalizacja oznakowania winna zostać wybrana w terenie w sposób umożliwiający jego najlepszą widoczność, niekolidujący z wjazdami bramowymi i ciągami pieszymi/rowerowymi</w:t>
      </w:r>
      <w:r w:rsidR="00EE479E" w:rsidRPr="00C970FB">
        <w:rPr>
          <w:rFonts w:cs="Times New Roman"/>
        </w:rPr>
        <w:t xml:space="preserve"> itp</w:t>
      </w:r>
      <w:r w:rsidRPr="00C970FB">
        <w:rPr>
          <w:rFonts w:cs="Times New Roman"/>
        </w:rPr>
        <w:t>.</w:t>
      </w:r>
    </w:p>
    <w:p w14:paraId="131BB86A" w14:textId="73BDA6BA" w:rsidR="00E1600C" w:rsidRPr="00C970FB" w:rsidRDefault="00E1600C" w:rsidP="00715560">
      <w:pPr>
        <w:suppressAutoHyphens/>
        <w:spacing w:after="0" w:line="360" w:lineRule="auto"/>
        <w:ind w:firstLine="567"/>
        <w:jc w:val="both"/>
        <w:rPr>
          <w:rFonts w:cs="Times New Roman"/>
        </w:rPr>
      </w:pPr>
      <w:bookmarkStart w:id="1" w:name="_Toc17883205"/>
      <w:bookmarkStart w:id="2" w:name="_Toc35419668"/>
      <w:r w:rsidRPr="00C970FB">
        <w:rPr>
          <w:rFonts w:cs="Times New Roman"/>
        </w:rPr>
        <w:t xml:space="preserve">Oznakowanie oraz urządzenia bezpieczeństwa ruchu należy wykonać zgodnie z załącznikami 1,2,3,4 do </w:t>
      </w:r>
      <w:proofErr w:type="spellStart"/>
      <w:r w:rsidRPr="00C970FB">
        <w:rPr>
          <w:rFonts w:cs="Times New Roman"/>
        </w:rPr>
        <w:t>Rozp</w:t>
      </w:r>
      <w:proofErr w:type="spellEnd"/>
      <w:r w:rsidRPr="00C970FB">
        <w:rPr>
          <w:rFonts w:cs="Times New Roman"/>
        </w:rPr>
        <w:t xml:space="preserve">. Min. Infrastruktury z dnia 03.07.2003r w sprawie szczegółowych warunków technicznych dla znaków i sygnałów drogowych oraz urządzeń bezpieczeństwa ruchu drogowego </w:t>
      </w:r>
      <w:r w:rsidR="00003614">
        <w:rPr>
          <w:rFonts w:cs="Times New Roman"/>
        </w:rPr>
        <w:t xml:space="preserve">            </w:t>
      </w:r>
      <w:r w:rsidRPr="00C970FB">
        <w:rPr>
          <w:rFonts w:cs="Times New Roman"/>
        </w:rPr>
        <w:t>i warunków ich umieszczania na drogach. Dz. U nr 220 z dnia 23.12.2003r poz. 2181.</w:t>
      </w:r>
      <w:bookmarkEnd w:id="1"/>
      <w:bookmarkEnd w:id="2"/>
    </w:p>
    <w:p w14:paraId="666A55B1" w14:textId="77777777" w:rsidR="00AB5439" w:rsidRPr="00C970FB" w:rsidRDefault="00AB5439" w:rsidP="00C970FB">
      <w:pPr>
        <w:spacing w:after="0" w:line="360" w:lineRule="auto"/>
        <w:outlineLvl w:val="0"/>
        <w:rPr>
          <w:rFonts w:cs="Times New Roman"/>
        </w:rPr>
      </w:pPr>
    </w:p>
    <w:p w14:paraId="75536B6D" w14:textId="77777777" w:rsidR="00E1600C" w:rsidRPr="007F1096" w:rsidRDefault="00E1600C" w:rsidP="00C970FB">
      <w:pPr>
        <w:spacing w:after="0" w:line="360" w:lineRule="auto"/>
        <w:rPr>
          <w:rFonts w:eastAsia="Times New Roman" w:cs="Times New Roman"/>
          <w:u w:val="single"/>
          <w:lang w:eastAsia="pl-PL"/>
        </w:rPr>
      </w:pPr>
      <w:r w:rsidRPr="007F1096">
        <w:rPr>
          <w:rFonts w:eastAsia="Times New Roman" w:cs="Times New Roman"/>
          <w:u w:val="single"/>
          <w:lang w:eastAsia="pl-PL"/>
        </w:rPr>
        <w:t>Warunki wykonania oznakowania pionowego:</w:t>
      </w:r>
    </w:p>
    <w:p w14:paraId="1C4D3853" w14:textId="77777777" w:rsidR="00E1600C" w:rsidRPr="00C970FB" w:rsidRDefault="00824E8E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N</w:t>
      </w:r>
      <w:r w:rsidR="00E1600C" w:rsidRPr="00C970FB">
        <w:rPr>
          <w:rFonts w:eastAsia="Times New Roman" w:cs="Times New Roman"/>
          <w:lang w:eastAsia="pl-PL"/>
        </w:rPr>
        <w:t>ależy zastosować oznakowanie z grupy wielkości „</w:t>
      </w:r>
      <w:r>
        <w:rPr>
          <w:rFonts w:eastAsia="Times New Roman" w:cs="Times New Roman"/>
          <w:lang w:eastAsia="pl-PL"/>
        </w:rPr>
        <w:t>średnie</w:t>
      </w:r>
      <w:r w:rsidR="00E1600C" w:rsidRPr="00C970FB">
        <w:rPr>
          <w:rFonts w:eastAsia="Times New Roman" w:cs="Times New Roman"/>
          <w:lang w:eastAsia="pl-PL"/>
        </w:rPr>
        <w:t>”</w:t>
      </w:r>
      <w:r>
        <w:rPr>
          <w:rFonts w:eastAsia="Times New Roman" w:cs="Times New Roman"/>
          <w:lang w:eastAsia="pl-PL"/>
        </w:rPr>
        <w:t xml:space="preserve"> – dla drogi powiatowej oraz „małe” dla drogi gminnej.</w:t>
      </w:r>
    </w:p>
    <w:p w14:paraId="59768837" w14:textId="77777777" w:rsidR="00E1600C" w:rsidRPr="00F66701" w:rsidRDefault="00824E8E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T</w:t>
      </w:r>
      <w:r w:rsidR="00E1600C" w:rsidRPr="00C970FB">
        <w:rPr>
          <w:rFonts w:eastAsia="Times New Roman" w:cs="Times New Roman"/>
          <w:lang w:eastAsia="pl-PL"/>
        </w:rPr>
        <w:t>arcze znaków należy wykonać z blachy stalowej o krawędzi pod</w:t>
      </w:r>
      <w:r>
        <w:rPr>
          <w:rFonts w:eastAsia="Times New Roman" w:cs="Times New Roman"/>
          <w:lang w:eastAsia="pl-PL"/>
        </w:rPr>
        <w:t xml:space="preserve">wójnie giętej na całym </w:t>
      </w:r>
      <w:r w:rsidRPr="00F66701">
        <w:rPr>
          <w:rFonts w:eastAsia="Times New Roman" w:cs="Times New Roman"/>
          <w:lang w:eastAsia="pl-PL"/>
        </w:rPr>
        <w:t>obwodzie.</w:t>
      </w:r>
    </w:p>
    <w:p w14:paraId="324A8D7F" w14:textId="73484B22" w:rsidR="007B1F10" w:rsidRPr="00F66701" w:rsidRDefault="00824E8E" w:rsidP="007B1F1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  <w:rPr>
          <w:rFonts w:eastAsia="Times New Roman" w:cs="Times New Roman"/>
          <w:lang w:eastAsia="pl-PL"/>
        </w:rPr>
      </w:pPr>
      <w:r w:rsidRPr="00F66701">
        <w:rPr>
          <w:rFonts w:eastAsia="Times New Roman" w:cs="Times New Roman"/>
          <w:lang w:eastAsia="pl-PL"/>
        </w:rPr>
        <w:t>L</w:t>
      </w:r>
      <w:r w:rsidR="00E1600C" w:rsidRPr="00F66701">
        <w:rPr>
          <w:rFonts w:eastAsia="Times New Roman" w:cs="Times New Roman"/>
          <w:lang w:eastAsia="pl-PL"/>
        </w:rPr>
        <w:t xml:space="preserve">ico znaków winno być pokryte materiałem </w:t>
      </w:r>
      <w:r w:rsidR="008E47FD" w:rsidRPr="00F66701">
        <w:rPr>
          <w:rFonts w:eastAsia="Times New Roman" w:cs="Times New Roman"/>
          <w:lang w:eastAsia="pl-PL"/>
        </w:rPr>
        <w:t xml:space="preserve">odblaskowym – folia </w:t>
      </w:r>
      <w:r w:rsidR="00E1600C" w:rsidRPr="00F66701">
        <w:rPr>
          <w:rFonts w:eastAsia="Times New Roman" w:cs="Times New Roman"/>
          <w:lang w:eastAsia="pl-PL"/>
        </w:rPr>
        <w:t>I typu</w:t>
      </w:r>
      <w:r w:rsidR="00F66701" w:rsidRPr="00F66701">
        <w:rPr>
          <w:rFonts w:eastAsia="Times New Roman" w:cs="Times New Roman"/>
          <w:lang w:eastAsia="pl-PL"/>
        </w:rPr>
        <w:t>.</w:t>
      </w:r>
    </w:p>
    <w:p w14:paraId="341E8C4D" w14:textId="7122FC8D" w:rsidR="00D54FB0" w:rsidRPr="003D7D27" w:rsidRDefault="00D54FB0" w:rsidP="007B1F1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  <w:rPr>
          <w:rFonts w:eastAsia="Times New Roman" w:cs="Times New Roman"/>
          <w:lang w:eastAsia="pl-PL"/>
        </w:rPr>
      </w:pPr>
      <w:r w:rsidRPr="00F66701">
        <w:rPr>
          <w:color w:val="000000"/>
        </w:rPr>
        <w:t>Znaki należy umieścić na słupkach uniemożliwiających ich przypadkowe</w:t>
      </w:r>
      <w:r w:rsidRPr="003D7D27">
        <w:rPr>
          <w:color w:val="000000"/>
        </w:rPr>
        <w:t xml:space="preserve"> wywrócenie, przestawienie lub obrócenie z zachowaniem odpowiedniej skrajni pionowej oraz poziomej. </w:t>
      </w:r>
    </w:p>
    <w:p w14:paraId="12F93C4B" w14:textId="77777777" w:rsidR="00D54FB0" w:rsidRPr="003D7D27" w:rsidRDefault="00D54FB0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  <w:rPr>
          <w:color w:val="000000"/>
        </w:rPr>
      </w:pPr>
      <w:r w:rsidRPr="003D7D27">
        <w:rPr>
          <w:color w:val="000000"/>
        </w:rPr>
        <w:t xml:space="preserve">Do znaków drogowych zastosować słupki metalowe, ocynkowane o średnicy </w:t>
      </w:r>
      <w:r w:rsidRPr="005D4A3B">
        <w:rPr>
          <w:rFonts w:ascii="Symbol" w:hAnsi="Symbol"/>
          <w:caps/>
        </w:rPr>
        <w:t></w:t>
      </w:r>
      <w:r>
        <w:rPr>
          <w:rFonts w:ascii="Symbol" w:hAnsi="Symbol"/>
          <w:caps/>
        </w:rPr>
        <w:t></w:t>
      </w:r>
      <w:r>
        <w:rPr>
          <w:rFonts w:ascii="Symbol" w:hAnsi="Symbol"/>
          <w:caps/>
        </w:rPr>
        <w:t></w:t>
      </w:r>
      <w:r>
        <w:rPr>
          <w:rFonts w:ascii="Symbol" w:hAnsi="Symbol"/>
          <w:caps/>
        </w:rPr>
        <w:t></w:t>
      </w:r>
      <w:r>
        <w:rPr>
          <w:rFonts w:ascii="Symbol" w:hAnsi="Symbol"/>
          <w:caps/>
        </w:rPr>
        <w:t></w:t>
      </w:r>
      <w:r>
        <w:rPr>
          <w:rFonts w:ascii="Symbol" w:hAnsi="Symbol"/>
          <w:caps/>
        </w:rPr>
        <w:t></w:t>
      </w:r>
      <w:r w:rsidRPr="003D7D27">
        <w:rPr>
          <w:color w:val="000000"/>
        </w:rPr>
        <w:t>mm. O grubości ścianki 3,2 mm.</w:t>
      </w:r>
    </w:p>
    <w:p w14:paraId="0BFA5A22" w14:textId="77777777" w:rsidR="007F1096" w:rsidRPr="00C970FB" w:rsidRDefault="007F1096" w:rsidP="00715560">
      <w:pPr>
        <w:widowControl w:val="0"/>
        <w:tabs>
          <w:tab w:val="left" w:pos="786"/>
        </w:tabs>
        <w:suppressAutoHyphens/>
        <w:spacing w:after="0" w:line="360" w:lineRule="auto"/>
        <w:ind w:left="567"/>
        <w:rPr>
          <w:rFonts w:eastAsia="Times New Roman" w:cs="Times New Roman"/>
          <w:lang w:eastAsia="pl-PL"/>
        </w:rPr>
      </w:pPr>
    </w:p>
    <w:p w14:paraId="1E608D57" w14:textId="77777777" w:rsidR="00E1600C" w:rsidRPr="007F1096" w:rsidRDefault="00E1600C" w:rsidP="00715560">
      <w:pPr>
        <w:spacing w:after="0" w:line="360" w:lineRule="auto"/>
        <w:ind w:left="567" w:firstLine="567"/>
        <w:rPr>
          <w:rFonts w:eastAsia="Times New Roman" w:cs="Times New Roman"/>
          <w:u w:val="single"/>
          <w:lang w:eastAsia="pl-PL"/>
        </w:rPr>
      </w:pPr>
      <w:r w:rsidRPr="007F1096">
        <w:rPr>
          <w:rFonts w:eastAsia="Times New Roman" w:cs="Times New Roman"/>
          <w:u w:val="single"/>
          <w:lang w:eastAsia="pl-PL"/>
        </w:rPr>
        <w:t>Warunki wykonania oznakowania poziomego:</w:t>
      </w:r>
    </w:p>
    <w:p w14:paraId="791B04EA" w14:textId="73EEA7CD" w:rsidR="00E1600C" w:rsidRDefault="00A5468A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  <w:rPr>
          <w:rFonts w:eastAsia="Times New Roman" w:cs="Times New Roman"/>
          <w:lang w:eastAsia="pl-PL"/>
        </w:rPr>
      </w:pPr>
      <w:r w:rsidRPr="00C970FB">
        <w:rPr>
          <w:rFonts w:eastAsia="Times New Roman" w:cs="Times New Roman"/>
          <w:lang w:eastAsia="pl-PL"/>
        </w:rPr>
        <w:t>Malowanie</w:t>
      </w:r>
      <w:r w:rsidR="00E1600C" w:rsidRPr="00C970FB">
        <w:rPr>
          <w:rFonts w:eastAsia="Times New Roman" w:cs="Times New Roman"/>
          <w:lang w:eastAsia="pl-PL"/>
        </w:rPr>
        <w:t xml:space="preserve"> oznakowania poziomego należy wykonać w technologi</w:t>
      </w:r>
      <w:r w:rsidR="006E12F7" w:rsidRPr="00C970FB">
        <w:rPr>
          <w:rFonts w:eastAsia="Times New Roman" w:cs="Times New Roman"/>
          <w:lang w:eastAsia="pl-PL"/>
        </w:rPr>
        <w:t xml:space="preserve">i </w:t>
      </w:r>
      <w:r w:rsidR="008515A2">
        <w:rPr>
          <w:rFonts w:eastAsia="Times New Roman" w:cs="Times New Roman"/>
          <w:lang w:eastAsia="pl-PL"/>
        </w:rPr>
        <w:t>cienkowarstwowej</w:t>
      </w:r>
      <w:r w:rsidR="006E12F7" w:rsidRPr="00C970FB">
        <w:rPr>
          <w:rFonts w:eastAsia="Times New Roman" w:cs="Times New Roman"/>
          <w:lang w:eastAsia="pl-PL"/>
        </w:rPr>
        <w:t xml:space="preserve">. </w:t>
      </w:r>
      <w:r w:rsidR="00E1600C" w:rsidRPr="00C970FB">
        <w:rPr>
          <w:rFonts w:eastAsia="Times New Roman" w:cs="Times New Roman"/>
          <w:lang w:eastAsia="pl-PL"/>
        </w:rPr>
        <w:t xml:space="preserve"> </w:t>
      </w:r>
    </w:p>
    <w:p w14:paraId="1C987BB2" w14:textId="77777777" w:rsidR="005928DE" w:rsidRPr="005928DE" w:rsidRDefault="005928DE" w:rsidP="005928DE">
      <w:pPr>
        <w:spacing w:after="0" w:line="360" w:lineRule="auto"/>
        <w:rPr>
          <w:rFonts w:eastAsia="Times New Roman" w:cs="Times New Roman"/>
          <w:lang w:eastAsia="pl-PL"/>
        </w:rPr>
      </w:pPr>
    </w:p>
    <w:p w14:paraId="20CE2AB7" w14:textId="77777777" w:rsidR="005928DE" w:rsidRPr="00CE297F" w:rsidRDefault="005928DE" w:rsidP="00715560">
      <w:pPr>
        <w:spacing w:after="0" w:line="360" w:lineRule="auto"/>
        <w:ind w:firstLine="567"/>
        <w:jc w:val="both"/>
        <w:rPr>
          <w:rFonts w:eastAsia="Times New Roman" w:cs="Times New Roman"/>
          <w:b/>
          <w:lang w:eastAsia="pl-PL"/>
        </w:rPr>
      </w:pPr>
      <w:r w:rsidRPr="00CE297F">
        <w:rPr>
          <w:rFonts w:eastAsia="Times New Roman" w:cs="Times New Roman"/>
          <w:b/>
          <w:lang w:eastAsia="pl-PL"/>
        </w:rPr>
        <w:t>Uwagi ogólne:</w:t>
      </w:r>
    </w:p>
    <w:p w14:paraId="059B52F2" w14:textId="77777777" w:rsidR="00990AFD" w:rsidRPr="00990AFD" w:rsidRDefault="005928DE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  <w:rPr>
          <w:color w:val="000000"/>
        </w:rPr>
      </w:pPr>
      <w:r w:rsidRPr="00990AFD">
        <w:rPr>
          <w:rFonts w:eastAsia="Times New Roman" w:cs="Times New Roman"/>
          <w:lang w:eastAsia="pl-PL"/>
        </w:rPr>
        <w:t>Bezwzględnie należy uwzględnić uwagi zawarte w zatwierdzeniu.</w:t>
      </w:r>
    </w:p>
    <w:p w14:paraId="252D3E4A" w14:textId="77777777" w:rsidR="00F750AF" w:rsidRPr="00C970FB" w:rsidRDefault="00F750AF" w:rsidP="00C970FB">
      <w:pPr>
        <w:spacing w:after="0" w:line="360" w:lineRule="auto"/>
        <w:outlineLvl w:val="0"/>
        <w:rPr>
          <w:b/>
        </w:rPr>
      </w:pPr>
    </w:p>
    <w:p w14:paraId="2E5BBEE1" w14:textId="77777777" w:rsidR="006872CE" w:rsidRPr="00C970FB" w:rsidRDefault="006872CE" w:rsidP="00715560">
      <w:pPr>
        <w:pStyle w:val="Akapitzlist"/>
        <w:numPr>
          <w:ilvl w:val="0"/>
          <w:numId w:val="1"/>
        </w:numPr>
        <w:spacing w:after="0" w:line="240" w:lineRule="auto"/>
        <w:ind w:left="567" w:hanging="567"/>
        <w:outlineLvl w:val="0"/>
        <w:rPr>
          <w:b/>
        </w:rPr>
      </w:pPr>
      <w:r w:rsidRPr="00C970FB">
        <w:rPr>
          <w:b/>
        </w:rPr>
        <w:t>Termin wprowadzenia</w:t>
      </w:r>
    </w:p>
    <w:p w14:paraId="10B696E8" w14:textId="69F9C0D6" w:rsidR="00EE479E" w:rsidRPr="00C970FB" w:rsidRDefault="00EE479E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</w:pPr>
      <w:bookmarkStart w:id="3" w:name="_Toc17883207"/>
      <w:bookmarkStart w:id="4" w:name="_Toc35419670"/>
      <w:r w:rsidRPr="00C970FB">
        <w:t xml:space="preserve">Przewidywany termin wprowadzenia organizacji ruchu wynikającej z niniejszego pracowania: </w:t>
      </w:r>
      <w:r w:rsidR="00EB0EE2">
        <w:t>do końca grudnia 202</w:t>
      </w:r>
      <w:r w:rsidR="00497D0E">
        <w:t>5</w:t>
      </w:r>
      <w:r w:rsidRPr="00C970FB">
        <w:t xml:space="preserve"> r</w:t>
      </w:r>
      <w:bookmarkEnd w:id="3"/>
      <w:r w:rsidR="00EB0EE2">
        <w:t>.</w:t>
      </w:r>
      <w:bookmarkEnd w:id="4"/>
      <w:r w:rsidR="00EB0EE2">
        <w:t xml:space="preserve"> </w:t>
      </w:r>
    </w:p>
    <w:p w14:paraId="5A33F1E1" w14:textId="77777777" w:rsidR="00011519" w:rsidRPr="00C970FB" w:rsidRDefault="00011519" w:rsidP="00C970FB">
      <w:pPr>
        <w:spacing w:after="0" w:line="360" w:lineRule="auto"/>
        <w:outlineLvl w:val="0"/>
      </w:pPr>
    </w:p>
    <w:p w14:paraId="5E0C1B0F" w14:textId="77777777" w:rsidR="006E12F7" w:rsidRPr="00C970FB" w:rsidRDefault="006872CE" w:rsidP="00715560">
      <w:pPr>
        <w:pStyle w:val="Akapitzlist"/>
        <w:numPr>
          <w:ilvl w:val="0"/>
          <w:numId w:val="1"/>
        </w:numPr>
        <w:spacing w:after="0" w:line="240" w:lineRule="auto"/>
        <w:ind w:left="567" w:hanging="567"/>
        <w:outlineLvl w:val="0"/>
        <w:rPr>
          <w:b/>
        </w:rPr>
      </w:pPr>
      <w:r w:rsidRPr="00C970FB">
        <w:rPr>
          <w:b/>
        </w:rPr>
        <w:t xml:space="preserve">Część rysunkowa </w:t>
      </w:r>
    </w:p>
    <w:p w14:paraId="1176FFAB" w14:textId="77777777" w:rsidR="006E12F7" w:rsidRPr="00C970FB" w:rsidRDefault="006E12F7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</w:pPr>
      <w:bookmarkStart w:id="5" w:name="_Toc17883215"/>
      <w:bookmarkStart w:id="6" w:name="_Toc35419672"/>
      <w:r w:rsidRPr="00C970FB">
        <w:t>Rys. 0 – Plan orientacyjny w skali 1:10000,</w:t>
      </w:r>
      <w:bookmarkEnd w:id="5"/>
      <w:bookmarkEnd w:id="6"/>
    </w:p>
    <w:p w14:paraId="1D3B0835" w14:textId="54E0E733" w:rsidR="00CE297F" w:rsidRPr="00C970FB" w:rsidRDefault="006E12F7" w:rsidP="00715560">
      <w:pPr>
        <w:numPr>
          <w:ilvl w:val="0"/>
          <w:numId w:val="15"/>
        </w:numPr>
        <w:suppressAutoHyphens/>
        <w:spacing w:after="0" w:line="360" w:lineRule="auto"/>
        <w:ind w:left="567" w:hanging="567"/>
        <w:jc w:val="both"/>
      </w:pPr>
      <w:bookmarkStart w:id="7" w:name="_Toc17883216"/>
      <w:bookmarkStart w:id="8" w:name="_Toc35419673"/>
      <w:r w:rsidRPr="00C970FB">
        <w:t xml:space="preserve">Rys. 1 – </w:t>
      </w:r>
      <w:r w:rsidR="00CE297F">
        <w:t>Stała</w:t>
      </w:r>
      <w:r w:rsidRPr="00C970FB">
        <w:t xml:space="preserve"> organizacja ruch</w:t>
      </w:r>
      <w:bookmarkEnd w:id="7"/>
      <w:bookmarkEnd w:id="8"/>
      <w:r w:rsidR="00011519">
        <w:t>u.</w:t>
      </w:r>
    </w:p>
    <w:p w14:paraId="43F4E452" w14:textId="15D33881" w:rsidR="007E362F" w:rsidRPr="00A509B9" w:rsidRDefault="007E362F" w:rsidP="00011519">
      <w:pPr>
        <w:pStyle w:val="Akapitzlist"/>
        <w:spacing w:after="0" w:line="360" w:lineRule="auto"/>
        <w:outlineLvl w:val="0"/>
        <w:rPr>
          <w:b/>
        </w:rPr>
      </w:pPr>
    </w:p>
    <w:sectPr w:rsidR="007E362F" w:rsidRPr="00A509B9" w:rsidSect="0001151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B88EE" w14:textId="77777777" w:rsidR="00F66701" w:rsidRDefault="00F66701" w:rsidP="00D6256B">
      <w:pPr>
        <w:spacing w:after="0" w:line="240" w:lineRule="auto"/>
      </w:pPr>
      <w:r>
        <w:separator/>
      </w:r>
    </w:p>
  </w:endnote>
  <w:endnote w:type="continuationSeparator" w:id="0">
    <w:p w14:paraId="70DD4C98" w14:textId="77777777" w:rsidR="00F66701" w:rsidRDefault="00F66701" w:rsidP="00D6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56214457"/>
      <w:docPartObj>
        <w:docPartGallery w:val="Page Numbers (Bottom of Page)"/>
        <w:docPartUnique/>
      </w:docPartObj>
    </w:sdtPr>
    <w:sdtEndPr/>
    <w:sdtContent>
      <w:p w14:paraId="166E89B6" w14:textId="77777777" w:rsidR="00F66701" w:rsidRDefault="00F667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B5439" w:rsidRPr="00AB5439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9A5D898" w14:textId="77777777" w:rsidR="00F66701" w:rsidRDefault="00F66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B935E" w14:textId="77777777" w:rsidR="00F66701" w:rsidRDefault="00F66701" w:rsidP="00D6256B">
      <w:pPr>
        <w:spacing w:after="0" w:line="240" w:lineRule="auto"/>
      </w:pPr>
      <w:r>
        <w:separator/>
      </w:r>
    </w:p>
  </w:footnote>
  <w:footnote w:type="continuationSeparator" w:id="0">
    <w:p w14:paraId="379E36ED" w14:textId="77777777" w:rsidR="00F66701" w:rsidRDefault="00F66701" w:rsidP="00D6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C5198" w14:textId="77777777" w:rsidR="00F66701" w:rsidRDefault="00F66701" w:rsidP="00EE479E">
    <w:pPr>
      <w:pStyle w:val="Nagwek"/>
      <w:jc w:val="right"/>
    </w:pPr>
    <w:r>
      <w:t>Stała organizacja ruchu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pl-PL"/>
      </w:rPr>
    </w:lvl>
  </w:abstractNum>
  <w:abstractNum w:abstractNumId="1" w15:restartNumberingAfterBreak="0">
    <w:nsid w:val="07601128"/>
    <w:multiLevelType w:val="hybridMultilevel"/>
    <w:tmpl w:val="7D2EC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B05C9"/>
    <w:multiLevelType w:val="multilevel"/>
    <w:tmpl w:val="1A80EE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3B10314"/>
    <w:multiLevelType w:val="hybridMultilevel"/>
    <w:tmpl w:val="AC9ED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C7F7D"/>
    <w:multiLevelType w:val="hybridMultilevel"/>
    <w:tmpl w:val="64A20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71330"/>
    <w:multiLevelType w:val="multilevel"/>
    <w:tmpl w:val="44E8C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49B4A8B"/>
    <w:multiLevelType w:val="hybridMultilevel"/>
    <w:tmpl w:val="085289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987288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F42166C"/>
    <w:multiLevelType w:val="hybridMultilevel"/>
    <w:tmpl w:val="4724B07C"/>
    <w:lvl w:ilvl="0" w:tplc="000000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13096"/>
    <w:multiLevelType w:val="hybridMultilevel"/>
    <w:tmpl w:val="6BE4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42AFA"/>
    <w:multiLevelType w:val="hybridMultilevel"/>
    <w:tmpl w:val="25FE0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F274C"/>
    <w:multiLevelType w:val="hybridMultilevel"/>
    <w:tmpl w:val="8EA85D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915F1"/>
    <w:multiLevelType w:val="hybridMultilevel"/>
    <w:tmpl w:val="2F02C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825DF"/>
    <w:multiLevelType w:val="hybridMultilevel"/>
    <w:tmpl w:val="0694D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E0A7B"/>
    <w:multiLevelType w:val="hybridMultilevel"/>
    <w:tmpl w:val="5EA68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04307"/>
    <w:multiLevelType w:val="hybridMultilevel"/>
    <w:tmpl w:val="583C4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60410">
    <w:abstractNumId w:val="5"/>
  </w:num>
  <w:num w:numId="2" w16cid:durableId="85275649">
    <w:abstractNumId w:val="11"/>
  </w:num>
  <w:num w:numId="3" w16cid:durableId="135880512">
    <w:abstractNumId w:val="14"/>
  </w:num>
  <w:num w:numId="4" w16cid:durableId="205028946">
    <w:abstractNumId w:val="7"/>
  </w:num>
  <w:num w:numId="5" w16cid:durableId="1184397608">
    <w:abstractNumId w:val="8"/>
  </w:num>
  <w:num w:numId="6" w16cid:durableId="464548760">
    <w:abstractNumId w:val="15"/>
  </w:num>
  <w:num w:numId="7" w16cid:durableId="920869412">
    <w:abstractNumId w:val="13"/>
  </w:num>
  <w:num w:numId="8" w16cid:durableId="1476291980">
    <w:abstractNumId w:val="4"/>
  </w:num>
  <w:num w:numId="9" w16cid:durableId="1881432300">
    <w:abstractNumId w:val="12"/>
  </w:num>
  <w:num w:numId="10" w16cid:durableId="1126703260">
    <w:abstractNumId w:val="6"/>
  </w:num>
  <w:num w:numId="11" w16cid:durableId="859321135">
    <w:abstractNumId w:val="3"/>
  </w:num>
  <w:num w:numId="12" w16cid:durableId="771240584">
    <w:abstractNumId w:val="0"/>
  </w:num>
  <w:num w:numId="13" w16cid:durableId="361169815">
    <w:abstractNumId w:val="1"/>
  </w:num>
  <w:num w:numId="14" w16cid:durableId="828717361">
    <w:abstractNumId w:val="0"/>
  </w:num>
  <w:num w:numId="15" w16cid:durableId="2105420620">
    <w:abstractNumId w:val="2"/>
  </w:num>
  <w:num w:numId="16" w16cid:durableId="1628467185">
    <w:abstractNumId w:val="10"/>
  </w:num>
  <w:num w:numId="17" w16cid:durableId="10219734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851"/>
    <w:rsid w:val="00003614"/>
    <w:rsid w:val="00011519"/>
    <w:rsid w:val="00012154"/>
    <w:rsid w:val="00014D51"/>
    <w:rsid w:val="00024C5A"/>
    <w:rsid w:val="00036153"/>
    <w:rsid w:val="00080BA8"/>
    <w:rsid w:val="0008182D"/>
    <w:rsid w:val="00096690"/>
    <w:rsid w:val="000F4D7A"/>
    <w:rsid w:val="000F53A3"/>
    <w:rsid w:val="00135C11"/>
    <w:rsid w:val="001F10DC"/>
    <w:rsid w:val="00230755"/>
    <w:rsid w:val="00254461"/>
    <w:rsid w:val="0029416E"/>
    <w:rsid w:val="002E3091"/>
    <w:rsid w:val="00343DDE"/>
    <w:rsid w:val="003663A1"/>
    <w:rsid w:val="003945DC"/>
    <w:rsid w:val="003A42E7"/>
    <w:rsid w:val="003C527E"/>
    <w:rsid w:val="003D2C6B"/>
    <w:rsid w:val="003F4C4D"/>
    <w:rsid w:val="00424DD5"/>
    <w:rsid w:val="00427FDA"/>
    <w:rsid w:val="004415A2"/>
    <w:rsid w:val="00452899"/>
    <w:rsid w:val="004620A7"/>
    <w:rsid w:val="00462A36"/>
    <w:rsid w:val="00497D0E"/>
    <w:rsid w:val="004A228F"/>
    <w:rsid w:val="004B0C14"/>
    <w:rsid w:val="004B4896"/>
    <w:rsid w:val="004B6960"/>
    <w:rsid w:val="004C0C86"/>
    <w:rsid w:val="004E0666"/>
    <w:rsid w:val="004F5FF0"/>
    <w:rsid w:val="0051723B"/>
    <w:rsid w:val="00534B91"/>
    <w:rsid w:val="00565F4E"/>
    <w:rsid w:val="005928DE"/>
    <w:rsid w:val="00594186"/>
    <w:rsid w:val="00645E4B"/>
    <w:rsid w:val="00645FA8"/>
    <w:rsid w:val="00673AE2"/>
    <w:rsid w:val="006872CE"/>
    <w:rsid w:val="00692521"/>
    <w:rsid w:val="006E12F7"/>
    <w:rsid w:val="00715560"/>
    <w:rsid w:val="00757960"/>
    <w:rsid w:val="007921BD"/>
    <w:rsid w:val="007935FC"/>
    <w:rsid w:val="007A0966"/>
    <w:rsid w:val="007B01C3"/>
    <w:rsid w:val="007B1F10"/>
    <w:rsid w:val="007B354A"/>
    <w:rsid w:val="007E3060"/>
    <w:rsid w:val="007E362F"/>
    <w:rsid w:val="007E7CEF"/>
    <w:rsid w:val="007F1096"/>
    <w:rsid w:val="00824E8E"/>
    <w:rsid w:val="00835362"/>
    <w:rsid w:val="008515A2"/>
    <w:rsid w:val="0086076D"/>
    <w:rsid w:val="008638EC"/>
    <w:rsid w:val="008731A0"/>
    <w:rsid w:val="008938D1"/>
    <w:rsid w:val="008B0634"/>
    <w:rsid w:val="008D6B65"/>
    <w:rsid w:val="008E2F80"/>
    <w:rsid w:val="008E47FD"/>
    <w:rsid w:val="0093328D"/>
    <w:rsid w:val="00955B89"/>
    <w:rsid w:val="009727DB"/>
    <w:rsid w:val="00983F1D"/>
    <w:rsid w:val="00990AFD"/>
    <w:rsid w:val="009C5C23"/>
    <w:rsid w:val="00A2103B"/>
    <w:rsid w:val="00A43E0D"/>
    <w:rsid w:val="00A509B9"/>
    <w:rsid w:val="00A519A9"/>
    <w:rsid w:val="00A52851"/>
    <w:rsid w:val="00A5468A"/>
    <w:rsid w:val="00A55D1B"/>
    <w:rsid w:val="00A60976"/>
    <w:rsid w:val="00A704D5"/>
    <w:rsid w:val="00A72726"/>
    <w:rsid w:val="00A82130"/>
    <w:rsid w:val="00AB21BC"/>
    <w:rsid w:val="00AB3C80"/>
    <w:rsid w:val="00AB5439"/>
    <w:rsid w:val="00AD400B"/>
    <w:rsid w:val="00AD46C6"/>
    <w:rsid w:val="00AF40B9"/>
    <w:rsid w:val="00B103D2"/>
    <w:rsid w:val="00B62D72"/>
    <w:rsid w:val="00BC21B0"/>
    <w:rsid w:val="00BC5EDF"/>
    <w:rsid w:val="00BC67AC"/>
    <w:rsid w:val="00BD43D2"/>
    <w:rsid w:val="00BD73FE"/>
    <w:rsid w:val="00BE1ADC"/>
    <w:rsid w:val="00C04E50"/>
    <w:rsid w:val="00C0722B"/>
    <w:rsid w:val="00C2341E"/>
    <w:rsid w:val="00C3213D"/>
    <w:rsid w:val="00C726DA"/>
    <w:rsid w:val="00C732B9"/>
    <w:rsid w:val="00C740C8"/>
    <w:rsid w:val="00C970FB"/>
    <w:rsid w:val="00CC2417"/>
    <w:rsid w:val="00CC42FB"/>
    <w:rsid w:val="00CD3669"/>
    <w:rsid w:val="00CE297F"/>
    <w:rsid w:val="00D14E63"/>
    <w:rsid w:val="00D37A41"/>
    <w:rsid w:val="00D45613"/>
    <w:rsid w:val="00D54FB0"/>
    <w:rsid w:val="00D6256B"/>
    <w:rsid w:val="00DA211F"/>
    <w:rsid w:val="00E0449F"/>
    <w:rsid w:val="00E10A31"/>
    <w:rsid w:val="00E10AD3"/>
    <w:rsid w:val="00E1600C"/>
    <w:rsid w:val="00E25E94"/>
    <w:rsid w:val="00E34DCB"/>
    <w:rsid w:val="00E877E6"/>
    <w:rsid w:val="00E90ECD"/>
    <w:rsid w:val="00EB0EE2"/>
    <w:rsid w:val="00EB3379"/>
    <w:rsid w:val="00EE1C74"/>
    <w:rsid w:val="00EE479E"/>
    <w:rsid w:val="00F00133"/>
    <w:rsid w:val="00F02809"/>
    <w:rsid w:val="00F3667C"/>
    <w:rsid w:val="00F430F6"/>
    <w:rsid w:val="00F53495"/>
    <w:rsid w:val="00F631AF"/>
    <w:rsid w:val="00F66701"/>
    <w:rsid w:val="00F750AF"/>
    <w:rsid w:val="00FD3ECA"/>
    <w:rsid w:val="00FE766C"/>
    <w:rsid w:val="00F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FDD6"/>
  <w15:docId w15:val="{F60831F7-0E30-4DFD-88FB-3BA57AEF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72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72CE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6872CE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B21BC"/>
    <w:pPr>
      <w:tabs>
        <w:tab w:val="left" w:pos="440"/>
        <w:tab w:val="right" w:leader="dot" w:pos="9062"/>
      </w:tabs>
      <w:spacing w:after="100"/>
    </w:pPr>
    <w:rPr>
      <w:b/>
      <w:noProof/>
      <w:color w:val="000000" w:themeColor="text1"/>
    </w:rPr>
  </w:style>
  <w:style w:type="character" w:styleId="Hipercze">
    <w:name w:val="Hyperlink"/>
    <w:basedOn w:val="Domylnaczcionkaakapitu"/>
    <w:uiPriority w:val="99"/>
    <w:unhideWhenUsed/>
    <w:rsid w:val="006872C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6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56B"/>
  </w:style>
  <w:style w:type="paragraph" w:styleId="Stopka">
    <w:name w:val="footer"/>
    <w:basedOn w:val="Normalny"/>
    <w:link w:val="StopkaZnak"/>
    <w:uiPriority w:val="99"/>
    <w:unhideWhenUsed/>
    <w:rsid w:val="00D6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5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47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47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79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0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0E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0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EE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2100004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7FDAC-1D8F-4460-A91C-38E37CAC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748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Mariusz</cp:lastModifiedBy>
  <cp:revision>118</cp:revision>
  <cp:lastPrinted>2020-03-18T12:44:00Z</cp:lastPrinted>
  <dcterms:created xsi:type="dcterms:W3CDTF">2019-08-28T05:56:00Z</dcterms:created>
  <dcterms:modified xsi:type="dcterms:W3CDTF">2023-06-16T06:56:00Z</dcterms:modified>
</cp:coreProperties>
</file>