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FAFC6" w14:textId="77777777" w:rsidR="00BB649B" w:rsidRDefault="00BB649B" w:rsidP="003B51D9">
      <w:pPr>
        <w:spacing w:line="360" w:lineRule="auto"/>
        <w:ind w:left="-567" w:right="-58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47A719E4" w14:textId="77777777" w:rsidR="00866DC7" w:rsidRPr="00FE6BE2" w:rsidRDefault="00866DC7" w:rsidP="003B51D9">
      <w:pPr>
        <w:spacing w:line="360" w:lineRule="auto"/>
        <w:ind w:left="-567" w:right="-58"/>
        <w:jc w:val="center"/>
        <w:rPr>
          <w:rFonts w:ascii="Arial" w:hAnsi="Arial" w:cs="Arial"/>
          <w:b/>
          <w:bCs/>
          <w:sz w:val="24"/>
          <w:szCs w:val="24"/>
          <w:lang w:val="pl-PL"/>
        </w:rPr>
      </w:pPr>
      <w:r w:rsidRPr="00FE6BE2">
        <w:rPr>
          <w:rFonts w:ascii="Arial" w:hAnsi="Arial" w:cs="Arial"/>
          <w:b/>
          <w:bCs/>
          <w:sz w:val="24"/>
          <w:szCs w:val="24"/>
          <w:lang w:val="pl-PL"/>
        </w:rPr>
        <w:t xml:space="preserve">Uszczegółowienie </w:t>
      </w:r>
      <w:r w:rsidR="00930EC2" w:rsidRPr="00FE6BE2">
        <w:rPr>
          <w:rFonts w:ascii="Arial" w:hAnsi="Arial" w:cs="Arial"/>
          <w:b/>
          <w:bCs/>
          <w:sz w:val="24"/>
          <w:szCs w:val="24"/>
          <w:lang w:val="pl-PL"/>
        </w:rPr>
        <w:t>programu funkcjonalno-użytkowego</w:t>
      </w:r>
    </w:p>
    <w:p w14:paraId="70992D4C" w14:textId="77777777" w:rsidR="00866DC7" w:rsidRPr="00FE6BE2" w:rsidRDefault="00866DC7" w:rsidP="00866DC7">
      <w:pPr>
        <w:spacing w:line="360" w:lineRule="auto"/>
        <w:ind w:left="-567"/>
        <w:rPr>
          <w:rFonts w:ascii="Arial" w:hAnsi="Arial" w:cs="Arial"/>
          <w:b/>
          <w:bCs/>
          <w:sz w:val="24"/>
          <w:szCs w:val="24"/>
          <w:lang w:val="pl-PL"/>
        </w:rPr>
      </w:pPr>
    </w:p>
    <w:p w14:paraId="3F6BA4E9" w14:textId="77777777" w:rsidR="00866DC7" w:rsidRPr="00FE6BE2" w:rsidRDefault="00866DC7" w:rsidP="00A521B1">
      <w:pPr>
        <w:spacing w:line="360" w:lineRule="auto"/>
        <w:ind w:left="-567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t>Zapisy niniejszego dokumentu</w:t>
      </w:r>
      <w:r w:rsidR="003B51D9" w:rsidRPr="00FE6BE2">
        <w:rPr>
          <w:rFonts w:ascii="Arial" w:hAnsi="Arial" w:cs="Arial"/>
          <w:sz w:val="24"/>
          <w:szCs w:val="24"/>
          <w:lang w:val="pl-PL"/>
        </w:rPr>
        <w:t xml:space="preserve"> modyfikują i uszczegóławiają opis przedmiotu zamówienia zawarty w programie funkcjonalno-użytkowym</w:t>
      </w:r>
      <w:r w:rsidR="00401009" w:rsidRPr="00FE6BE2">
        <w:rPr>
          <w:rFonts w:ascii="Arial" w:hAnsi="Arial" w:cs="Arial"/>
          <w:sz w:val="24"/>
          <w:szCs w:val="24"/>
          <w:lang w:val="pl-PL"/>
        </w:rPr>
        <w:t xml:space="preserve">, zwanym dalej PFU </w:t>
      </w:r>
      <w:r w:rsidR="003B51D9" w:rsidRPr="00FE6BE2">
        <w:rPr>
          <w:rFonts w:ascii="Arial" w:hAnsi="Arial" w:cs="Arial"/>
          <w:sz w:val="24"/>
          <w:szCs w:val="24"/>
          <w:lang w:val="pl-PL"/>
        </w:rPr>
        <w:t>i są nadrzędne do postanowień zawartych w wyżej wskazanym opracowaniu.</w:t>
      </w:r>
    </w:p>
    <w:p w14:paraId="1FA2527E" w14:textId="77777777" w:rsidR="003B51D9" w:rsidRPr="00FE6BE2" w:rsidRDefault="00401009" w:rsidP="00A521B1">
      <w:pPr>
        <w:spacing w:line="360" w:lineRule="auto"/>
        <w:ind w:left="-567" w:right="-58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t xml:space="preserve">W każdym przypadku, gdy poniższy zakres robót nie został wskazany w PFU, </w:t>
      </w:r>
      <w:r w:rsidR="00A521B1" w:rsidRPr="00FE6BE2">
        <w:rPr>
          <w:rFonts w:ascii="Arial" w:hAnsi="Arial" w:cs="Arial"/>
          <w:sz w:val="24"/>
          <w:szCs w:val="24"/>
          <w:lang w:val="pl-PL"/>
        </w:rPr>
        <w:t>należy skalkulować go w cenie oferty. Jeżeli zakres lub sposób wykonania robót jest odmienny, niż opisany w PFU, uznaje się, że nadrzędne są zapisy „Uszczegółowieni</w:t>
      </w:r>
      <w:r w:rsidR="002D7781" w:rsidRPr="00FE6BE2">
        <w:rPr>
          <w:rFonts w:ascii="Arial" w:hAnsi="Arial" w:cs="Arial"/>
          <w:sz w:val="24"/>
          <w:szCs w:val="24"/>
          <w:lang w:val="pl-PL"/>
        </w:rPr>
        <w:t>a</w:t>
      </w:r>
      <w:r w:rsidR="00A521B1" w:rsidRPr="00FE6BE2">
        <w:rPr>
          <w:rFonts w:ascii="Arial" w:hAnsi="Arial" w:cs="Arial"/>
          <w:sz w:val="24"/>
          <w:szCs w:val="24"/>
          <w:lang w:val="pl-PL"/>
        </w:rPr>
        <w:t xml:space="preserve"> </w:t>
      </w:r>
      <w:r w:rsidR="00930EC2" w:rsidRPr="00FE6BE2">
        <w:rPr>
          <w:rFonts w:ascii="Arial" w:hAnsi="Arial" w:cs="Arial"/>
          <w:sz w:val="24"/>
          <w:szCs w:val="24"/>
          <w:lang w:val="pl-PL"/>
        </w:rPr>
        <w:t>programu funkcjonalno-użytkowego</w:t>
      </w:r>
      <w:r w:rsidR="002D7781" w:rsidRPr="00FE6BE2">
        <w:rPr>
          <w:rFonts w:ascii="Arial" w:hAnsi="Arial" w:cs="Arial"/>
          <w:sz w:val="24"/>
          <w:szCs w:val="24"/>
          <w:lang w:val="pl-PL"/>
        </w:rPr>
        <w:t>.</w:t>
      </w:r>
      <w:r w:rsidR="00A521B1" w:rsidRPr="00FE6BE2">
        <w:rPr>
          <w:rFonts w:ascii="Arial" w:hAnsi="Arial" w:cs="Arial"/>
          <w:sz w:val="24"/>
          <w:szCs w:val="24"/>
          <w:lang w:val="pl-PL"/>
        </w:rPr>
        <w:t>”</w:t>
      </w:r>
    </w:p>
    <w:p w14:paraId="31436911" w14:textId="77777777" w:rsidR="003B51D9" w:rsidRPr="00FE6BE2" w:rsidRDefault="00866DC7" w:rsidP="00930EC2">
      <w:pPr>
        <w:numPr>
          <w:ilvl w:val="0"/>
          <w:numId w:val="1"/>
        </w:numPr>
        <w:tabs>
          <w:tab w:val="left" w:pos="-284"/>
        </w:tabs>
        <w:spacing w:line="360" w:lineRule="auto"/>
        <w:ind w:left="-567" w:firstLine="0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t>Uszczegółowienie zakresu robót budowlanych</w:t>
      </w:r>
      <w:r w:rsidR="00401009" w:rsidRPr="00FE6BE2">
        <w:rPr>
          <w:rFonts w:ascii="Arial" w:hAnsi="Arial" w:cs="Arial"/>
          <w:sz w:val="24"/>
          <w:szCs w:val="24"/>
          <w:lang w:val="pl-PL"/>
        </w:rPr>
        <w:t xml:space="preserve"> w części budynku, która zostanie poddana remontowi</w:t>
      </w:r>
      <w:r w:rsidR="00C22D47" w:rsidRPr="00FE6BE2">
        <w:rPr>
          <w:rFonts w:ascii="Arial" w:hAnsi="Arial" w:cs="Arial"/>
          <w:sz w:val="24"/>
          <w:szCs w:val="24"/>
          <w:lang w:val="pl-PL"/>
        </w:rPr>
        <w:t xml:space="preserve"> oraz zakres prac w piwnicach skrzydła do rozbiórki</w:t>
      </w:r>
      <w:r w:rsidR="00401009" w:rsidRPr="00FE6BE2">
        <w:rPr>
          <w:rFonts w:ascii="Arial" w:hAnsi="Arial" w:cs="Arial"/>
          <w:sz w:val="24"/>
          <w:szCs w:val="24"/>
          <w:lang w:val="pl-PL"/>
        </w:rPr>
        <w:t>.</w:t>
      </w:r>
    </w:p>
    <w:p w14:paraId="02227AFC" w14:textId="77777777" w:rsidR="002449C1" w:rsidRPr="00FE6BE2" w:rsidRDefault="00DD7AA7" w:rsidP="00A521B1">
      <w:pPr>
        <w:numPr>
          <w:ilvl w:val="1"/>
          <w:numId w:val="1"/>
        </w:numPr>
        <w:tabs>
          <w:tab w:val="left" w:pos="284"/>
        </w:tabs>
        <w:spacing w:line="360" w:lineRule="auto"/>
        <w:ind w:hanging="284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t xml:space="preserve">Roboty </w:t>
      </w:r>
      <w:r w:rsidR="00BB649B" w:rsidRPr="00FE6BE2">
        <w:rPr>
          <w:rFonts w:ascii="Arial" w:hAnsi="Arial" w:cs="Arial"/>
          <w:sz w:val="24"/>
          <w:szCs w:val="24"/>
          <w:lang w:val="pl-PL"/>
        </w:rPr>
        <w:t>demontażowe</w:t>
      </w:r>
      <w:r w:rsidRPr="00FE6BE2">
        <w:rPr>
          <w:rFonts w:ascii="Arial" w:hAnsi="Arial" w:cs="Arial"/>
          <w:sz w:val="24"/>
          <w:szCs w:val="24"/>
          <w:lang w:val="pl-PL"/>
        </w:rPr>
        <w:t>:</w:t>
      </w:r>
    </w:p>
    <w:p w14:paraId="7FD4C5CC" w14:textId="77777777" w:rsidR="002449C1" w:rsidRPr="00FE6BE2" w:rsidRDefault="00DD7AA7" w:rsidP="00A521B1">
      <w:pPr>
        <w:spacing w:line="360" w:lineRule="auto"/>
        <w:ind w:left="-284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t xml:space="preserve">Przewiduje się </w:t>
      </w:r>
      <w:r w:rsidR="00BB649B" w:rsidRPr="00FE6BE2">
        <w:rPr>
          <w:rFonts w:ascii="Arial" w:hAnsi="Arial" w:cs="Arial"/>
          <w:sz w:val="24"/>
          <w:szCs w:val="24"/>
          <w:lang w:val="pl-PL"/>
        </w:rPr>
        <w:t>demontaż</w:t>
      </w:r>
      <w:r w:rsidRPr="00FE6BE2">
        <w:rPr>
          <w:rFonts w:ascii="Arial" w:hAnsi="Arial" w:cs="Arial"/>
          <w:sz w:val="24"/>
          <w:szCs w:val="24"/>
          <w:lang w:val="pl-PL"/>
        </w:rPr>
        <w:t xml:space="preserve"> istniejącej stolarki okiennej i drzwiowej, rozbiórkę zbędnych ścianek działowych, </w:t>
      </w:r>
      <w:r w:rsidR="00F57229" w:rsidRPr="00FE6BE2">
        <w:rPr>
          <w:rFonts w:ascii="Arial" w:hAnsi="Arial" w:cs="Arial"/>
          <w:sz w:val="24"/>
          <w:szCs w:val="24"/>
          <w:lang w:val="pl-PL"/>
        </w:rPr>
        <w:t xml:space="preserve">demontaż starego oświetlenia </w:t>
      </w:r>
      <w:r w:rsidRPr="00FE6BE2">
        <w:rPr>
          <w:rFonts w:ascii="Arial" w:hAnsi="Arial" w:cs="Arial"/>
          <w:sz w:val="24"/>
          <w:szCs w:val="24"/>
          <w:lang w:val="pl-PL"/>
        </w:rPr>
        <w:t xml:space="preserve">w pomieszczeniu dawnej sali gimnastycznej, zerwanie posadzek, demontaż istniejącej instalacji odgromowej, rozebranie istniejącego </w:t>
      </w:r>
      <w:r w:rsidRPr="00FE6BE2">
        <w:rPr>
          <w:rFonts w:ascii="Arial" w:hAnsi="Arial" w:cs="Arial"/>
          <w:sz w:val="24"/>
          <w:szCs w:val="24"/>
          <w:lang w:val="pl-PL"/>
        </w:rPr>
        <w:t>pokrycia dachowego z obróbkami blacharskimi i elementami odwodnienia dachu, demontaż wszystkich instalacji sanitarnych i elektrycznych.</w:t>
      </w:r>
    </w:p>
    <w:p w14:paraId="20B5226B" w14:textId="77777777" w:rsidR="002449C1" w:rsidRPr="00FE6BE2" w:rsidRDefault="00DD7AA7" w:rsidP="00930EC2">
      <w:pPr>
        <w:numPr>
          <w:ilvl w:val="1"/>
          <w:numId w:val="1"/>
        </w:numPr>
        <w:tabs>
          <w:tab w:val="left" w:pos="-284"/>
          <w:tab w:val="left" w:pos="284"/>
        </w:tabs>
        <w:spacing w:line="360" w:lineRule="auto"/>
        <w:ind w:left="-284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t>Piwnice:</w:t>
      </w:r>
    </w:p>
    <w:p w14:paraId="5FF61E4A" w14:textId="77777777" w:rsidR="002449C1" w:rsidRPr="00FE6BE2" w:rsidRDefault="00DD7AA7" w:rsidP="00A521B1">
      <w:pPr>
        <w:spacing w:line="360" w:lineRule="auto"/>
        <w:ind w:left="-284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t>Część skrzydła południowego (drewnianego przeznaczonego do rozbiórki) jest podpiwniczona. Piwnice skrzydła połu</w:t>
      </w:r>
      <w:r w:rsidRPr="00FE6BE2">
        <w:rPr>
          <w:rFonts w:ascii="Arial" w:hAnsi="Arial" w:cs="Arial"/>
          <w:sz w:val="24"/>
          <w:szCs w:val="24"/>
          <w:lang w:val="pl-PL"/>
        </w:rPr>
        <w:t xml:space="preserve">dniowego pozostają do adaptacji. </w:t>
      </w:r>
    </w:p>
    <w:p w14:paraId="7FF4D84B" w14:textId="77777777" w:rsidR="002449C1" w:rsidRPr="00FE6BE2" w:rsidRDefault="00DD7AA7" w:rsidP="00A521B1">
      <w:pPr>
        <w:spacing w:line="360" w:lineRule="auto"/>
        <w:ind w:left="-284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t>Planowane są uzupełnienia ubytków tynków,</w:t>
      </w:r>
      <w:r w:rsidR="003B51D9" w:rsidRPr="00FE6BE2">
        <w:rPr>
          <w:rFonts w:ascii="Arial" w:hAnsi="Arial" w:cs="Arial"/>
          <w:sz w:val="24"/>
          <w:szCs w:val="24"/>
          <w:lang w:val="pl-PL"/>
        </w:rPr>
        <w:t xml:space="preserve"> </w:t>
      </w:r>
      <w:r w:rsidRPr="00FE6BE2">
        <w:rPr>
          <w:rFonts w:ascii="Arial" w:hAnsi="Arial" w:cs="Arial"/>
          <w:sz w:val="24"/>
          <w:szCs w:val="24"/>
          <w:lang w:val="pl-PL"/>
        </w:rPr>
        <w:t xml:space="preserve">malowanie z gruntowaniem ścian i sufitów, naprawy z gruntowaniem posadzek, ułożenie terakoty, rozebranie zsypów i ich zamurowanie. </w:t>
      </w:r>
    </w:p>
    <w:p w14:paraId="792AAD6E" w14:textId="77777777" w:rsidR="002449C1" w:rsidRPr="00FE6BE2" w:rsidRDefault="00DD7AA7" w:rsidP="00930EC2">
      <w:pPr>
        <w:numPr>
          <w:ilvl w:val="1"/>
          <w:numId w:val="1"/>
        </w:numPr>
        <w:spacing w:line="360" w:lineRule="auto"/>
        <w:ind w:left="142" w:hanging="426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t>Stolarka okienna i drzwiowa:</w:t>
      </w:r>
    </w:p>
    <w:p w14:paraId="754C4A98" w14:textId="77777777" w:rsidR="002449C1" w:rsidRPr="00FE6BE2" w:rsidRDefault="00DD7AA7" w:rsidP="007250A4">
      <w:pPr>
        <w:spacing w:line="360" w:lineRule="auto"/>
        <w:ind w:left="-284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t>Okna i drzwi wewnęt</w:t>
      </w:r>
      <w:r w:rsidRPr="00FE6BE2">
        <w:rPr>
          <w:rFonts w:ascii="Arial" w:hAnsi="Arial" w:cs="Arial"/>
          <w:sz w:val="24"/>
          <w:szCs w:val="24"/>
          <w:lang w:val="pl-PL"/>
        </w:rPr>
        <w:t>rzne i zewnętrzne przewidziane są do wymiany. Na części okien planowany jest montaż rolet. Okna o współczynniku U=0,9 W/m</w:t>
      </w:r>
      <w:r w:rsidRPr="00FE6BE2">
        <w:rPr>
          <w:rFonts w:ascii="Arial" w:hAnsi="Arial" w:cs="Arial"/>
          <w:sz w:val="24"/>
          <w:szCs w:val="24"/>
          <w:vertAlign w:val="superscript"/>
          <w:lang w:val="pl-PL"/>
        </w:rPr>
        <w:t>2</w:t>
      </w:r>
      <w:r w:rsidRPr="00FE6BE2">
        <w:rPr>
          <w:rFonts w:ascii="Arial" w:hAnsi="Arial" w:cs="Arial"/>
          <w:sz w:val="24"/>
          <w:szCs w:val="24"/>
          <w:lang w:val="pl-PL"/>
        </w:rPr>
        <w:t>xK lub niższym. Drzwi zewnętrzne o współczynniku U=1,3 W/m</w:t>
      </w:r>
      <w:r w:rsidRPr="00FE6BE2">
        <w:rPr>
          <w:rFonts w:ascii="Arial" w:hAnsi="Arial" w:cs="Arial"/>
          <w:sz w:val="24"/>
          <w:szCs w:val="24"/>
          <w:vertAlign w:val="superscript"/>
          <w:lang w:val="pl-PL"/>
        </w:rPr>
        <w:t>2</w:t>
      </w:r>
      <w:r w:rsidRPr="00FE6BE2">
        <w:rPr>
          <w:rFonts w:ascii="Arial" w:hAnsi="Arial" w:cs="Arial"/>
          <w:sz w:val="24"/>
          <w:szCs w:val="24"/>
          <w:lang w:val="pl-PL"/>
        </w:rPr>
        <w:t xml:space="preserve">xK lub niższym. </w:t>
      </w:r>
    </w:p>
    <w:p w14:paraId="5F4A4067" w14:textId="77777777" w:rsidR="002449C1" w:rsidRPr="00FE6BE2" w:rsidRDefault="002D7781" w:rsidP="002D7781">
      <w:pPr>
        <w:spacing w:line="360" w:lineRule="auto"/>
        <w:ind w:hanging="284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t>1.13. Prace porządkowe:</w:t>
      </w:r>
    </w:p>
    <w:p w14:paraId="3E95AA60" w14:textId="77777777" w:rsidR="00390F64" w:rsidRPr="00FE6BE2" w:rsidRDefault="00DD7AA7" w:rsidP="002D7781">
      <w:pPr>
        <w:spacing w:line="360" w:lineRule="auto"/>
        <w:ind w:left="-567" w:firstLine="283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t>-wywóz i utylizacja odpadów</w:t>
      </w:r>
      <w:r w:rsidR="002D7781" w:rsidRPr="00FE6BE2">
        <w:rPr>
          <w:rFonts w:ascii="Arial" w:hAnsi="Arial" w:cs="Arial"/>
          <w:sz w:val="24"/>
          <w:szCs w:val="24"/>
          <w:lang w:val="pl-PL"/>
        </w:rPr>
        <w:t>.</w:t>
      </w:r>
    </w:p>
    <w:p w14:paraId="0EB6017D" w14:textId="77777777" w:rsidR="002D7781" w:rsidRPr="00FE6BE2" w:rsidRDefault="004A0923" w:rsidP="00930EC2">
      <w:pPr>
        <w:numPr>
          <w:ilvl w:val="0"/>
          <w:numId w:val="1"/>
        </w:numPr>
        <w:spacing w:line="360" w:lineRule="auto"/>
        <w:ind w:left="-284" w:hanging="283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t>Zestawienie wyposażenia stanowiącego zakres zamówienia</w:t>
      </w:r>
    </w:p>
    <w:p w14:paraId="7763DF5D" w14:textId="77777777" w:rsidR="004A0923" w:rsidRPr="00FE6BE2" w:rsidRDefault="004A0923" w:rsidP="004A0923">
      <w:pPr>
        <w:spacing w:line="360" w:lineRule="auto"/>
        <w:ind w:left="-567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lastRenderedPageBreak/>
        <w:t>W pkt 3.1. PFU zawarta jest tabela zawierająca zestawienie pomieszczeń wraz z wyposażeniem meblowym. Wyposażenie określone w kolumnie zatytułowanej „Sprzęty” należy dostarczyć i zainstalować wyłącznie dla pomieszczeń:</w:t>
      </w:r>
    </w:p>
    <w:p w14:paraId="4D7CF383" w14:textId="77777777" w:rsidR="004A0923" w:rsidRPr="00FE6BE2" w:rsidRDefault="004A0923" w:rsidP="004A0923">
      <w:pPr>
        <w:spacing w:line="360" w:lineRule="auto"/>
        <w:ind w:left="-567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t>- 0.03</w:t>
      </w:r>
    </w:p>
    <w:p w14:paraId="4D96C4D3" w14:textId="77777777" w:rsidR="004A0923" w:rsidRPr="00FE6BE2" w:rsidRDefault="004A0923" w:rsidP="004A0923">
      <w:pPr>
        <w:spacing w:line="360" w:lineRule="auto"/>
        <w:ind w:left="-567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t>- 0.14</w:t>
      </w:r>
    </w:p>
    <w:p w14:paraId="2C09C37F" w14:textId="77777777" w:rsidR="004A0923" w:rsidRPr="00FE6BE2" w:rsidRDefault="004A0923" w:rsidP="004A0923">
      <w:pPr>
        <w:spacing w:line="360" w:lineRule="auto"/>
        <w:ind w:left="-567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t>- 0.15</w:t>
      </w:r>
      <w:r w:rsidR="005D5DC5" w:rsidRPr="00FE6BE2">
        <w:rPr>
          <w:rFonts w:ascii="Arial" w:hAnsi="Arial" w:cs="Arial"/>
          <w:sz w:val="24"/>
          <w:szCs w:val="24"/>
          <w:lang w:val="pl-PL"/>
        </w:rPr>
        <w:t>: z wyjątkiem szafy</w:t>
      </w:r>
    </w:p>
    <w:p w14:paraId="0D9DA7BF" w14:textId="77777777" w:rsidR="004A0923" w:rsidRPr="00FE6BE2" w:rsidRDefault="004A0923" w:rsidP="004A0923">
      <w:pPr>
        <w:spacing w:line="360" w:lineRule="auto"/>
        <w:ind w:left="-567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t>- 0.16</w:t>
      </w:r>
    </w:p>
    <w:p w14:paraId="7438FE3C" w14:textId="77777777" w:rsidR="004A0923" w:rsidRPr="00FE6BE2" w:rsidRDefault="004A0923" w:rsidP="006B3B3D">
      <w:pPr>
        <w:spacing w:line="360" w:lineRule="auto"/>
        <w:ind w:left="-284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t>- 0.20</w:t>
      </w:r>
    </w:p>
    <w:p w14:paraId="497E384F" w14:textId="77777777" w:rsidR="004A0923" w:rsidRPr="00FE6BE2" w:rsidRDefault="004A0923" w:rsidP="004A0923">
      <w:pPr>
        <w:spacing w:line="360" w:lineRule="auto"/>
        <w:ind w:left="-567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t>- 1.06</w:t>
      </w:r>
    </w:p>
    <w:p w14:paraId="0A4319ED" w14:textId="77777777" w:rsidR="004A0923" w:rsidRPr="00FE6BE2" w:rsidRDefault="004A0923" w:rsidP="004A0923">
      <w:pPr>
        <w:spacing w:line="360" w:lineRule="auto"/>
        <w:ind w:left="-567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t>- 1.07</w:t>
      </w:r>
    </w:p>
    <w:p w14:paraId="4B4649CD" w14:textId="77777777" w:rsidR="004A0923" w:rsidRPr="00FE6BE2" w:rsidRDefault="004A0923" w:rsidP="004A0923">
      <w:pPr>
        <w:spacing w:line="360" w:lineRule="auto"/>
        <w:ind w:left="-567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t>- 1.21</w:t>
      </w:r>
    </w:p>
    <w:p w14:paraId="628A19DC" w14:textId="77777777" w:rsidR="004A0923" w:rsidRPr="00FE6BE2" w:rsidRDefault="004A0923" w:rsidP="004A0923">
      <w:pPr>
        <w:spacing w:line="360" w:lineRule="auto"/>
        <w:ind w:left="-567"/>
        <w:rPr>
          <w:rFonts w:ascii="Arial" w:hAnsi="Arial" w:cs="Arial"/>
          <w:color w:val="FF0000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t>- 1.22</w:t>
      </w:r>
      <w:r w:rsidR="005D5DC5" w:rsidRPr="00FE6BE2">
        <w:rPr>
          <w:rFonts w:ascii="Arial" w:hAnsi="Arial" w:cs="Arial"/>
          <w:sz w:val="24"/>
          <w:szCs w:val="24"/>
          <w:lang w:val="pl-PL"/>
        </w:rPr>
        <w:t>:</w:t>
      </w:r>
      <w:r w:rsidRPr="00FE6BE2">
        <w:rPr>
          <w:rFonts w:ascii="Arial" w:hAnsi="Arial" w:cs="Arial"/>
          <w:sz w:val="24"/>
          <w:szCs w:val="24"/>
          <w:lang w:val="pl-PL"/>
        </w:rPr>
        <w:t xml:space="preserve"> </w:t>
      </w:r>
      <w:r w:rsidR="005D5DC5" w:rsidRPr="00FE6BE2">
        <w:rPr>
          <w:rFonts w:ascii="Arial" w:hAnsi="Arial" w:cs="Arial"/>
          <w:sz w:val="24"/>
          <w:szCs w:val="24"/>
          <w:lang w:val="pl-PL"/>
        </w:rPr>
        <w:t>tylko bateria</w:t>
      </w:r>
    </w:p>
    <w:p w14:paraId="670EE556" w14:textId="4B980357" w:rsidR="007D7B10" w:rsidRPr="00FE6BE2" w:rsidRDefault="007D7B10" w:rsidP="004A0923">
      <w:pPr>
        <w:spacing w:line="360" w:lineRule="auto"/>
        <w:ind w:left="-567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t>- łazienki przy pokojach hotelowych: 1.10, 1.11, 1.12, 1.13, 1.14, 1.15, 1.16, 1.26</w:t>
      </w:r>
      <w:r w:rsidR="005B1CBA" w:rsidRPr="00FE6BE2">
        <w:rPr>
          <w:rFonts w:ascii="Arial" w:hAnsi="Arial" w:cs="Arial"/>
          <w:sz w:val="24"/>
          <w:szCs w:val="24"/>
          <w:lang w:val="pl-PL"/>
        </w:rPr>
        <w:t xml:space="preserve"> – tylko doprowadzenie mediów bez wykończenia (stan surowy)</w:t>
      </w:r>
    </w:p>
    <w:p w14:paraId="4180FAF8" w14:textId="0D58FEA2" w:rsidR="007D7B10" w:rsidRPr="00FE6BE2" w:rsidRDefault="007D7B10" w:rsidP="005B1CBA">
      <w:pPr>
        <w:spacing w:line="360" w:lineRule="auto"/>
        <w:ind w:left="-567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t>- łazienka dla osób ze szczególnymi potrzebami</w:t>
      </w:r>
      <w:r w:rsidR="00132693" w:rsidRPr="00FE6BE2">
        <w:rPr>
          <w:rFonts w:ascii="Arial" w:hAnsi="Arial" w:cs="Arial"/>
          <w:sz w:val="24"/>
          <w:szCs w:val="24"/>
          <w:lang w:val="pl-PL"/>
        </w:rPr>
        <w:t xml:space="preserve"> </w:t>
      </w:r>
      <w:r w:rsidRPr="00FE6BE2">
        <w:rPr>
          <w:rFonts w:ascii="Arial" w:hAnsi="Arial" w:cs="Arial"/>
          <w:sz w:val="24"/>
          <w:szCs w:val="24"/>
          <w:lang w:val="pl-PL"/>
        </w:rPr>
        <w:t>1.17</w:t>
      </w:r>
      <w:r w:rsidR="005B1CBA" w:rsidRPr="00FE6BE2">
        <w:rPr>
          <w:rFonts w:ascii="Arial" w:hAnsi="Arial" w:cs="Arial"/>
          <w:sz w:val="24"/>
          <w:szCs w:val="24"/>
          <w:lang w:val="pl-PL"/>
        </w:rPr>
        <w:t>– tylko doprowadzenie mediów bez wykończenia (stan surowy)</w:t>
      </w:r>
      <w:r w:rsidR="00771133" w:rsidRPr="00FE6BE2">
        <w:rPr>
          <w:rFonts w:ascii="Arial" w:hAnsi="Arial" w:cs="Arial"/>
          <w:sz w:val="24"/>
          <w:szCs w:val="24"/>
          <w:lang w:val="pl-PL"/>
        </w:rPr>
        <w:t>.</w:t>
      </w:r>
    </w:p>
    <w:p w14:paraId="0C28D70F" w14:textId="77777777" w:rsidR="00771133" w:rsidRPr="00FE6BE2" w:rsidRDefault="00771133" w:rsidP="004A0923">
      <w:pPr>
        <w:spacing w:line="360" w:lineRule="auto"/>
        <w:ind w:left="-567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t>Pozostałe elementy wyposażenia</w:t>
      </w:r>
      <w:r w:rsidR="00893A13" w:rsidRPr="00FE6BE2">
        <w:rPr>
          <w:rFonts w:ascii="Arial" w:hAnsi="Arial" w:cs="Arial"/>
          <w:sz w:val="24"/>
          <w:szCs w:val="24"/>
          <w:lang w:val="pl-PL"/>
        </w:rPr>
        <w:t>,</w:t>
      </w:r>
      <w:r w:rsidRPr="00FE6BE2">
        <w:rPr>
          <w:rFonts w:ascii="Arial" w:hAnsi="Arial" w:cs="Arial"/>
          <w:sz w:val="24"/>
          <w:szCs w:val="24"/>
          <w:lang w:val="pl-PL"/>
        </w:rPr>
        <w:t xml:space="preserve"> takie jak meble i sprzęt </w:t>
      </w:r>
      <w:r w:rsidR="00893A13" w:rsidRPr="00FE6BE2">
        <w:rPr>
          <w:rFonts w:ascii="Arial" w:hAnsi="Arial" w:cs="Arial"/>
          <w:sz w:val="24"/>
          <w:szCs w:val="24"/>
          <w:lang w:val="pl-PL"/>
        </w:rPr>
        <w:t>audiowizualny,</w:t>
      </w:r>
      <w:r w:rsidR="006138DD" w:rsidRPr="00FE6BE2">
        <w:rPr>
          <w:rFonts w:ascii="Arial" w:hAnsi="Arial" w:cs="Arial"/>
          <w:sz w:val="24"/>
          <w:szCs w:val="24"/>
          <w:lang w:val="pl-PL"/>
        </w:rPr>
        <w:t xml:space="preserve"> nie stanowią zakresu niniejszego zamówienia i zostaną zakupione przez zamawiającego w ramach odrębnych procedur zamówieniowych.</w:t>
      </w:r>
    </w:p>
    <w:p w14:paraId="15CF218F" w14:textId="77777777" w:rsidR="007D7B10" w:rsidRPr="00FE6BE2" w:rsidRDefault="00893A13" w:rsidP="004A0923">
      <w:pPr>
        <w:numPr>
          <w:ilvl w:val="0"/>
          <w:numId w:val="1"/>
        </w:numPr>
        <w:tabs>
          <w:tab w:val="left" w:pos="-284"/>
        </w:tabs>
        <w:spacing w:line="360" w:lineRule="auto"/>
        <w:ind w:left="-567" w:firstLine="0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t>Zamawiający dokonał we własnym zakresie wycinki drzew</w:t>
      </w:r>
      <w:r w:rsidR="00962EF4" w:rsidRPr="00FE6BE2">
        <w:rPr>
          <w:rFonts w:ascii="Arial" w:hAnsi="Arial" w:cs="Arial"/>
          <w:sz w:val="24"/>
          <w:szCs w:val="24"/>
          <w:lang w:val="pl-PL"/>
        </w:rPr>
        <w:t>, zgodnie z uzyskaną decyzją</w:t>
      </w:r>
      <w:r w:rsidR="00930EC2" w:rsidRPr="00FE6BE2">
        <w:rPr>
          <w:rFonts w:ascii="Arial" w:hAnsi="Arial" w:cs="Arial"/>
          <w:sz w:val="24"/>
          <w:szCs w:val="24"/>
          <w:lang w:val="pl-PL"/>
        </w:rPr>
        <w:t xml:space="preserve">. </w:t>
      </w:r>
    </w:p>
    <w:p w14:paraId="3391D450" w14:textId="77777777" w:rsidR="006D142A" w:rsidRPr="00FE6BE2" w:rsidRDefault="006D142A" w:rsidP="001900BB">
      <w:pPr>
        <w:numPr>
          <w:ilvl w:val="0"/>
          <w:numId w:val="1"/>
        </w:numPr>
        <w:tabs>
          <w:tab w:val="left" w:pos="-284"/>
        </w:tabs>
        <w:spacing w:line="360" w:lineRule="auto"/>
        <w:ind w:left="-567" w:firstLine="0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hAnsi="Arial" w:cs="Arial"/>
          <w:sz w:val="24"/>
          <w:szCs w:val="24"/>
          <w:lang w:val="pl-PL"/>
        </w:rPr>
        <w:t xml:space="preserve">Zamawiający dokonał zgłoszenia robót remontowych </w:t>
      </w:r>
      <w:r w:rsidRPr="00FE6BE2">
        <w:rPr>
          <w:rFonts w:ascii="Arial" w:eastAsia="Times New Roman" w:hAnsi="Arial" w:cs="Arial"/>
          <w:sz w:val="24"/>
          <w:szCs w:val="24"/>
          <w:lang w:val="pl-PL" w:eastAsia="pl-PL"/>
        </w:rPr>
        <w:t>części budynku niepodlegającej rozbiórce</w:t>
      </w:r>
      <w:r w:rsidR="005D5DC5" w:rsidRPr="00FE6BE2">
        <w:rPr>
          <w:rFonts w:ascii="Arial" w:eastAsia="Times New Roman" w:hAnsi="Arial" w:cs="Arial"/>
          <w:sz w:val="24"/>
          <w:szCs w:val="24"/>
          <w:lang w:val="pl-PL" w:eastAsia="pl-PL"/>
        </w:rPr>
        <w:t>.</w:t>
      </w:r>
    </w:p>
    <w:p w14:paraId="270F10E9" w14:textId="6D375EEB" w:rsidR="005B1CBA" w:rsidRPr="00FE6BE2" w:rsidRDefault="005B1CBA" w:rsidP="001900BB">
      <w:pPr>
        <w:numPr>
          <w:ilvl w:val="0"/>
          <w:numId w:val="1"/>
        </w:numPr>
        <w:tabs>
          <w:tab w:val="left" w:pos="-284"/>
        </w:tabs>
        <w:spacing w:line="360" w:lineRule="auto"/>
        <w:ind w:left="-567" w:firstLine="0"/>
        <w:rPr>
          <w:rFonts w:ascii="Arial" w:hAnsi="Arial" w:cs="Arial"/>
          <w:sz w:val="24"/>
          <w:szCs w:val="24"/>
          <w:lang w:val="pl-PL"/>
        </w:rPr>
      </w:pPr>
      <w:r w:rsidRPr="00FE6BE2">
        <w:rPr>
          <w:rFonts w:ascii="Arial" w:eastAsia="Times New Roman" w:hAnsi="Arial" w:cs="Arial"/>
          <w:sz w:val="24"/>
          <w:szCs w:val="24"/>
          <w:lang w:val="pl-PL" w:eastAsia="pl-PL"/>
        </w:rPr>
        <w:t>Dokumentacja projektowa musi uwzględniać również zaprojektowanie wykończenia pomieszczeń</w:t>
      </w:r>
      <w:r w:rsidR="00FE6BE2" w:rsidRPr="00FE6BE2">
        <w:rPr>
          <w:rFonts w:ascii="Arial" w:eastAsia="Times New Roman" w:hAnsi="Arial" w:cs="Arial"/>
          <w:sz w:val="24"/>
          <w:szCs w:val="24"/>
          <w:lang w:val="pl-PL" w:eastAsia="pl-PL"/>
        </w:rPr>
        <w:t>, które należy wykonać w stanie surowym</w:t>
      </w:r>
      <w:r w:rsidRPr="00FE6BE2">
        <w:rPr>
          <w:rFonts w:ascii="Arial" w:eastAsia="Times New Roman" w:hAnsi="Arial" w:cs="Arial"/>
          <w:sz w:val="24"/>
          <w:szCs w:val="24"/>
          <w:lang w:val="pl-PL" w:eastAsia="pl-PL"/>
        </w:rPr>
        <w:t>. Roboty budowlane związane z ich wykończeniem będą zlecone w ramach odrębnego postępowania o udzielenie zamówienia publicznego.</w:t>
      </w:r>
    </w:p>
    <w:p w14:paraId="7436D50F" w14:textId="752AC7B1" w:rsidR="001900BB" w:rsidRPr="00FE6BE2" w:rsidRDefault="001900BB" w:rsidP="001900BB">
      <w:pPr>
        <w:pStyle w:val="Default"/>
        <w:numPr>
          <w:ilvl w:val="0"/>
          <w:numId w:val="1"/>
        </w:numPr>
        <w:tabs>
          <w:tab w:val="left" w:pos="-284"/>
          <w:tab w:val="left" w:pos="360"/>
        </w:tabs>
        <w:spacing w:line="360" w:lineRule="auto"/>
        <w:ind w:left="-567" w:firstLine="0"/>
        <w:rPr>
          <w:color w:val="auto"/>
        </w:rPr>
      </w:pPr>
      <w:r w:rsidRPr="00FE6BE2">
        <w:rPr>
          <w:color w:val="auto"/>
        </w:rPr>
        <w:t xml:space="preserve">W związku z tym, że opracowania projektowe stanowiące przedmiot zamówienia będą stanowiły opis przedmiotu zamówienia w postępowaniu o udzielenie zamówienia publicznego </w:t>
      </w:r>
      <w:r w:rsidR="00FE6BE2" w:rsidRPr="00FE6BE2">
        <w:rPr>
          <w:color w:val="auto"/>
        </w:rPr>
        <w:t xml:space="preserve">na ww. zakres </w:t>
      </w:r>
      <w:r w:rsidRPr="00FE6BE2">
        <w:rPr>
          <w:color w:val="auto"/>
        </w:rPr>
        <w:t xml:space="preserve">Wykonawca </w:t>
      </w:r>
      <w:r w:rsidR="00FE6BE2" w:rsidRPr="00FE6BE2">
        <w:rPr>
          <w:color w:val="auto"/>
        </w:rPr>
        <w:t>tę dokumentację</w:t>
      </w:r>
      <w:r w:rsidRPr="00FE6BE2">
        <w:rPr>
          <w:color w:val="auto"/>
        </w:rPr>
        <w:t xml:space="preserve"> zgodnie z art. 99-103 ustawy Prawo zamówień publicznych, pod rygorem odmowy dokonania odbioru przez Zamawiającego z uwzględnieniem poniższych wymogów:</w:t>
      </w:r>
    </w:p>
    <w:p w14:paraId="76988F27" w14:textId="77777777" w:rsidR="001900BB" w:rsidRPr="00FE6BE2" w:rsidRDefault="001900BB" w:rsidP="001900BB">
      <w:pPr>
        <w:pStyle w:val="Akapitzlist"/>
        <w:numPr>
          <w:ilvl w:val="0"/>
          <w:numId w:val="4"/>
        </w:numPr>
        <w:shd w:val="clear" w:color="auto" w:fill="FFFFFF"/>
        <w:tabs>
          <w:tab w:val="left" w:pos="142"/>
          <w:tab w:val="left" w:pos="284"/>
        </w:tabs>
        <w:spacing w:line="360" w:lineRule="auto"/>
        <w:ind w:left="0" w:firstLine="0"/>
        <w:rPr>
          <w:rFonts w:ascii="Arial" w:eastAsia="Times New Roman" w:hAnsi="Arial" w:cs="Arial"/>
          <w:sz w:val="24"/>
          <w:szCs w:val="24"/>
        </w:rPr>
      </w:pPr>
      <w:proofErr w:type="spellStart"/>
      <w:r w:rsidRPr="00FE6BE2">
        <w:rPr>
          <w:rFonts w:ascii="Arial" w:eastAsia="Times New Roman" w:hAnsi="Arial" w:cs="Arial"/>
          <w:sz w:val="24"/>
          <w:szCs w:val="24"/>
        </w:rPr>
        <w:lastRenderedPageBreak/>
        <w:t>Przedmiot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zamówienia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opisuje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się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w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sposób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jednoznaczny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i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wyczerpujący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, za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pomocą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dostatecznie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dokładnych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i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zrozumiałych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określeń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uwzględniając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wymagania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i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okoliczności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mogące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mieć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wpływ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na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sporządzenie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oferty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>.</w:t>
      </w:r>
    </w:p>
    <w:p w14:paraId="55B8C693" w14:textId="77777777" w:rsidR="001900BB" w:rsidRPr="00FE6BE2" w:rsidRDefault="001900BB" w:rsidP="001900BB">
      <w:pPr>
        <w:pStyle w:val="Akapitzlist"/>
        <w:numPr>
          <w:ilvl w:val="0"/>
          <w:numId w:val="4"/>
        </w:numPr>
        <w:shd w:val="clear" w:color="auto" w:fill="FFFFFF"/>
        <w:tabs>
          <w:tab w:val="left" w:pos="142"/>
          <w:tab w:val="left" w:pos="284"/>
        </w:tabs>
        <w:spacing w:line="360" w:lineRule="auto"/>
        <w:ind w:left="0" w:firstLine="0"/>
        <w:rPr>
          <w:rFonts w:ascii="Arial" w:eastAsia="Times New Roman" w:hAnsi="Arial" w:cs="Arial"/>
          <w:sz w:val="24"/>
          <w:szCs w:val="24"/>
        </w:rPr>
      </w:pPr>
      <w:r w:rsidRPr="00FE6BE2">
        <w:rPr>
          <w:rFonts w:ascii="Arial" w:eastAsia="Times New Roman" w:hAnsi="Arial" w:cs="Arial"/>
          <w:sz w:val="24"/>
          <w:szCs w:val="24"/>
        </w:rPr>
        <w:t xml:space="preserve"> W </w:t>
      </w:r>
      <w:proofErr w:type="spellStart"/>
      <w:r w:rsidRPr="00FE6BE2">
        <w:rPr>
          <w:rFonts w:ascii="Arial" w:hAnsi="Arial" w:cs="Arial"/>
          <w:sz w:val="24"/>
          <w:szCs w:val="24"/>
        </w:rPr>
        <w:t>opisie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przedmiotu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zamówienia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należy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uwzględnić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wymagane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cechy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robót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budowlanych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Cechy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te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mogą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odnosić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się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w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szczególności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do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określonego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procesu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metody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produkcji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realizacji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wymaganych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dostaw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usług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lub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robót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budowlanych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lub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do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konkretnego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procesu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innego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etapu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ich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cyklu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życia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nawet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jeżeli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te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czynniki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nie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są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ich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istotnym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elementem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, pod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warunkiem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że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są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one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związane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z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przedmiotem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zamówienia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oraz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proporcjonalne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do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jego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wartości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i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celów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>.</w:t>
      </w:r>
    </w:p>
    <w:p w14:paraId="2CA6D589" w14:textId="77777777" w:rsidR="001900BB" w:rsidRPr="00FE6BE2" w:rsidRDefault="001900BB" w:rsidP="001900BB">
      <w:pPr>
        <w:pStyle w:val="Akapitzlist"/>
        <w:numPr>
          <w:ilvl w:val="0"/>
          <w:numId w:val="4"/>
        </w:numPr>
        <w:shd w:val="clear" w:color="auto" w:fill="FFFFFF"/>
        <w:tabs>
          <w:tab w:val="left" w:pos="142"/>
          <w:tab w:val="left" w:pos="284"/>
          <w:tab w:val="left" w:pos="426"/>
        </w:tabs>
        <w:spacing w:line="360" w:lineRule="auto"/>
        <w:ind w:left="0" w:firstLine="0"/>
        <w:rPr>
          <w:rFonts w:ascii="Arial" w:eastAsia="Times New Roman" w:hAnsi="Arial" w:cs="Arial"/>
          <w:sz w:val="24"/>
          <w:szCs w:val="24"/>
        </w:rPr>
      </w:pPr>
      <w:r w:rsidRPr="00FE6BE2">
        <w:rPr>
          <w:rFonts w:ascii="Arial" w:eastAsia="Times New Roman" w:hAnsi="Arial" w:cs="Arial"/>
          <w:sz w:val="24"/>
          <w:szCs w:val="24"/>
        </w:rPr>
        <w:t xml:space="preserve">Do </w:t>
      </w:r>
      <w:proofErr w:type="spellStart"/>
      <w:r w:rsidRPr="00FE6BE2">
        <w:rPr>
          <w:rFonts w:ascii="Arial" w:hAnsi="Arial" w:cs="Arial"/>
          <w:sz w:val="24"/>
          <w:szCs w:val="24"/>
        </w:rPr>
        <w:t>opisu</w:t>
      </w:r>
      <w:proofErr w:type="spellEnd"/>
      <w:r w:rsidRPr="00FE6BE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przedmiotu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zamówienia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stosuje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się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nazwy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i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kody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określone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we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Wspólnym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Słowniku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Zamówień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>.</w:t>
      </w:r>
    </w:p>
    <w:p w14:paraId="175AC456" w14:textId="77777777" w:rsidR="001900BB" w:rsidRPr="00FE6BE2" w:rsidRDefault="001900BB" w:rsidP="001900BB">
      <w:pPr>
        <w:pStyle w:val="Akapitzlist"/>
        <w:numPr>
          <w:ilvl w:val="0"/>
          <w:numId w:val="4"/>
        </w:numPr>
        <w:shd w:val="clear" w:color="auto" w:fill="FFFFFF"/>
        <w:tabs>
          <w:tab w:val="left" w:pos="142"/>
          <w:tab w:val="left" w:pos="284"/>
        </w:tabs>
        <w:spacing w:line="360" w:lineRule="auto"/>
        <w:ind w:left="0" w:firstLine="0"/>
        <w:rPr>
          <w:rFonts w:ascii="Arial" w:eastAsia="Times New Roman" w:hAnsi="Arial" w:cs="Arial"/>
          <w:sz w:val="24"/>
          <w:szCs w:val="24"/>
        </w:rPr>
      </w:pPr>
      <w:proofErr w:type="spellStart"/>
      <w:r w:rsidRPr="00FE6BE2">
        <w:rPr>
          <w:rFonts w:ascii="Arial" w:eastAsia="Times New Roman" w:hAnsi="Arial" w:cs="Arial"/>
          <w:sz w:val="24"/>
          <w:szCs w:val="24"/>
        </w:rPr>
        <w:t>Przedmiotu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zamówienia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nie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można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opisywać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w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sposób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który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mógłby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utrudniać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uczciwą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konkurencję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, w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szczególności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przez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wskazanie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znaków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towarowych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patentów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lub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pochodzenia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źródła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lub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szczególnego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procesu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który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charakteryzuje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produkty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lub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usługi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dostarczane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przez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konkretnego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wykonawcę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jeżeli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mogłoby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to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doprowadzić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do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uprzywilejowania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lub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wyeliminowania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niektórych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wykonawców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lub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produktów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>.</w:t>
      </w:r>
    </w:p>
    <w:p w14:paraId="102AC95F" w14:textId="77777777" w:rsidR="001900BB" w:rsidRPr="00FE6BE2" w:rsidRDefault="001900BB" w:rsidP="001900BB">
      <w:pPr>
        <w:pStyle w:val="Akapitzlist"/>
        <w:numPr>
          <w:ilvl w:val="0"/>
          <w:numId w:val="4"/>
        </w:numPr>
        <w:shd w:val="clear" w:color="auto" w:fill="FFFFFF"/>
        <w:tabs>
          <w:tab w:val="left" w:pos="142"/>
          <w:tab w:val="left" w:pos="284"/>
        </w:tabs>
        <w:spacing w:line="360" w:lineRule="auto"/>
        <w:ind w:left="0" w:firstLine="0"/>
        <w:rPr>
          <w:rFonts w:ascii="Arial" w:eastAsia="Times New Roman" w:hAnsi="Arial" w:cs="Arial"/>
          <w:sz w:val="24"/>
          <w:szCs w:val="24"/>
        </w:rPr>
      </w:pPr>
      <w:proofErr w:type="spellStart"/>
      <w:r w:rsidRPr="00FE6BE2">
        <w:rPr>
          <w:rFonts w:ascii="Arial" w:eastAsia="Times New Roman" w:hAnsi="Arial" w:cs="Arial"/>
          <w:sz w:val="24"/>
          <w:szCs w:val="24"/>
        </w:rPr>
        <w:t>Przedmiot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zamówienia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można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w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wyjątkowych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wypadkach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opisać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przez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wskazanie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znaków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towarowych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patentów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lub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pochodzenia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źródła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lub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szczególnego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procesu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który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charakteryzuje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produkty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lub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usługi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dostarczane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przez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konkretnego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wykonawcę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jeżeli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nie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można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go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opisać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w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wystarczająco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precyzyjny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i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zrozumiały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sposób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, a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wskazaniu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takiemu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towarzyszą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wyrazy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"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lub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równoważny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>".</w:t>
      </w:r>
    </w:p>
    <w:p w14:paraId="547C08D8" w14:textId="77777777" w:rsidR="001900BB" w:rsidRPr="001900BB" w:rsidRDefault="001900BB" w:rsidP="001900BB">
      <w:pPr>
        <w:pStyle w:val="Akapitzlist"/>
        <w:numPr>
          <w:ilvl w:val="0"/>
          <w:numId w:val="4"/>
        </w:numPr>
        <w:shd w:val="clear" w:color="auto" w:fill="FFFFFF"/>
        <w:tabs>
          <w:tab w:val="left" w:pos="142"/>
          <w:tab w:val="left" w:pos="284"/>
        </w:tabs>
        <w:spacing w:line="360" w:lineRule="auto"/>
        <w:ind w:left="0" w:firstLine="0"/>
        <w:rPr>
          <w:rFonts w:ascii="Arial" w:eastAsia="Times New Roman" w:hAnsi="Arial" w:cs="Arial"/>
          <w:sz w:val="24"/>
          <w:szCs w:val="24"/>
        </w:rPr>
      </w:pPr>
      <w:proofErr w:type="spellStart"/>
      <w:r w:rsidRPr="00FE6BE2">
        <w:rPr>
          <w:rFonts w:ascii="Arial" w:eastAsia="Times New Roman" w:hAnsi="Arial" w:cs="Arial"/>
          <w:sz w:val="24"/>
          <w:szCs w:val="24"/>
        </w:rPr>
        <w:t>Jeżeli</w:t>
      </w:r>
      <w:proofErr w:type="spellEnd"/>
      <w:r w:rsidRPr="00FE6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E6BE2">
        <w:rPr>
          <w:rFonts w:ascii="Arial" w:eastAsia="Times New Roman" w:hAnsi="Arial" w:cs="Arial"/>
          <w:sz w:val="24"/>
          <w:szCs w:val="24"/>
        </w:rPr>
        <w:t>przedmiot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zamówienia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został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opisany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w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sposób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, o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którym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mowa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w pkt. 5,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należy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wskazać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kryteria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stosowane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w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celu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oceny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równoważności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>.</w:t>
      </w:r>
    </w:p>
    <w:p w14:paraId="356C1D50" w14:textId="77777777" w:rsidR="001900BB" w:rsidRPr="001900BB" w:rsidRDefault="001900BB" w:rsidP="001900BB">
      <w:pPr>
        <w:pStyle w:val="Akapitzlist"/>
        <w:numPr>
          <w:ilvl w:val="0"/>
          <w:numId w:val="4"/>
        </w:numPr>
        <w:shd w:val="clear" w:color="auto" w:fill="FFFFFF"/>
        <w:tabs>
          <w:tab w:val="left" w:pos="142"/>
          <w:tab w:val="left" w:pos="284"/>
        </w:tabs>
        <w:spacing w:line="360" w:lineRule="auto"/>
        <w:ind w:left="0" w:firstLine="0"/>
        <w:rPr>
          <w:rFonts w:ascii="Arial" w:eastAsia="Times New Roman" w:hAnsi="Arial" w:cs="Arial"/>
          <w:sz w:val="24"/>
          <w:szCs w:val="24"/>
        </w:rPr>
      </w:pPr>
      <w:r w:rsidRPr="001900BB">
        <w:rPr>
          <w:rFonts w:ascii="Arial" w:eastAsia="Times New Roman" w:hAnsi="Arial" w:cs="Arial"/>
          <w:sz w:val="24"/>
          <w:szCs w:val="24"/>
        </w:rPr>
        <w:t xml:space="preserve">W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przypadku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zamówień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przeznaczonych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do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użytku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osób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fizycznych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, w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tym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pracowników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zamawiającego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hAnsi="Arial" w:cs="Arial"/>
          <w:sz w:val="24"/>
          <w:szCs w:val="24"/>
        </w:rPr>
        <w:t>opis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przedmiotu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zamówienia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sporządza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się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, z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uwzględnieniem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wymagań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w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zakresie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dostępności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dla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osób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niepełnosprawnych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oraz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projektowania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z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przeznaczeniem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dla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wszystkich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użytkowników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chyba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że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nie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jest to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uzasadnione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charakterem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przedmiotu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zamówienia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>.</w:t>
      </w:r>
    </w:p>
    <w:p w14:paraId="0FAD4D8C" w14:textId="77777777" w:rsidR="001900BB" w:rsidRPr="001900BB" w:rsidRDefault="001900BB" w:rsidP="001900BB">
      <w:pPr>
        <w:pStyle w:val="Akapitzlist"/>
        <w:numPr>
          <w:ilvl w:val="0"/>
          <w:numId w:val="4"/>
        </w:numPr>
        <w:shd w:val="clear" w:color="auto" w:fill="FFFFFF"/>
        <w:tabs>
          <w:tab w:val="left" w:pos="142"/>
          <w:tab w:val="left" w:pos="284"/>
        </w:tabs>
        <w:spacing w:line="360" w:lineRule="auto"/>
        <w:ind w:left="0" w:firstLine="0"/>
        <w:rPr>
          <w:rFonts w:ascii="Arial" w:eastAsia="Times New Roman" w:hAnsi="Arial" w:cs="Arial"/>
          <w:sz w:val="24"/>
          <w:szCs w:val="24"/>
        </w:rPr>
      </w:pPr>
      <w:proofErr w:type="spellStart"/>
      <w:r w:rsidRPr="001900BB">
        <w:rPr>
          <w:rFonts w:ascii="Arial" w:eastAsia="Times New Roman" w:hAnsi="Arial" w:cs="Arial"/>
          <w:sz w:val="24"/>
          <w:szCs w:val="24"/>
        </w:rPr>
        <w:lastRenderedPageBreak/>
        <w:t>Jeżeli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wymagania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, o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których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mowa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w pkt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powyżej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wynikają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z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aktu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prawa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Unii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Europejskiej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przedmiot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zamówienia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, w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zakresie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wymagań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dotyczących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dostępności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dla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osób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niepełnosprawnych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oraz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projektowania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z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przeznaczeniem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dla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wszystkich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użytkowników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opisuje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się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przez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odesłanie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do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tego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aktu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>.</w:t>
      </w:r>
    </w:p>
    <w:p w14:paraId="0684B247" w14:textId="45541009" w:rsidR="001900BB" w:rsidRPr="001900BB" w:rsidRDefault="001900BB" w:rsidP="001900BB">
      <w:pPr>
        <w:pStyle w:val="Akapitzlist"/>
        <w:numPr>
          <w:ilvl w:val="0"/>
          <w:numId w:val="4"/>
        </w:numPr>
        <w:shd w:val="clear" w:color="auto" w:fill="FFFFFF"/>
        <w:tabs>
          <w:tab w:val="left" w:pos="142"/>
          <w:tab w:val="left" w:pos="284"/>
        </w:tabs>
        <w:spacing w:line="360" w:lineRule="auto"/>
        <w:ind w:left="0" w:firstLine="0"/>
        <w:rPr>
          <w:rFonts w:ascii="Arial" w:eastAsiaTheme="minorHAnsi" w:hAnsi="Arial" w:cs="Arial"/>
          <w:sz w:val="24"/>
          <w:szCs w:val="24"/>
        </w:rPr>
      </w:pPr>
      <w:proofErr w:type="spellStart"/>
      <w:r w:rsidRPr="001900BB">
        <w:rPr>
          <w:rFonts w:ascii="Arial" w:hAnsi="Arial" w:cs="Arial"/>
          <w:sz w:val="24"/>
          <w:szCs w:val="24"/>
        </w:rPr>
        <w:t>Przedmiot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zamówienia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opisuje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się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z </w:t>
      </w:r>
      <w:proofErr w:type="spellStart"/>
      <w:r w:rsidRPr="001900BB">
        <w:rPr>
          <w:rFonts w:ascii="Arial" w:hAnsi="Arial" w:cs="Arial"/>
          <w:sz w:val="24"/>
          <w:szCs w:val="24"/>
        </w:rPr>
        <w:t>uwzględnieniem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odrębnych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przepisów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w </w:t>
      </w:r>
      <w:proofErr w:type="spellStart"/>
      <w:r w:rsidRPr="001900BB">
        <w:rPr>
          <w:rFonts w:ascii="Arial" w:hAnsi="Arial" w:cs="Arial"/>
          <w:sz w:val="24"/>
          <w:szCs w:val="24"/>
        </w:rPr>
        <w:t>jeden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1900BB">
        <w:rPr>
          <w:rFonts w:ascii="Arial" w:hAnsi="Arial" w:cs="Arial"/>
          <w:sz w:val="24"/>
          <w:szCs w:val="24"/>
        </w:rPr>
        <w:t>następujących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sposobów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przez</w:t>
      </w:r>
      <w:proofErr w:type="spellEnd"/>
      <w:r w:rsidRPr="001900BB">
        <w:rPr>
          <w:rFonts w:ascii="Arial" w:hAnsi="Arial" w:cs="Arial"/>
          <w:sz w:val="24"/>
          <w:szCs w:val="24"/>
        </w:rPr>
        <w:t>:</w:t>
      </w:r>
    </w:p>
    <w:p w14:paraId="2BB80D09" w14:textId="77777777" w:rsidR="001900BB" w:rsidRPr="001900BB" w:rsidRDefault="001900BB" w:rsidP="001900BB">
      <w:pPr>
        <w:shd w:val="clear" w:color="auto" w:fill="FFFFFF"/>
        <w:tabs>
          <w:tab w:val="left" w:pos="142"/>
        </w:tabs>
        <w:spacing w:line="360" w:lineRule="auto"/>
        <w:rPr>
          <w:rFonts w:ascii="Arial" w:hAnsi="Arial" w:cs="Arial"/>
          <w:sz w:val="24"/>
          <w:szCs w:val="24"/>
        </w:rPr>
      </w:pPr>
      <w:r w:rsidRPr="001900BB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1900BB">
        <w:rPr>
          <w:rFonts w:ascii="Arial" w:hAnsi="Arial" w:cs="Arial"/>
          <w:sz w:val="24"/>
          <w:szCs w:val="24"/>
        </w:rPr>
        <w:t>określenie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wymagań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dotyczących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wydajności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lub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funkcjonalności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w </w:t>
      </w:r>
      <w:proofErr w:type="spellStart"/>
      <w:r w:rsidRPr="001900BB">
        <w:rPr>
          <w:rFonts w:ascii="Arial" w:hAnsi="Arial" w:cs="Arial"/>
          <w:sz w:val="24"/>
          <w:szCs w:val="24"/>
        </w:rPr>
        <w:t>tym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wymagań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środowiskowych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pod </w:t>
      </w:r>
      <w:proofErr w:type="spellStart"/>
      <w:r w:rsidRPr="001900BB">
        <w:rPr>
          <w:rFonts w:ascii="Arial" w:hAnsi="Arial" w:cs="Arial"/>
          <w:sz w:val="24"/>
          <w:szCs w:val="24"/>
        </w:rPr>
        <w:t>warunkiem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że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podane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parametry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są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dostatecznie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precyzyjne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aby </w:t>
      </w:r>
      <w:proofErr w:type="spellStart"/>
      <w:r w:rsidRPr="001900BB">
        <w:rPr>
          <w:rFonts w:ascii="Arial" w:hAnsi="Arial" w:cs="Arial"/>
          <w:sz w:val="24"/>
          <w:szCs w:val="24"/>
        </w:rPr>
        <w:t>umożliwić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wykonawcom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ustalenie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przedmiotu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zamówienia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a </w:t>
      </w:r>
      <w:proofErr w:type="spellStart"/>
      <w:r w:rsidRPr="001900BB">
        <w:rPr>
          <w:rFonts w:ascii="Arial" w:hAnsi="Arial" w:cs="Arial"/>
          <w:sz w:val="24"/>
          <w:szCs w:val="24"/>
        </w:rPr>
        <w:t>zamawiającemu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udzielenie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zamówienia</w:t>
      </w:r>
      <w:proofErr w:type="spellEnd"/>
      <w:r w:rsidRPr="001900BB">
        <w:rPr>
          <w:rFonts w:ascii="Arial" w:hAnsi="Arial" w:cs="Arial"/>
          <w:sz w:val="24"/>
          <w:szCs w:val="24"/>
        </w:rPr>
        <w:t>;</w:t>
      </w:r>
    </w:p>
    <w:p w14:paraId="4ED8D16F" w14:textId="77777777" w:rsidR="001900BB" w:rsidRPr="001900BB" w:rsidRDefault="001900BB" w:rsidP="001900BB">
      <w:pPr>
        <w:shd w:val="clear" w:color="auto" w:fill="FFFFFF"/>
        <w:tabs>
          <w:tab w:val="left" w:pos="142"/>
        </w:tabs>
        <w:spacing w:line="360" w:lineRule="auto"/>
        <w:rPr>
          <w:rFonts w:ascii="Arial" w:hAnsi="Arial" w:cs="Arial"/>
          <w:sz w:val="24"/>
          <w:szCs w:val="24"/>
        </w:rPr>
      </w:pPr>
      <w:r w:rsidRPr="001900BB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1900BB">
        <w:rPr>
          <w:rFonts w:ascii="Arial" w:hAnsi="Arial" w:cs="Arial"/>
          <w:sz w:val="24"/>
          <w:szCs w:val="24"/>
        </w:rPr>
        <w:t>odniesienie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się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1900BB">
        <w:rPr>
          <w:rFonts w:ascii="Arial" w:hAnsi="Arial" w:cs="Arial"/>
          <w:sz w:val="24"/>
          <w:szCs w:val="24"/>
        </w:rPr>
        <w:t>wymaganych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cech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materiału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hAnsi="Arial" w:cs="Arial"/>
          <w:sz w:val="24"/>
          <w:szCs w:val="24"/>
        </w:rPr>
        <w:t>produktu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lub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usługi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o </w:t>
      </w:r>
      <w:proofErr w:type="spellStart"/>
      <w:r w:rsidRPr="001900BB">
        <w:rPr>
          <w:rFonts w:ascii="Arial" w:hAnsi="Arial" w:cs="Arial"/>
          <w:sz w:val="24"/>
          <w:szCs w:val="24"/>
        </w:rPr>
        <w:t>których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mowa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w art. 102 </w:t>
      </w:r>
      <w:proofErr w:type="spellStart"/>
      <w:r w:rsidRPr="001900BB">
        <w:rPr>
          <w:rFonts w:ascii="Arial" w:hAnsi="Arial" w:cs="Arial"/>
          <w:sz w:val="24"/>
          <w:szCs w:val="24"/>
        </w:rPr>
        <w:t>ustawy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Prawo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zamówień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publicznych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hAnsi="Arial" w:cs="Arial"/>
          <w:sz w:val="24"/>
          <w:szCs w:val="24"/>
        </w:rPr>
        <w:t>oraz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w </w:t>
      </w:r>
      <w:proofErr w:type="spellStart"/>
      <w:r w:rsidRPr="001900BB">
        <w:rPr>
          <w:rFonts w:ascii="Arial" w:hAnsi="Arial" w:cs="Arial"/>
          <w:sz w:val="24"/>
          <w:szCs w:val="24"/>
        </w:rPr>
        <w:t>kolejności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preferencji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do:</w:t>
      </w:r>
    </w:p>
    <w:p w14:paraId="6EE76DE2" w14:textId="77777777" w:rsidR="001900BB" w:rsidRPr="001900BB" w:rsidRDefault="001900BB" w:rsidP="001900BB">
      <w:pPr>
        <w:pStyle w:val="Akapitzlist"/>
        <w:numPr>
          <w:ilvl w:val="0"/>
          <w:numId w:val="5"/>
        </w:numPr>
        <w:shd w:val="clear" w:color="auto" w:fill="FFFFFF"/>
        <w:tabs>
          <w:tab w:val="left" w:pos="142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proofErr w:type="spellStart"/>
      <w:r w:rsidRPr="001900BB">
        <w:rPr>
          <w:rFonts w:ascii="Arial" w:hAnsi="Arial" w:cs="Arial"/>
          <w:sz w:val="24"/>
          <w:szCs w:val="24"/>
        </w:rPr>
        <w:t>Polskich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Norm </w:t>
      </w:r>
      <w:proofErr w:type="spellStart"/>
      <w:r w:rsidRPr="001900BB">
        <w:rPr>
          <w:rFonts w:ascii="Arial" w:hAnsi="Arial" w:cs="Arial"/>
          <w:sz w:val="24"/>
          <w:szCs w:val="24"/>
        </w:rPr>
        <w:t>przenoszących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normy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europejskie</w:t>
      </w:r>
      <w:proofErr w:type="spellEnd"/>
      <w:r w:rsidRPr="001900BB">
        <w:rPr>
          <w:rFonts w:ascii="Arial" w:hAnsi="Arial" w:cs="Arial"/>
          <w:sz w:val="24"/>
          <w:szCs w:val="24"/>
        </w:rPr>
        <w:t>,</w:t>
      </w:r>
    </w:p>
    <w:p w14:paraId="3F6F59C8" w14:textId="77777777" w:rsidR="001900BB" w:rsidRPr="001900BB" w:rsidRDefault="001900BB" w:rsidP="001900BB">
      <w:pPr>
        <w:pStyle w:val="Akapitzlist"/>
        <w:numPr>
          <w:ilvl w:val="0"/>
          <w:numId w:val="5"/>
        </w:numPr>
        <w:shd w:val="clear" w:color="auto" w:fill="FFFFFF"/>
        <w:tabs>
          <w:tab w:val="left" w:pos="142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1900BB">
        <w:rPr>
          <w:rFonts w:ascii="Arial" w:hAnsi="Arial" w:cs="Arial"/>
          <w:sz w:val="24"/>
          <w:szCs w:val="24"/>
        </w:rPr>
        <w:t xml:space="preserve">norm </w:t>
      </w:r>
      <w:proofErr w:type="spellStart"/>
      <w:r w:rsidRPr="001900BB">
        <w:rPr>
          <w:rFonts w:ascii="Arial" w:hAnsi="Arial" w:cs="Arial"/>
          <w:sz w:val="24"/>
          <w:szCs w:val="24"/>
        </w:rPr>
        <w:t>innych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państw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członkowskich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Europejskiego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Obszaru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Gospodarczego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przenoszących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normy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europejskie</w:t>
      </w:r>
      <w:proofErr w:type="spellEnd"/>
      <w:r w:rsidRPr="001900BB">
        <w:rPr>
          <w:rFonts w:ascii="Arial" w:hAnsi="Arial" w:cs="Arial"/>
          <w:sz w:val="24"/>
          <w:szCs w:val="24"/>
        </w:rPr>
        <w:t>,</w:t>
      </w:r>
    </w:p>
    <w:p w14:paraId="2DD4300A" w14:textId="77777777" w:rsidR="001900BB" w:rsidRPr="001900BB" w:rsidRDefault="001900BB" w:rsidP="001900BB">
      <w:pPr>
        <w:pStyle w:val="Akapitzlist"/>
        <w:numPr>
          <w:ilvl w:val="0"/>
          <w:numId w:val="5"/>
        </w:numPr>
        <w:shd w:val="clear" w:color="auto" w:fill="FFFFFF"/>
        <w:tabs>
          <w:tab w:val="left" w:pos="142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proofErr w:type="spellStart"/>
      <w:r w:rsidRPr="001900BB">
        <w:rPr>
          <w:rFonts w:ascii="Arial" w:hAnsi="Arial" w:cs="Arial"/>
          <w:sz w:val="24"/>
          <w:szCs w:val="24"/>
        </w:rPr>
        <w:t>europejskich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ocen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technicznych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hAnsi="Arial" w:cs="Arial"/>
          <w:sz w:val="24"/>
          <w:szCs w:val="24"/>
        </w:rPr>
        <w:t>rozumianych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jako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udokumentowane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oceny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działania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wyrobu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budowlanego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względem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jego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podstawowych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cech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hAnsi="Arial" w:cs="Arial"/>
          <w:sz w:val="24"/>
          <w:szCs w:val="24"/>
        </w:rPr>
        <w:t>zgodnie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1900BB">
        <w:rPr>
          <w:rFonts w:ascii="Arial" w:hAnsi="Arial" w:cs="Arial"/>
          <w:sz w:val="24"/>
          <w:szCs w:val="24"/>
        </w:rPr>
        <w:t>odpowiednim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europejskim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dokumentem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oceny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w </w:t>
      </w:r>
      <w:proofErr w:type="spellStart"/>
      <w:r w:rsidRPr="001900BB">
        <w:rPr>
          <w:rFonts w:ascii="Arial" w:hAnsi="Arial" w:cs="Arial"/>
          <w:sz w:val="24"/>
          <w:szCs w:val="24"/>
        </w:rPr>
        <w:t>rozumieniu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hyperlink r:id="rId7" w:anchor="/document/68027572?unitId=art(2)pkt(12)&amp;cm=DOCUMENT" w:history="1">
        <w:r w:rsidRPr="001900BB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art. 2 pkt 12</w:t>
        </w:r>
      </w:hyperlink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rozporządzenia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Parlamentu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Europejskiego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Rady (UE) nr 305/2011 z </w:t>
      </w:r>
      <w:proofErr w:type="spellStart"/>
      <w:r w:rsidRPr="001900BB">
        <w:rPr>
          <w:rFonts w:ascii="Arial" w:hAnsi="Arial" w:cs="Arial"/>
          <w:sz w:val="24"/>
          <w:szCs w:val="24"/>
        </w:rPr>
        <w:t>dnia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9 </w:t>
      </w:r>
      <w:proofErr w:type="spellStart"/>
      <w:r w:rsidRPr="001900BB">
        <w:rPr>
          <w:rFonts w:ascii="Arial" w:hAnsi="Arial" w:cs="Arial"/>
          <w:sz w:val="24"/>
          <w:szCs w:val="24"/>
        </w:rPr>
        <w:t>marca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2011 r. </w:t>
      </w:r>
      <w:proofErr w:type="spellStart"/>
      <w:r w:rsidRPr="001900BB">
        <w:rPr>
          <w:rFonts w:ascii="Arial" w:hAnsi="Arial" w:cs="Arial"/>
          <w:sz w:val="24"/>
          <w:szCs w:val="24"/>
        </w:rPr>
        <w:t>ustanawiającego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zharmonizowane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warunki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wprowadzania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1900BB">
        <w:rPr>
          <w:rFonts w:ascii="Arial" w:hAnsi="Arial" w:cs="Arial"/>
          <w:sz w:val="24"/>
          <w:szCs w:val="24"/>
        </w:rPr>
        <w:t>obrotu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wyrobów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budowlanych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uchylającego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dyrektywę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Rady 89/106/EWG (Dz. </w:t>
      </w:r>
      <w:proofErr w:type="spellStart"/>
      <w:r w:rsidRPr="001900BB">
        <w:rPr>
          <w:rFonts w:ascii="Arial" w:hAnsi="Arial" w:cs="Arial"/>
          <w:sz w:val="24"/>
          <w:szCs w:val="24"/>
        </w:rPr>
        <w:t>Urz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. UE L 88 z 04.04.2011, str. 5, </w:t>
      </w:r>
      <w:r w:rsidRPr="001900BB">
        <w:rPr>
          <w:rFonts w:ascii="Arial" w:hAnsi="Arial" w:cs="Arial"/>
          <w:sz w:val="24"/>
          <w:szCs w:val="24"/>
        </w:rPr>
        <w:br/>
        <w:t xml:space="preserve">z </w:t>
      </w:r>
      <w:proofErr w:type="spellStart"/>
      <w:r w:rsidRPr="001900BB">
        <w:rPr>
          <w:rFonts w:ascii="Arial" w:hAnsi="Arial" w:cs="Arial"/>
          <w:sz w:val="24"/>
          <w:szCs w:val="24"/>
        </w:rPr>
        <w:t>późn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1900BB">
        <w:rPr>
          <w:rFonts w:ascii="Arial" w:hAnsi="Arial" w:cs="Arial"/>
          <w:sz w:val="24"/>
          <w:szCs w:val="24"/>
        </w:rPr>
        <w:t>zm</w:t>
      </w:r>
      <w:proofErr w:type="spellEnd"/>
      <w:r w:rsidRPr="001900BB">
        <w:rPr>
          <w:rFonts w:ascii="Arial" w:hAnsi="Arial" w:cs="Arial"/>
          <w:sz w:val="24"/>
          <w:szCs w:val="24"/>
        </w:rPr>
        <w:t>.),</w:t>
      </w:r>
    </w:p>
    <w:p w14:paraId="4043B611" w14:textId="44F80488" w:rsidR="001900BB" w:rsidRPr="001900BB" w:rsidRDefault="001900BB" w:rsidP="001900BB">
      <w:pPr>
        <w:pStyle w:val="Akapitzlist"/>
        <w:numPr>
          <w:ilvl w:val="0"/>
          <w:numId w:val="5"/>
        </w:numPr>
        <w:shd w:val="clear" w:color="auto" w:fill="FFFFFF"/>
        <w:tabs>
          <w:tab w:val="left" w:pos="142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proofErr w:type="spellStart"/>
      <w:r w:rsidRPr="001900BB">
        <w:rPr>
          <w:rFonts w:ascii="Arial" w:hAnsi="Arial" w:cs="Arial"/>
          <w:sz w:val="24"/>
          <w:szCs w:val="24"/>
        </w:rPr>
        <w:t>wspólnych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specyfikacji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technicznych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hAnsi="Arial" w:cs="Arial"/>
          <w:sz w:val="24"/>
          <w:szCs w:val="24"/>
        </w:rPr>
        <w:t>rozumianych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jako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specyfikacje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techniczne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w </w:t>
      </w:r>
      <w:proofErr w:type="spellStart"/>
      <w:r w:rsidRPr="001900BB">
        <w:rPr>
          <w:rFonts w:ascii="Arial" w:hAnsi="Arial" w:cs="Arial"/>
          <w:sz w:val="24"/>
          <w:szCs w:val="24"/>
        </w:rPr>
        <w:t>dziedzinie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produktów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teleinformatycznych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określone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zgodnie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z </w:t>
      </w:r>
      <w:hyperlink r:id="rId8" w:anchor="/document/68255240?unitId=art(13)&amp;cm=DOCUMENT" w:history="1">
        <w:r w:rsidRPr="001900BB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art. 13</w:t>
        </w:r>
      </w:hyperlink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hyperlink r:id="rId9" w:anchor="/document/68255240?unitId=art(14)&amp;cm=DOCUMENT" w:history="1">
        <w:r w:rsidRPr="001900BB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art. 14</w:t>
        </w:r>
      </w:hyperlink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rozporządzenia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Parlamentu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Europejskiego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Rady (UE) nr 1025/2012 z </w:t>
      </w:r>
      <w:proofErr w:type="spellStart"/>
      <w:r w:rsidRPr="001900BB">
        <w:rPr>
          <w:rFonts w:ascii="Arial" w:hAnsi="Arial" w:cs="Arial"/>
          <w:sz w:val="24"/>
          <w:szCs w:val="24"/>
        </w:rPr>
        <w:t>dnia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25 </w:t>
      </w:r>
      <w:proofErr w:type="spellStart"/>
      <w:r w:rsidRPr="001900BB">
        <w:rPr>
          <w:rFonts w:ascii="Arial" w:hAnsi="Arial" w:cs="Arial"/>
          <w:sz w:val="24"/>
          <w:szCs w:val="24"/>
        </w:rPr>
        <w:t>października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2012 r. w </w:t>
      </w:r>
      <w:proofErr w:type="spellStart"/>
      <w:r w:rsidRPr="001900BB">
        <w:rPr>
          <w:rFonts w:ascii="Arial" w:hAnsi="Arial" w:cs="Arial"/>
          <w:sz w:val="24"/>
          <w:szCs w:val="24"/>
        </w:rPr>
        <w:t>sprawie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normalizacji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europejskiej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hAnsi="Arial" w:cs="Arial"/>
          <w:sz w:val="24"/>
          <w:szCs w:val="24"/>
        </w:rPr>
        <w:t>zmieniającego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dyrektywy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Rady 89/686/EWG </w:t>
      </w:r>
      <w:proofErr w:type="spellStart"/>
      <w:r w:rsidRPr="001900BB">
        <w:rPr>
          <w:rFonts w:ascii="Arial" w:hAnsi="Arial" w:cs="Arial"/>
          <w:sz w:val="24"/>
          <w:szCs w:val="24"/>
        </w:rPr>
        <w:t>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93/15/EWG </w:t>
      </w:r>
      <w:proofErr w:type="spellStart"/>
      <w:r w:rsidRPr="001900BB">
        <w:rPr>
          <w:rFonts w:ascii="Arial" w:hAnsi="Arial" w:cs="Arial"/>
          <w:sz w:val="24"/>
          <w:szCs w:val="24"/>
        </w:rPr>
        <w:t>oraz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dyrektywy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Parlamentu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Europejskiego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Rady 94/9/WE, 94/25/WE, 95/16/WE, 97/23/WE, 98/34/WE, 2004/22/WE, 2007/23/WE, 2009/23/WE </w:t>
      </w:r>
      <w:proofErr w:type="spellStart"/>
      <w:r w:rsidRPr="001900BB">
        <w:rPr>
          <w:rFonts w:ascii="Arial" w:hAnsi="Arial" w:cs="Arial"/>
          <w:sz w:val="24"/>
          <w:szCs w:val="24"/>
        </w:rPr>
        <w:t>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2009/105/WE </w:t>
      </w:r>
      <w:proofErr w:type="spellStart"/>
      <w:r w:rsidRPr="001900BB">
        <w:rPr>
          <w:rFonts w:ascii="Arial" w:hAnsi="Arial" w:cs="Arial"/>
          <w:sz w:val="24"/>
          <w:szCs w:val="24"/>
        </w:rPr>
        <w:t>oraz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lastRenderedPageBreak/>
        <w:t>uchylającego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decyzję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Rady 87/95/EWG </w:t>
      </w:r>
      <w:proofErr w:type="spellStart"/>
      <w:r w:rsidRPr="001900BB">
        <w:rPr>
          <w:rFonts w:ascii="Arial" w:hAnsi="Arial" w:cs="Arial"/>
          <w:sz w:val="24"/>
          <w:szCs w:val="24"/>
        </w:rPr>
        <w:t>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decyzję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Parlamentu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Europejskiego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Rady nr 1673/2006/WE (Dz. </w:t>
      </w:r>
      <w:proofErr w:type="spellStart"/>
      <w:r w:rsidRPr="001900BB">
        <w:rPr>
          <w:rFonts w:ascii="Arial" w:hAnsi="Arial" w:cs="Arial"/>
          <w:sz w:val="24"/>
          <w:szCs w:val="24"/>
        </w:rPr>
        <w:t>Urz</w:t>
      </w:r>
      <w:proofErr w:type="spellEnd"/>
      <w:r w:rsidRPr="001900BB">
        <w:rPr>
          <w:rFonts w:ascii="Arial" w:hAnsi="Arial" w:cs="Arial"/>
          <w:sz w:val="24"/>
          <w:szCs w:val="24"/>
        </w:rPr>
        <w:t>. UE L 316 z 14.11.2012, str. 12, z późn.zm.),</w:t>
      </w:r>
    </w:p>
    <w:p w14:paraId="00AC7A21" w14:textId="77777777" w:rsidR="001900BB" w:rsidRPr="001900BB" w:rsidRDefault="001900BB" w:rsidP="001900BB">
      <w:pPr>
        <w:pStyle w:val="Akapitzlist"/>
        <w:numPr>
          <w:ilvl w:val="0"/>
          <w:numId w:val="5"/>
        </w:numPr>
        <w:shd w:val="clear" w:color="auto" w:fill="FFFFFF"/>
        <w:tabs>
          <w:tab w:val="left" w:pos="142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1900BB">
        <w:rPr>
          <w:rFonts w:ascii="Arial" w:hAnsi="Arial" w:cs="Arial"/>
          <w:sz w:val="24"/>
          <w:szCs w:val="24"/>
        </w:rPr>
        <w:t xml:space="preserve">norm </w:t>
      </w:r>
      <w:proofErr w:type="spellStart"/>
      <w:r w:rsidRPr="001900BB">
        <w:rPr>
          <w:rFonts w:ascii="Arial" w:hAnsi="Arial" w:cs="Arial"/>
          <w:sz w:val="24"/>
          <w:szCs w:val="24"/>
        </w:rPr>
        <w:t>międzynarodowych</w:t>
      </w:r>
      <w:proofErr w:type="spellEnd"/>
      <w:r w:rsidRPr="001900BB">
        <w:rPr>
          <w:rFonts w:ascii="Arial" w:hAnsi="Arial" w:cs="Arial"/>
          <w:sz w:val="24"/>
          <w:szCs w:val="24"/>
        </w:rPr>
        <w:t>,</w:t>
      </w:r>
    </w:p>
    <w:p w14:paraId="73D5F031" w14:textId="77777777" w:rsidR="001900BB" w:rsidRPr="001900BB" w:rsidRDefault="001900BB" w:rsidP="001900BB">
      <w:pPr>
        <w:pStyle w:val="Akapitzlist"/>
        <w:numPr>
          <w:ilvl w:val="0"/>
          <w:numId w:val="5"/>
        </w:numPr>
        <w:shd w:val="clear" w:color="auto" w:fill="FFFFFF"/>
        <w:tabs>
          <w:tab w:val="left" w:pos="14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proofErr w:type="spellStart"/>
      <w:r w:rsidRPr="001900BB">
        <w:rPr>
          <w:rFonts w:ascii="Arial" w:hAnsi="Arial" w:cs="Arial"/>
          <w:sz w:val="24"/>
          <w:szCs w:val="24"/>
        </w:rPr>
        <w:t>specyfikacji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technicznych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hAnsi="Arial" w:cs="Arial"/>
          <w:sz w:val="24"/>
          <w:szCs w:val="24"/>
        </w:rPr>
        <w:t>których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przestrzeganie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nie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jest </w:t>
      </w:r>
      <w:proofErr w:type="spellStart"/>
      <w:r w:rsidRPr="001900BB">
        <w:rPr>
          <w:rFonts w:ascii="Arial" w:hAnsi="Arial" w:cs="Arial"/>
          <w:sz w:val="24"/>
          <w:szCs w:val="24"/>
        </w:rPr>
        <w:t>obowiązkowe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hAnsi="Arial" w:cs="Arial"/>
          <w:sz w:val="24"/>
          <w:szCs w:val="24"/>
        </w:rPr>
        <w:t>przyjętych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przez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instytucję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normalizacyjną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hAnsi="Arial" w:cs="Arial"/>
          <w:sz w:val="24"/>
          <w:szCs w:val="24"/>
        </w:rPr>
        <w:t>wyspecjalizowaną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w </w:t>
      </w:r>
      <w:proofErr w:type="spellStart"/>
      <w:r w:rsidRPr="001900BB">
        <w:rPr>
          <w:rFonts w:ascii="Arial" w:hAnsi="Arial" w:cs="Arial"/>
          <w:sz w:val="24"/>
          <w:szCs w:val="24"/>
        </w:rPr>
        <w:t>opracowywaniu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specyfikacji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technicznych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w </w:t>
      </w:r>
      <w:proofErr w:type="spellStart"/>
      <w:r w:rsidRPr="001900BB">
        <w:rPr>
          <w:rFonts w:ascii="Arial" w:hAnsi="Arial" w:cs="Arial"/>
          <w:sz w:val="24"/>
          <w:szCs w:val="24"/>
        </w:rPr>
        <w:t>celu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powtarzalnego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r w:rsidRPr="001900BB">
        <w:rPr>
          <w:rFonts w:ascii="Arial" w:hAnsi="Arial" w:cs="Arial"/>
          <w:sz w:val="24"/>
          <w:szCs w:val="24"/>
        </w:rPr>
        <w:br/>
      </w:r>
      <w:proofErr w:type="spellStart"/>
      <w:r w:rsidRPr="001900BB">
        <w:rPr>
          <w:rFonts w:ascii="Arial" w:hAnsi="Arial" w:cs="Arial"/>
          <w:sz w:val="24"/>
          <w:szCs w:val="24"/>
        </w:rPr>
        <w:t>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stałego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stosowania</w:t>
      </w:r>
      <w:proofErr w:type="spellEnd"/>
      <w:r w:rsidRPr="001900BB">
        <w:rPr>
          <w:rFonts w:ascii="Arial" w:hAnsi="Arial" w:cs="Arial"/>
          <w:sz w:val="24"/>
          <w:szCs w:val="24"/>
        </w:rPr>
        <w:t>,</w:t>
      </w:r>
    </w:p>
    <w:p w14:paraId="716C8E72" w14:textId="77777777" w:rsidR="001900BB" w:rsidRPr="001900BB" w:rsidRDefault="001900BB" w:rsidP="001900BB">
      <w:pPr>
        <w:pStyle w:val="Akapitzlist"/>
        <w:numPr>
          <w:ilvl w:val="0"/>
          <w:numId w:val="5"/>
        </w:numPr>
        <w:shd w:val="clear" w:color="auto" w:fill="FFFFFF"/>
        <w:tabs>
          <w:tab w:val="left" w:pos="142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proofErr w:type="spellStart"/>
      <w:r w:rsidRPr="001900BB">
        <w:rPr>
          <w:rFonts w:ascii="Arial" w:hAnsi="Arial" w:cs="Arial"/>
          <w:sz w:val="24"/>
          <w:szCs w:val="24"/>
        </w:rPr>
        <w:t>innych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systemów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referencji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technicznych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ustanowionych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przez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europejskie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organizacje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normalizacyjne</w:t>
      </w:r>
      <w:proofErr w:type="spellEnd"/>
      <w:r w:rsidRPr="001900BB">
        <w:rPr>
          <w:rFonts w:ascii="Arial" w:hAnsi="Arial" w:cs="Arial"/>
          <w:sz w:val="24"/>
          <w:szCs w:val="24"/>
        </w:rPr>
        <w:t>;</w:t>
      </w:r>
    </w:p>
    <w:p w14:paraId="6CA1A086" w14:textId="77777777" w:rsidR="001900BB" w:rsidRPr="001900BB" w:rsidRDefault="001900BB" w:rsidP="001900BB">
      <w:pPr>
        <w:shd w:val="clear" w:color="auto" w:fill="FFFFFF"/>
        <w:tabs>
          <w:tab w:val="left" w:pos="142"/>
        </w:tabs>
        <w:spacing w:line="360" w:lineRule="auto"/>
        <w:rPr>
          <w:rFonts w:ascii="Arial" w:hAnsi="Arial" w:cs="Arial"/>
          <w:sz w:val="24"/>
          <w:szCs w:val="24"/>
        </w:rPr>
      </w:pPr>
      <w:r w:rsidRPr="001900BB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1900BB">
        <w:rPr>
          <w:rFonts w:ascii="Arial" w:hAnsi="Arial" w:cs="Arial"/>
          <w:sz w:val="24"/>
          <w:szCs w:val="24"/>
        </w:rPr>
        <w:t>odniesienie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do norm, </w:t>
      </w:r>
      <w:proofErr w:type="spellStart"/>
      <w:r w:rsidRPr="001900BB">
        <w:rPr>
          <w:rFonts w:ascii="Arial" w:hAnsi="Arial" w:cs="Arial"/>
          <w:sz w:val="24"/>
          <w:szCs w:val="24"/>
        </w:rPr>
        <w:t>europejskich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ocen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technicznych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hAnsi="Arial" w:cs="Arial"/>
          <w:sz w:val="24"/>
          <w:szCs w:val="24"/>
        </w:rPr>
        <w:t>specyfikacji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technicznych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systemów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referencji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technicznych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o </w:t>
      </w:r>
      <w:proofErr w:type="spellStart"/>
      <w:r w:rsidRPr="001900BB">
        <w:rPr>
          <w:rFonts w:ascii="Arial" w:hAnsi="Arial" w:cs="Arial"/>
          <w:sz w:val="24"/>
          <w:szCs w:val="24"/>
        </w:rPr>
        <w:t>których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mowa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w </w:t>
      </w:r>
      <w:proofErr w:type="spellStart"/>
      <w:r w:rsidRPr="001900BB">
        <w:rPr>
          <w:rFonts w:ascii="Arial" w:hAnsi="Arial" w:cs="Arial"/>
          <w:sz w:val="24"/>
          <w:szCs w:val="24"/>
        </w:rPr>
        <w:t>tiret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2, </w:t>
      </w:r>
      <w:proofErr w:type="spellStart"/>
      <w:r w:rsidRPr="001900BB">
        <w:rPr>
          <w:rFonts w:ascii="Arial" w:hAnsi="Arial" w:cs="Arial"/>
          <w:sz w:val="24"/>
          <w:szCs w:val="24"/>
        </w:rPr>
        <w:t>oraz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przez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odniesienie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1900BB">
        <w:rPr>
          <w:rFonts w:ascii="Arial" w:hAnsi="Arial" w:cs="Arial"/>
          <w:sz w:val="24"/>
          <w:szCs w:val="24"/>
        </w:rPr>
        <w:t>wymagań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dotyczących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wydajności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lub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funkcjonalności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o </w:t>
      </w:r>
      <w:proofErr w:type="spellStart"/>
      <w:r w:rsidRPr="001900BB">
        <w:rPr>
          <w:rFonts w:ascii="Arial" w:hAnsi="Arial" w:cs="Arial"/>
          <w:sz w:val="24"/>
          <w:szCs w:val="24"/>
        </w:rPr>
        <w:t>których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mowa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w </w:t>
      </w:r>
      <w:proofErr w:type="spellStart"/>
      <w:r w:rsidRPr="001900BB">
        <w:rPr>
          <w:rFonts w:ascii="Arial" w:hAnsi="Arial" w:cs="Arial"/>
          <w:sz w:val="24"/>
          <w:szCs w:val="24"/>
        </w:rPr>
        <w:t>tiret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1, w </w:t>
      </w:r>
      <w:proofErr w:type="spellStart"/>
      <w:r w:rsidRPr="001900BB">
        <w:rPr>
          <w:rFonts w:ascii="Arial" w:hAnsi="Arial" w:cs="Arial"/>
          <w:sz w:val="24"/>
          <w:szCs w:val="24"/>
        </w:rPr>
        <w:t>zakresie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wybranych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cech</w:t>
      </w:r>
      <w:proofErr w:type="spellEnd"/>
      <w:r w:rsidRPr="001900BB">
        <w:rPr>
          <w:rFonts w:ascii="Arial" w:hAnsi="Arial" w:cs="Arial"/>
          <w:sz w:val="24"/>
          <w:szCs w:val="24"/>
        </w:rPr>
        <w:t>;</w:t>
      </w:r>
    </w:p>
    <w:p w14:paraId="0F98314A" w14:textId="77777777" w:rsidR="001900BB" w:rsidRPr="001900BB" w:rsidRDefault="001900BB" w:rsidP="001900BB">
      <w:pPr>
        <w:shd w:val="clear" w:color="auto" w:fill="FFFFFF"/>
        <w:tabs>
          <w:tab w:val="left" w:pos="142"/>
        </w:tabs>
        <w:spacing w:line="360" w:lineRule="auto"/>
        <w:rPr>
          <w:rFonts w:ascii="Arial" w:hAnsi="Arial" w:cs="Arial"/>
          <w:sz w:val="24"/>
          <w:szCs w:val="24"/>
        </w:rPr>
      </w:pPr>
      <w:r w:rsidRPr="001900BB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1900BB">
        <w:rPr>
          <w:rFonts w:ascii="Arial" w:hAnsi="Arial" w:cs="Arial"/>
          <w:sz w:val="24"/>
          <w:szCs w:val="24"/>
        </w:rPr>
        <w:t>odniesienie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1900BB">
        <w:rPr>
          <w:rFonts w:ascii="Arial" w:hAnsi="Arial" w:cs="Arial"/>
          <w:sz w:val="24"/>
          <w:szCs w:val="24"/>
        </w:rPr>
        <w:t>kategorii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wymagań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dotyczących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wydajności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lub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funkcjonalności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o </w:t>
      </w:r>
      <w:proofErr w:type="spellStart"/>
      <w:r w:rsidRPr="001900BB">
        <w:rPr>
          <w:rFonts w:ascii="Arial" w:hAnsi="Arial" w:cs="Arial"/>
          <w:sz w:val="24"/>
          <w:szCs w:val="24"/>
        </w:rPr>
        <w:t>których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mowa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w </w:t>
      </w:r>
      <w:proofErr w:type="spellStart"/>
      <w:r w:rsidRPr="001900BB">
        <w:rPr>
          <w:rFonts w:ascii="Arial" w:hAnsi="Arial" w:cs="Arial"/>
          <w:sz w:val="24"/>
          <w:szCs w:val="24"/>
        </w:rPr>
        <w:t>tiret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1, </w:t>
      </w:r>
      <w:proofErr w:type="spellStart"/>
      <w:r w:rsidRPr="001900BB">
        <w:rPr>
          <w:rFonts w:ascii="Arial" w:hAnsi="Arial" w:cs="Arial"/>
          <w:sz w:val="24"/>
          <w:szCs w:val="24"/>
        </w:rPr>
        <w:t>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przez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odniesienie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do norm, </w:t>
      </w:r>
      <w:proofErr w:type="spellStart"/>
      <w:r w:rsidRPr="001900BB">
        <w:rPr>
          <w:rFonts w:ascii="Arial" w:hAnsi="Arial" w:cs="Arial"/>
          <w:sz w:val="24"/>
          <w:szCs w:val="24"/>
        </w:rPr>
        <w:t>europejskich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ocen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technicznych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hAnsi="Arial" w:cs="Arial"/>
          <w:sz w:val="24"/>
          <w:szCs w:val="24"/>
        </w:rPr>
        <w:t>specyfikacji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technicznych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systemów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referencji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technicznych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o </w:t>
      </w:r>
      <w:proofErr w:type="spellStart"/>
      <w:r w:rsidRPr="001900BB">
        <w:rPr>
          <w:rFonts w:ascii="Arial" w:hAnsi="Arial" w:cs="Arial"/>
          <w:sz w:val="24"/>
          <w:szCs w:val="24"/>
        </w:rPr>
        <w:t>których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mowa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w </w:t>
      </w:r>
      <w:proofErr w:type="spellStart"/>
      <w:r w:rsidRPr="001900BB">
        <w:rPr>
          <w:rFonts w:ascii="Arial" w:hAnsi="Arial" w:cs="Arial"/>
          <w:sz w:val="24"/>
          <w:szCs w:val="24"/>
        </w:rPr>
        <w:t>tiret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2, </w:t>
      </w:r>
      <w:proofErr w:type="spellStart"/>
      <w:r w:rsidRPr="001900BB">
        <w:rPr>
          <w:rFonts w:ascii="Arial" w:hAnsi="Arial" w:cs="Arial"/>
          <w:sz w:val="24"/>
          <w:szCs w:val="24"/>
        </w:rPr>
        <w:t>stanowiących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środek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domniemania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zgodności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1900BB">
        <w:rPr>
          <w:rFonts w:ascii="Arial" w:hAnsi="Arial" w:cs="Arial"/>
          <w:sz w:val="24"/>
          <w:szCs w:val="24"/>
        </w:rPr>
        <w:t>tego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rodzaju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wymaganiami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dotyczącymi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wydajności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lub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funkcjonalności</w:t>
      </w:r>
      <w:proofErr w:type="spellEnd"/>
      <w:r w:rsidRPr="001900BB">
        <w:rPr>
          <w:rFonts w:ascii="Arial" w:hAnsi="Arial" w:cs="Arial"/>
          <w:sz w:val="24"/>
          <w:szCs w:val="24"/>
        </w:rPr>
        <w:t>.</w:t>
      </w:r>
    </w:p>
    <w:p w14:paraId="5CA79A0E" w14:textId="77777777" w:rsidR="001900BB" w:rsidRPr="001900BB" w:rsidRDefault="001900BB" w:rsidP="001900BB">
      <w:pPr>
        <w:shd w:val="clear" w:color="auto" w:fill="FFFFFF"/>
        <w:tabs>
          <w:tab w:val="left" w:pos="142"/>
        </w:tabs>
        <w:spacing w:line="360" w:lineRule="auto"/>
        <w:rPr>
          <w:rFonts w:ascii="Arial" w:hAnsi="Arial" w:cs="Arial"/>
          <w:sz w:val="24"/>
          <w:szCs w:val="24"/>
        </w:rPr>
      </w:pPr>
      <w:r w:rsidRPr="001900BB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1900BB">
        <w:rPr>
          <w:rFonts w:ascii="Arial" w:hAnsi="Arial" w:cs="Arial"/>
          <w:sz w:val="24"/>
          <w:szCs w:val="24"/>
        </w:rPr>
        <w:t>Przez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normę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należy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rozumieć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specyfikację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techniczną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przyjętą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przez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krajową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hAnsi="Arial" w:cs="Arial"/>
          <w:sz w:val="24"/>
          <w:szCs w:val="24"/>
        </w:rPr>
        <w:t>europejską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r w:rsidRPr="001900BB">
        <w:rPr>
          <w:rFonts w:ascii="Arial" w:hAnsi="Arial" w:cs="Arial"/>
          <w:sz w:val="24"/>
          <w:szCs w:val="24"/>
        </w:rPr>
        <w:br/>
      </w:r>
      <w:proofErr w:type="spellStart"/>
      <w:r w:rsidRPr="001900BB">
        <w:rPr>
          <w:rFonts w:ascii="Arial" w:hAnsi="Arial" w:cs="Arial"/>
          <w:sz w:val="24"/>
          <w:szCs w:val="24"/>
        </w:rPr>
        <w:t>lub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międzynarodową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instytucję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normalizacyjną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w </w:t>
      </w:r>
      <w:proofErr w:type="spellStart"/>
      <w:r w:rsidRPr="001900BB">
        <w:rPr>
          <w:rFonts w:ascii="Arial" w:hAnsi="Arial" w:cs="Arial"/>
          <w:sz w:val="24"/>
          <w:szCs w:val="24"/>
        </w:rPr>
        <w:t>celu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powtarzalnego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stałego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stosowania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hAnsi="Arial" w:cs="Arial"/>
          <w:sz w:val="24"/>
          <w:szCs w:val="24"/>
        </w:rPr>
        <w:t>której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przestrzeganie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nie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jest </w:t>
      </w:r>
      <w:proofErr w:type="spellStart"/>
      <w:r w:rsidRPr="001900BB">
        <w:rPr>
          <w:rFonts w:ascii="Arial" w:hAnsi="Arial" w:cs="Arial"/>
          <w:sz w:val="24"/>
          <w:szCs w:val="24"/>
        </w:rPr>
        <w:t>obowiązkowe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w </w:t>
      </w:r>
      <w:proofErr w:type="spellStart"/>
      <w:r w:rsidRPr="001900BB">
        <w:rPr>
          <w:rFonts w:ascii="Arial" w:hAnsi="Arial" w:cs="Arial"/>
          <w:sz w:val="24"/>
          <w:szCs w:val="24"/>
        </w:rPr>
        <w:t>tym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Polską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Normę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hAnsi="Arial" w:cs="Arial"/>
          <w:sz w:val="24"/>
          <w:szCs w:val="24"/>
        </w:rPr>
        <w:t>normę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europejską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lub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normę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międzynarodową</w:t>
      </w:r>
      <w:proofErr w:type="spellEnd"/>
      <w:r w:rsidRPr="001900BB">
        <w:rPr>
          <w:rFonts w:ascii="Arial" w:hAnsi="Arial" w:cs="Arial"/>
          <w:sz w:val="24"/>
          <w:szCs w:val="24"/>
        </w:rPr>
        <w:t>.</w:t>
      </w:r>
    </w:p>
    <w:p w14:paraId="24CDF171" w14:textId="77777777" w:rsidR="001900BB" w:rsidRPr="001900BB" w:rsidRDefault="001900BB" w:rsidP="001900BB">
      <w:pPr>
        <w:shd w:val="clear" w:color="auto" w:fill="FFFFFF"/>
        <w:tabs>
          <w:tab w:val="left" w:pos="142"/>
        </w:tabs>
        <w:spacing w:line="360" w:lineRule="auto"/>
        <w:rPr>
          <w:rFonts w:ascii="Arial" w:hAnsi="Arial" w:cs="Arial"/>
          <w:sz w:val="24"/>
          <w:szCs w:val="24"/>
        </w:rPr>
      </w:pPr>
      <w:r w:rsidRPr="001900BB">
        <w:rPr>
          <w:rFonts w:ascii="Arial" w:hAnsi="Arial" w:cs="Arial"/>
          <w:sz w:val="24"/>
          <w:szCs w:val="24"/>
        </w:rPr>
        <w:t xml:space="preserve">- W </w:t>
      </w:r>
      <w:proofErr w:type="spellStart"/>
      <w:r w:rsidRPr="001900BB">
        <w:rPr>
          <w:rFonts w:ascii="Arial" w:hAnsi="Arial" w:cs="Arial"/>
          <w:sz w:val="24"/>
          <w:szCs w:val="24"/>
        </w:rPr>
        <w:t>przypadku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braku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Polskich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Norm </w:t>
      </w:r>
      <w:proofErr w:type="spellStart"/>
      <w:r w:rsidRPr="001900BB">
        <w:rPr>
          <w:rFonts w:ascii="Arial" w:hAnsi="Arial" w:cs="Arial"/>
          <w:sz w:val="24"/>
          <w:szCs w:val="24"/>
        </w:rPr>
        <w:t>przenoszących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normy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europejskie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norm </w:t>
      </w:r>
      <w:proofErr w:type="spellStart"/>
      <w:r w:rsidRPr="001900BB">
        <w:rPr>
          <w:rFonts w:ascii="Arial" w:hAnsi="Arial" w:cs="Arial"/>
          <w:sz w:val="24"/>
          <w:szCs w:val="24"/>
        </w:rPr>
        <w:t>innych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państw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członkowskich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Europejskiego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Obszaru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Gospodarczego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przenoszących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normy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europejskie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oraz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norm, </w:t>
      </w:r>
      <w:proofErr w:type="spellStart"/>
      <w:r w:rsidRPr="001900BB">
        <w:rPr>
          <w:rFonts w:ascii="Arial" w:hAnsi="Arial" w:cs="Arial"/>
          <w:sz w:val="24"/>
          <w:szCs w:val="24"/>
        </w:rPr>
        <w:t>europejskich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ocen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technicznych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hAnsi="Arial" w:cs="Arial"/>
          <w:sz w:val="24"/>
          <w:szCs w:val="24"/>
        </w:rPr>
        <w:t>specyfikacji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technicznych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systemów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referencji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technicznych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</w:t>
      </w:r>
      <w:r w:rsidRPr="001900BB">
        <w:rPr>
          <w:rFonts w:ascii="Arial" w:hAnsi="Arial" w:cs="Arial"/>
          <w:sz w:val="24"/>
          <w:szCs w:val="24"/>
        </w:rPr>
        <w:br/>
        <w:t xml:space="preserve">o </w:t>
      </w:r>
      <w:proofErr w:type="spellStart"/>
      <w:r w:rsidRPr="001900BB">
        <w:rPr>
          <w:rFonts w:ascii="Arial" w:hAnsi="Arial" w:cs="Arial"/>
          <w:sz w:val="24"/>
          <w:szCs w:val="24"/>
        </w:rPr>
        <w:t>których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mowa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w </w:t>
      </w:r>
      <w:proofErr w:type="spellStart"/>
      <w:r w:rsidRPr="001900BB">
        <w:rPr>
          <w:rFonts w:ascii="Arial" w:hAnsi="Arial" w:cs="Arial"/>
          <w:sz w:val="24"/>
          <w:szCs w:val="24"/>
        </w:rPr>
        <w:t>tiret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2, </w:t>
      </w:r>
      <w:proofErr w:type="spellStart"/>
      <w:r w:rsidRPr="001900BB">
        <w:rPr>
          <w:rFonts w:ascii="Arial" w:hAnsi="Arial" w:cs="Arial"/>
          <w:sz w:val="24"/>
          <w:szCs w:val="24"/>
        </w:rPr>
        <w:t>przy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opisie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przedmiotu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zamówienia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uwzględnia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się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w </w:t>
      </w:r>
      <w:proofErr w:type="spellStart"/>
      <w:r w:rsidRPr="001900BB">
        <w:rPr>
          <w:rFonts w:ascii="Arial" w:hAnsi="Arial" w:cs="Arial"/>
          <w:sz w:val="24"/>
          <w:szCs w:val="24"/>
        </w:rPr>
        <w:t>kolejności</w:t>
      </w:r>
      <w:proofErr w:type="spellEnd"/>
      <w:r w:rsidRPr="001900BB">
        <w:rPr>
          <w:rFonts w:ascii="Arial" w:hAnsi="Arial" w:cs="Arial"/>
          <w:sz w:val="24"/>
          <w:szCs w:val="24"/>
        </w:rPr>
        <w:t>:</w:t>
      </w:r>
    </w:p>
    <w:p w14:paraId="0BB4342D" w14:textId="77777777" w:rsidR="001900BB" w:rsidRPr="001900BB" w:rsidRDefault="001900BB" w:rsidP="001900BB">
      <w:pPr>
        <w:pStyle w:val="Akapitzlist"/>
        <w:numPr>
          <w:ilvl w:val="0"/>
          <w:numId w:val="6"/>
        </w:numPr>
        <w:shd w:val="clear" w:color="auto" w:fill="FFFFFF"/>
        <w:tabs>
          <w:tab w:val="left" w:pos="142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proofErr w:type="spellStart"/>
      <w:r w:rsidRPr="001900BB">
        <w:rPr>
          <w:rFonts w:ascii="Arial" w:hAnsi="Arial" w:cs="Arial"/>
          <w:sz w:val="24"/>
          <w:szCs w:val="24"/>
        </w:rPr>
        <w:t>Polskie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Normy;</w:t>
      </w:r>
    </w:p>
    <w:p w14:paraId="1B4257B3" w14:textId="77777777" w:rsidR="001900BB" w:rsidRPr="001900BB" w:rsidRDefault="001900BB" w:rsidP="001900BB">
      <w:pPr>
        <w:pStyle w:val="Akapitzlist"/>
        <w:numPr>
          <w:ilvl w:val="0"/>
          <w:numId w:val="6"/>
        </w:numPr>
        <w:shd w:val="clear" w:color="auto" w:fill="FFFFFF"/>
        <w:tabs>
          <w:tab w:val="left" w:pos="142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proofErr w:type="spellStart"/>
      <w:r w:rsidRPr="001900BB">
        <w:rPr>
          <w:rFonts w:ascii="Arial" w:hAnsi="Arial" w:cs="Arial"/>
          <w:sz w:val="24"/>
          <w:szCs w:val="24"/>
        </w:rPr>
        <w:lastRenderedPageBreak/>
        <w:t>krajowe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oceny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techniczne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wydawane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na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podstawie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hyperlink r:id="rId10" w:anchor="/document/17091527?cm=DOCUMENT" w:history="1">
        <w:proofErr w:type="spellStart"/>
        <w:r w:rsidRPr="001900BB">
          <w:rPr>
            <w:rStyle w:val="Hipercze"/>
            <w:rFonts w:ascii="Arial" w:hAnsi="Arial" w:cs="Arial"/>
            <w:color w:val="auto"/>
            <w:sz w:val="24"/>
            <w:szCs w:val="24"/>
          </w:rPr>
          <w:t>ustawy</w:t>
        </w:r>
        <w:proofErr w:type="spellEnd"/>
      </w:hyperlink>
      <w:r w:rsidRPr="001900BB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1900BB">
        <w:rPr>
          <w:rFonts w:ascii="Arial" w:hAnsi="Arial" w:cs="Arial"/>
          <w:sz w:val="24"/>
          <w:szCs w:val="24"/>
        </w:rPr>
        <w:t>dnia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16 </w:t>
      </w:r>
      <w:proofErr w:type="spellStart"/>
      <w:r w:rsidRPr="001900BB">
        <w:rPr>
          <w:rFonts w:ascii="Arial" w:hAnsi="Arial" w:cs="Arial"/>
          <w:sz w:val="24"/>
          <w:szCs w:val="24"/>
        </w:rPr>
        <w:t>kwietnia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2004 r. o </w:t>
      </w:r>
      <w:proofErr w:type="spellStart"/>
      <w:r w:rsidRPr="001900BB">
        <w:rPr>
          <w:rFonts w:ascii="Arial" w:hAnsi="Arial" w:cs="Arial"/>
          <w:sz w:val="24"/>
          <w:szCs w:val="24"/>
        </w:rPr>
        <w:t>wyrobach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budowlanych</w:t>
      </w:r>
      <w:proofErr w:type="spellEnd"/>
      <w:r w:rsidRPr="001900BB">
        <w:rPr>
          <w:rFonts w:ascii="Arial" w:hAnsi="Arial" w:cs="Arial"/>
          <w:sz w:val="24"/>
          <w:szCs w:val="24"/>
        </w:rPr>
        <w:t>,</w:t>
      </w:r>
    </w:p>
    <w:p w14:paraId="5B2B2E17" w14:textId="77777777" w:rsidR="001900BB" w:rsidRPr="001900BB" w:rsidRDefault="001900BB" w:rsidP="001900BB">
      <w:pPr>
        <w:pStyle w:val="Akapitzlist"/>
        <w:numPr>
          <w:ilvl w:val="0"/>
          <w:numId w:val="6"/>
        </w:numPr>
        <w:shd w:val="clear" w:color="auto" w:fill="FFFFFF"/>
        <w:tabs>
          <w:tab w:val="left" w:pos="142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proofErr w:type="spellStart"/>
      <w:r w:rsidRPr="001900BB">
        <w:rPr>
          <w:rFonts w:ascii="Arial" w:hAnsi="Arial" w:cs="Arial"/>
          <w:sz w:val="24"/>
          <w:szCs w:val="24"/>
        </w:rPr>
        <w:t>polskie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specyfikacje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techniczne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dotyczące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projektowania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hAnsi="Arial" w:cs="Arial"/>
          <w:sz w:val="24"/>
          <w:szCs w:val="24"/>
        </w:rPr>
        <w:t>wyliczeń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realizacji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robót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budowlanych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oraz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wykorzystania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dostaw</w:t>
      </w:r>
      <w:proofErr w:type="spellEnd"/>
      <w:r w:rsidRPr="001900BB">
        <w:rPr>
          <w:rFonts w:ascii="Arial" w:hAnsi="Arial" w:cs="Arial"/>
          <w:sz w:val="24"/>
          <w:szCs w:val="24"/>
        </w:rPr>
        <w:t>;</w:t>
      </w:r>
    </w:p>
    <w:p w14:paraId="22940DCF" w14:textId="77777777" w:rsidR="001900BB" w:rsidRPr="001900BB" w:rsidRDefault="001900BB" w:rsidP="001900BB">
      <w:pPr>
        <w:pStyle w:val="Akapitzlist"/>
        <w:numPr>
          <w:ilvl w:val="0"/>
          <w:numId w:val="6"/>
        </w:numPr>
        <w:shd w:val="clear" w:color="auto" w:fill="FFFFFF"/>
        <w:tabs>
          <w:tab w:val="left" w:pos="142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proofErr w:type="spellStart"/>
      <w:r w:rsidRPr="001900BB">
        <w:rPr>
          <w:rFonts w:ascii="Arial" w:hAnsi="Arial" w:cs="Arial"/>
          <w:sz w:val="24"/>
          <w:szCs w:val="24"/>
        </w:rPr>
        <w:t>krajowe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deklaracje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zgodności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oraz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krajowe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deklaracje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właściwości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użytkowych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wyrobu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budowlanego</w:t>
      </w:r>
      <w:proofErr w:type="spellEnd"/>
      <w:r w:rsidRPr="001900BB">
        <w:rPr>
          <w:rFonts w:ascii="Arial" w:hAnsi="Arial" w:cs="Arial"/>
          <w:sz w:val="24"/>
          <w:szCs w:val="24"/>
        </w:rPr>
        <w:t>.</w:t>
      </w:r>
    </w:p>
    <w:p w14:paraId="24E295CB" w14:textId="77777777" w:rsidR="001900BB" w:rsidRPr="001900BB" w:rsidRDefault="001900BB" w:rsidP="001900BB">
      <w:pPr>
        <w:shd w:val="clear" w:color="auto" w:fill="FFFFFF"/>
        <w:tabs>
          <w:tab w:val="left" w:pos="142"/>
        </w:tabs>
        <w:spacing w:line="360" w:lineRule="auto"/>
        <w:rPr>
          <w:rFonts w:ascii="Arial" w:hAnsi="Arial" w:cs="Arial"/>
          <w:sz w:val="24"/>
          <w:szCs w:val="24"/>
        </w:rPr>
      </w:pPr>
      <w:r w:rsidRPr="001900BB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1900BB">
        <w:rPr>
          <w:rFonts w:ascii="Arial" w:hAnsi="Arial" w:cs="Arial"/>
          <w:sz w:val="24"/>
          <w:szCs w:val="24"/>
        </w:rPr>
        <w:t>Opisując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przedmiot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zamówienia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przez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odniesienie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do norm, </w:t>
      </w:r>
      <w:proofErr w:type="spellStart"/>
      <w:r w:rsidRPr="001900BB">
        <w:rPr>
          <w:rFonts w:ascii="Arial" w:hAnsi="Arial" w:cs="Arial"/>
          <w:sz w:val="24"/>
          <w:szCs w:val="24"/>
        </w:rPr>
        <w:t>ocen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technicznych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hAnsi="Arial" w:cs="Arial"/>
          <w:sz w:val="24"/>
          <w:szCs w:val="24"/>
        </w:rPr>
        <w:t>specyfikacji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technicznych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systemów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referencji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technicznych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o </w:t>
      </w:r>
      <w:proofErr w:type="spellStart"/>
      <w:r w:rsidRPr="001900BB">
        <w:rPr>
          <w:rFonts w:ascii="Arial" w:hAnsi="Arial" w:cs="Arial"/>
          <w:sz w:val="24"/>
          <w:szCs w:val="24"/>
        </w:rPr>
        <w:t>których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mowa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w </w:t>
      </w:r>
      <w:proofErr w:type="spellStart"/>
      <w:r w:rsidRPr="001900BB">
        <w:rPr>
          <w:rFonts w:ascii="Arial" w:hAnsi="Arial" w:cs="Arial"/>
          <w:sz w:val="24"/>
          <w:szCs w:val="24"/>
        </w:rPr>
        <w:t>tiret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2 </w:t>
      </w:r>
      <w:proofErr w:type="spellStart"/>
      <w:r w:rsidRPr="001900BB">
        <w:rPr>
          <w:rFonts w:ascii="Arial" w:hAnsi="Arial" w:cs="Arial"/>
          <w:sz w:val="24"/>
          <w:szCs w:val="24"/>
        </w:rPr>
        <w:t>oraz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6 </w:t>
      </w:r>
      <w:proofErr w:type="spellStart"/>
      <w:r w:rsidRPr="001900BB">
        <w:rPr>
          <w:rFonts w:ascii="Arial" w:hAnsi="Arial" w:cs="Arial"/>
          <w:sz w:val="24"/>
          <w:szCs w:val="24"/>
        </w:rPr>
        <w:t>należy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wskazać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</w:t>
      </w:r>
      <w:r w:rsidRPr="001900BB">
        <w:rPr>
          <w:rFonts w:ascii="Arial" w:hAnsi="Arial" w:cs="Arial"/>
          <w:sz w:val="24"/>
          <w:szCs w:val="24"/>
        </w:rPr>
        <w:br/>
      </w:r>
      <w:proofErr w:type="spellStart"/>
      <w:r w:rsidRPr="001900BB">
        <w:rPr>
          <w:rFonts w:ascii="Arial" w:hAnsi="Arial" w:cs="Arial"/>
          <w:sz w:val="24"/>
          <w:szCs w:val="24"/>
        </w:rPr>
        <w:t>że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dopuszcza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rozwiązania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równoważne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opisywanym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, a </w:t>
      </w:r>
      <w:proofErr w:type="spellStart"/>
      <w:r w:rsidRPr="001900BB">
        <w:rPr>
          <w:rFonts w:ascii="Arial" w:hAnsi="Arial" w:cs="Arial"/>
          <w:sz w:val="24"/>
          <w:szCs w:val="24"/>
        </w:rPr>
        <w:t>odniesieniu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takiemu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towarzyszą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wyrazy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r w:rsidRPr="001900BB">
        <w:rPr>
          <w:rFonts w:ascii="Arial" w:hAnsi="Arial" w:cs="Arial"/>
          <w:sz w:val="24"/>
          <w:szCs w:val="24"/>
        </w:rPr>
        <w:br/>
        <w:t>"</w:t>
      </w:r>
      <w:proofErr w:type="spellStart"/>
      <w:r w:rsidRPr="001900BB">
        <w:rPr>
          <w:rFonts w:ascii="Arial" w:hAnsi="Arial" w:cs="Arial"/>
          <w:sz w:val="24"/>
          <w:szCs w:val="24"/>
        </w:rPr>
        <w:t>lub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równoważne</w:t>
      </w:r>
      <w:proofErr w:type="spellEnd"/>
      <w:r w:rsidRPr="001900BB">
        <w:rPr>
          <w:rFonts w:ascii="Arial" w:hAnsi="Arial" w:cs="Arial"/>
          <w:sz w:val="24"/>
          <w:szCs w:val="24"/>
        </w:rPr>
        <w:t>".</w:t>
      </w:r>
    </w:p>
    <w:p w14:paraId="23994D30" w14:textId="77777777" w:rsidR="001900BB" w:rsidRPr="001900BB" w:rsidRDefault="001900BB" w:rsidP="001900BB">
      <w:pPr>
        <w:shd w:val="clear" w:color="auto" w:fill="FFFFFF"/>
        <w:tabs>
          <w:tab w:val="left" w:pos="142"/>
        </w:tabs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1900BB">
        <w:rPr>
          <w:rFonts w:ascii="Arial" w:eastAsia="Times New Roman" w:hAnsi="Arial" w:cs="Arial"/>
          <w:sz w:val="24"/>
          <w:szCs w:val="24"/>
        </w:rPr>
        <w:t xml:space="preserve">- W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przypadku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, o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którym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mowa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w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tiret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2,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należy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określić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w </w:t>
      </w:r>
      <w:proofErr w:type="spellStart"/>
      <w:r w:rsidRPr="001900BB">
        <w:rPr>
          <w:rFonts w:ascii="Arial" w:hAnsi="Arial" w:cs="Arial"/>
          <w:sz w:val="24"/>
          <w:szCs w:val="24"/>
        </w:rPr>
        <w:t>opisie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przedmiotu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zamówienia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na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roboty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budowlane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wymagane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cechy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materiału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produktu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lub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usługi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odpowiadające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przeznaczeniu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zamierzonemu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przez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zamawiającego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które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mogą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dotyczyć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w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szczególności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>:</w:t>
      </w:r>
    </w:p>
    <w:p w14:paraId="4B32E601" w14:textId="77777777" w:rsidR="001900BB" w:rsidRPr="001900BB" w:rsidRDefault="001900BB" w:rsidP="001900BB">
      <w:pPr>
        <w:shd w:val="clear" w:color="auto" w:fill="FFFFFF"/>
        <w:tabs>
          <w:tab w:val="left" w:pos="142"/>
        </w:tabs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1900BB">
        <w:rPr>
          <w:rFonts w:ascii="Arial" w:eastAsia="Times New Roman" w:hAnsi="Arial" w:cs="Arial"/>
          <w:sz w:val="24"/>
          <w:szCs w:val="24"/>
        </w:rPr>
        <w:t xml:space="preserve">a)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określonych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poziomów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oddziaływania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na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środowisko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klimat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>;</w:t>
      </w:r>
    </w:p>
    <w:p w14:paraId="7AAE9DB6" w14:textId="77777777" w:rsidR="001900BB" w:rsidRPr="001900BB" w:rsidRDefault="001900BB" w:rsidP="001900BB">
      <w:pPr>
        <w:shd w:val="clear" w:color="auto" w:fill="FFFFFF"/>
        <w:tabs>
          <w:tab w:val="left" w:pos="142"/>
        </w:tabs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1900BB">
        <w:rPr>
          <w:rFonts w:ascii="Arial" w:eastAsia="Times New Roman" w:hAnsi="Arial" w:cs="Arial"/>
          <w:sz w:val="24"/>
          <w:szCs w:val="24"/>
        </w:rPr>
        <w:t xml:space="preserve">b)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wymagań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w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zakresie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dostępności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dla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osób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niepełnosprawnych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>;</w:t>
      </w:r>
    </w:p>
    <w:p w14:paraId="17E537CB" w14:textId="77777777" w:rsidR="001900BB" w:rsidRPr="001900BB" w:rsidRDefault="001900BB" w:rsidP="001900BB">
      <w:pPr>
        <w:shd w:val="clear" w:color="auto" w:fill="FFFFFF"/>
        <w:tabs>
          <w:tab w:val="left" w:pos="142"/>
        </w:tabs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1900BB">
        <w:rPr>
          <w:rFonts w:ascii="Arial" w:eastAsia="Times New Roman" w:hAnsi="Arial" w:cs="Arial"/>
          <w:sz w:val="24"/>
          <w:szCs w:val="24"/>
        </w:rPr>
        <w:t xml:space="preserve">c)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określonej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wydajności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bezpieczeństwa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lub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wymiarów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, w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tym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procedur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dotyczących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zapewnienia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jakości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>;</w:t>
      </w:r>
    </w:p>
    <w:p w14:paraId="4F9A3725" w14:textId="77777777" w:rsidR="001900BB" w:rsidRPr="001900BB" w:rsidRDefault="001900BB" w:rsidP="001900BB">
      <w:pPr>
        <w:shd w:val="clear" w:color="auto" w:fill="FFFFFF"/>
        <w:tabs>
          <w:tab w:val="left" w:pos="142"/>
        </w:tabs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1900BB">
        <w:rPr>
          <w:rFonts w:ascii="Arial" w:eastAsia="Times New Roman" w:hAnsi="Arial" w:cs="Arial"/>
          <w:sz w:val="24"/>
          <w:szCs w:val="24"/>
        </w:rPr>
        <w:t xml:space="preserve">d)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określonej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terminologii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symboli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testów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metod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testowania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>;</w:t>
      </w:r>
    </w:p>
    <w:p w14:paraId="6A425C75" w14:textId="77777777" w:rsidR="001900BB" w:rsidRPr="001900BB" w:rsidRDefault="001900BB" w:rsidP="001900BB">
      <w:pPr>
        <w:shd w:val="clear" w:color="auto" w:fill="FFFFFF"/>
        <w:tabs>
          <w:tab w:val="left" w:pos="142"/>
        </w:tabs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1900BB">
        <w:rPr>
          <w:rFonts w:ascii="Arial" w:eastAsia="Times New Roman" w:hAnsi="Arial" w:cs="Arial"/>
          <w:sz w:val="24"/>
          <w:szCs w:val="24"/>
        </w:rPr>
        <w:t xml:space="preserve">e)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określonego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opakowania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oznakowania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>;</w:t>
      </w:r>
    </w:p>
    <w:p w14:paraId="0EE1E26D" w14:textId="77777777" w:rsidR="001900BB" w:rsidRPr="001900BB" w:rsidRDefault="001900BB" w:rsidP="001900BB">
      <w:pPr>
        <w:shd w:val="clear" w:color="auto" w:fill="FFFFFF"/>
        <w:tabs>
          <w:tab w:val="left" w:pos="142"/>
        </w:tabs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1900BB">
        <w:rPr>
          <w:rFonts w:ascii="Arial" w:eastAsia="Times New Roman" w:hAnsi="Arial" w:cs="Arial"/>
          <w:sz w:val="24"/>
          <w:szCs w:val="24"/>
        </w:rPr>
        <w:t xml:space="preserve">f)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określonej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etykiety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>;</w:t>
      </w:r>
    </w:p>
    <w:p w14:paraId="0AB834FC" w14:textId="77777777" w:rsidR="001900BB" w:rsidRPr="001900BB" w:rsidRDefault="001900BB" w:rsidP="001900BB">
      <w:pPr>
        <w:shd w:val="clear" w:color="auto" w:fill="FFFFFF"/>
        <w:tabs>
          <w:tab w:val="left" w:pos="142"/>
        </w:tabs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1900BB">
        <w:rPr>
          <w:rFonts w:ascii="Arial" w:eastAsia="Times New Roman" w:hAnsi="Arial" w:cs="Arial"/>
          <w:sz w:val="24"/>
          <w:szCs w:val="24"/>
        </w:rPr>
        <w:t xml:space="preserve">g)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instrukcji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użytkowania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>;</w:t>
      </w:r>
    </w:p>
    <w:p w14:paraId="57D562AA" w14:textId="77777777" w:rsidR="001900BB" w:rsidRPr="001900BB" w:rsidRDefault="001900BB" w:rsidP="001900BB">
      <w:pPr>
        <w:shd w:val="clear" w:color="auto" w:fill="FFFFFF"/>
        <w:tabs>
          <w:tab w:val="left" w:pos="142"/>
        </w:tabs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1900BB">
        <w:rPr>
          <w:rFonts w:ascii="Arial" w:eastAsia="Times New Roman" w:hAnsi="Arial" w:cs="Arial"/>
          <w:sz w:val="24"/>
          <w:szCs w:val="24"/>
        </w:rPr>
        <w:t xml:space="preserve">h)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procesów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metod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produkcji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na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każdym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etapie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cyklu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życia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obiektów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budowlanych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>;</w:t>
      </w:r>
    </w:p>
    <w:p w14:paraId="3036F9A9" w14:textId="77777777" w:rsidR="001900BB" w:rsidRPr="001900BB" w:rsidRDefault="001900BB" w:rsidP="001900BB">
      <w:pPr>
        <w:shd w:val="clear" w:color="auto" w:fill="FFFFFF"/>
        <w:tabs>
          <w:tab w:val="left" w:pos="142"/>
        </w:tabs>
        <w:spacing w:line="36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1900BB">
        <w:rPr>
          <w:rFonts w:ascii="Arial" w:eastAsia="Times New Roman" w:hAnsi="Arial" w:cs="Arial"/>
          <w:sz w:val="24"/>
          <w:szCs w:val="24"/>
        </w:rPr>
        <w:t>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)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dodatkowych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badań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testów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przeprowadzanych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przez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jednostki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autoryzowane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w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rozumieniu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hyperlink r:id="rId11" w:anchor="/document/18301953?cm=DOCUMENT" w:history="1">
        <w:proofErr w:type="spellStart"/>
        <w:r w:rsidRPr="001900BB">
          <w:rPr>
            <w:rStyle w:val="Hipercze"/>
            <w:rFonts w:ascii="Arial" w:eastAsia="Times New Roman" w:hAnsi="Arial" w:cs="Arial"/>
            <w:color w:val="auto"/>
            <w:sz w:val="24"/>
            <w:szCs w:val="24"/>
          </w:rPr>
          <w:t>ustawy</w:t>
        </w:r>
        <w:proofErr w:type="spellEnd"/>
      </w:hyperlink>
      <w:r w:rsidRPr="001900BB">
        <w:rPr>
          <w:rFonts w:ascii="Arial" w:eastAsia="Times New Roman" w:hAnsi="Arial" w:cs="Arial"/>
          <w:sz w:val="24"/>
          <w:szCs w:val="24"/>
        </w:rPr>
        <w:t xml:space="preserve"> z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dnia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13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kwietnia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2016 r. o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systemach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oceny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zgodności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nadzoru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rynku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>;</w:t>
      </w:r>
    </w:p>
    <w:p w14:paraId="4814A36F" w14:textId="77777777" w:rsidR="001900BB" w:rsidRPr="001900BB" w:rsidRDefault="001900BB" w:rsidP="001900BB">
      <w:pPr>
        <w:shd w:val="clear" w:color="auto" w:fill="FFFFFF"/>
        <w:tabs>
          <w:tab w:val="left" w:pos="142"/>
        </w:tabs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1900BB">
        <w:rPr>
          <w:rFonts w:ascii="Arial" w:eastAsia="Times New Roman" w:hAnsi="Arial" w:cs="Arial"/>
          <w:sz w:val="24"/>
          <w:szCs w:val="24"/>
        </w:rPr>
        <w:t xml:space="preserve">j)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określonych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zasad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dotyczących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projektowania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kosztorysowania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>;</w:t>
      </w:r>
    </w:p>
    <w:p w14:paraId="5ACEA766" w14:textId="77777777" w:rsidR="001900BB" w:rsidRPr="001900BB" w:rsidRDefault="001900BB" w:rsidP="001900BB">
      <w:pPr>
        <w:shd w:val="clear" w:color="auto" w:fill="FFFFFF"/>
        <w:tabs>
          <w:tab w:val="left" w:pos="142"/>
        </w:tabs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1900BB">
        <w:rPr>
          <w:rFonts w:ascii="Arial" w:eastAsia="Times New Roman" w:hAnsi="Arial" w:cs="Arial"/>
          <w:sz w:val="24"/>
          <w:szCs w:val="24"/>
        </w:rPr>
        <w:t xml:space="preserve">k)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warunków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testowania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kontroli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odbioru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obiektów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budowlanych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>;</w:t>
      </w:r>
    </w:p>
    <w:p w14:paraId="44F8D83C" w14:textId="77777777" w:rsidR="001900BB" w:rsidRPr="001900BB" w:rsidRDefault="001900BB" w:rsidP="001900BB">
      <w:pPr>
        <w:shd w:val="clear" w:color="auto" w:fill="FFFFFF"/>
        <w:tabs>
          <w:tab w:val="left" w:pos="142"/>
        </w:tabs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1900BB">
        <w:rPr>
          <w:rFonts w:ascii="Arial" w:eastAsia="Times New Roman" w:hAnsi="Arial" w:cs="Arial"/>
          <w:sz w:val="24"/>
          <w:szCs w:val="24"/>
        </w:rPr>
        <w:t xml:space="preserve">l)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metod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technik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budowy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>;</w:t>
      </w:r>
    </w:p>
    <w:p w14:paraId="198C4A05" w14:textId="77777777" w:rsidR="001900BB" w:rsidRPr="001900BB" w:rsidRDefault="001900BB" w:rsidP="001900BB">
      <w:pPr>
        <w:shd w:val="clear" w:color="auto" w:fill="FFFFFF"/>
        <w:tabs>
          <w:tab w:val="left" w:pos="142"/>
        </w:tabs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1900BB">
        <w:rPr>
          <w:rFonts w:ascii="Arial" w:eastAsia="Times New Roman" w:hAnsi="Arial" w:cs="Arial"/>
          <w:sz w:val="24"/>
          <w:szCs w:val="24"/>
        </w:rPr>
        <w:lastRenderedPageBreak/>
        <w:t xml:space="preserve">m)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wszelkich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pozostałych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warunków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technicznych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>.</w:t>
      </w:r>
    </w:p>
    <w:p w14:paraId="36005B96" w14:textId="77777777" w:rsidR="001900BB" w:rsidRPr="001900BB" w:rsidRDefault="001900BB" w:rsidP="001900BB">
      <w:pPr>
        <w:shd w:val="clear" w:color="auto" w:fill="FFFFFF"/>
        <w:tabs>
          <w:tab w:val="left" w:pos="142"/>
        </w:tabs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1900BB">
        <w:rPr>
          <w:rFonts w:ascii="Arial" w:eastAsia="Times New Roman" w:hAnsi="Arial" w:cs="Arial"/>
          <w:sz w:val="24"/>
          <w:szCs w:val="24"/>
        </w:rPr>
        <w:t xml:space="preserve">- Program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funkcjonalno-użytkowy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obejmuje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hAnsi="Arial" w:cs="Arial"/>
          <w:sz w:val="24"/>
          <w:szCs w:val="24"/>
        </w:rPr>
        <w:t>opis</w:t>
      </w:r>
      <w:proofErr w:type="spellEnd"/>
      <w:r w:rsidRPr="001900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zadania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budowlanego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, w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którym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podaje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się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przeznaczenie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ukończonych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robót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budowlanych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oraz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stawiane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im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wymagania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techniczne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ekonomiczne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architektoniczne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materiałowe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i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900BB">
        <w:rPr>
          <w:rFonts w:ascii="Arial" w:eastAsia="Times New Roman" w:hAnsi="Arial" w:cs="Arial"/>
          <w:sz w:val="24"/>
          <w:szCs w:val="24"/>
        </w:rPr>
        <w:t>funkcjonalne</w:t>
      </w:r>
      <w:proofErr w:type="spellEnd"/>
      <w:r w:rsidRPr="001900BB">
        <w:rPr>
          <w:rFonts w:ascii="Arial" w:eastAsia="Times New Roman" w:hAnsi="Arial" w:cs="Arial"/>
          <w:sz w:val="24"/>
          <w:szCs w:val="24"/>
        </w:rPr>
        <w:t>.</w:t>
      </w:r>
    </w:p>
    <w:p w14:paraId="46C6650E" w14:textId="02A7C602" w:rsidR="001900BB" w:rsidRPr="001900BB" w:rsidRDefault="001900BB" w:rsidP="001900BB">
      <w:pPr>
        <w:pStyle w:val="Default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color w:val="auto"/>
        </w:rPr>
      </w:pPr>
      <w:r w:rsidRPr="001900BB">
        <w:rPr>
          <w:color w:val="auto"/>
        </w:rPr>
        <w:t>Wykonawca zapewni, w trakcie postępowania o udzielenie zamówienia publicznego, którego przedmiotem będą roboty budowlane wykonywane na podstawie dokumentacji projektowej przekazanej Zamawiającemu przez Wykonawcę, aby projektant w ramach nadzoru autorskiego udzielił odpowiedzi na zapytania dotyczące treści Specyfikacji Warunków Zamówienia w zakresie opisu przedmiotu zamówienia na roboty budowlane opisane tą dokumentacją oraz w razie potrzeby uzupełnił tę dokumentację nieodpłatnie w terminach wskazanych przez Zamawiającego. Termin wyznaczony przez zamawiającego nie może być krótszy niż dwa dni robocze od przekazania przez zamawiającego każdego z zapytań.</w:t>
      </w:r>
    </w:p>
    <w:p w14:paraId="441FA294" w14:textId="3B09FC36" w:rsidR="001900BB" w:rsidRPr="001900BB" w:rsidRDefault="001900BB" w:rsidP="001900BB">
      <w:pPr>
        <w:pStyle w:val="Default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color w:val="auto"/>
        </w:rPr>
      </w:pPr>
      <w:r w:rsidRPr="001900BB">
        <w:rPr>
          <w:color w:val="auto"/>
        </w:rPr>
        <w:t>Wykonawca w trakcie postępowania o udzielenie zamówienia publicznego, którego przedmiotem będą roboty budowlane wykonywane na podstawie dokumentacji opracowanej przez Wykonawcę zapewni, aby projektant w ramach nadzoru autorskiego dokonał oceny równoważności oferty wykonawcy robót budowlanych, jeżeli podmiot ten złoży ofertę równoważną, w terminie  nie dłuższym niż dwa 5 dni roboczych od przekazania przez Zamawiającego zakresu równoważności określonego w ofercie wykonawcy robót budowlanych.</w:t>
      </w:r>
    </w:p>
    <w:p w14:paraId="588470A5" w14:textId="77777777" w:rsidR="005B1CBA" w:rsidRPr="005D5DC5" w:rsidRDefault="005B1CBA" w:rsidP="001900BB">
      <w:pPr>
        <w:tabs>
          <w:tab w:val="left" w:pos="-284"/>
        </w:tabs>
        <w:spacing w:line="360" w:lineRule="auto"/>
        <w:ind w:left="-567"/>
        <w:rPr>
          <w:rFonts w:ascii="Arial" w:hAnsi="Arial" w:cs="Arial"/>
          <w:sz w:val="22"/>
          <w:szCs w:val="22"/>
          <w:lang w:val="pl-PL"/>
        </w:rPr>
      </w:pPr>
    </w:p>
    <w:sectPr w:rsidR="005B1CBA" w:rsidRPr="005D5DC5">
      <w:headerReference w:type="default" r:id="rId12"/>
      <w:footerReference w:type="default" r:id="rId13"/>
      <w:pgSz w:w="11906" w:h="16838"/>
      <w:pgMar w:top="1440" w:right="1800" w:bottom="1440" w:left="180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2B3B5" w14:textId="77777777" w:rsidR="00DD7AA7" w:rsidRDefault="00DD7AA7" w:rsidP="006138DD">
      <w:r>
        <w:separator/>
      </w:r>
    </w:p>
  </w:endnote>
  <w:endnote w:type="continuationSeparator" w:id="0">
    <w:p w14:paraId="0888375C" w14:textId="77777777" w:rsidR="00DD7AA7" w:rsidRDefault="00DD7AA7" w:rsidP="00613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57800" w14:textId="77777777" w:rsidR="006138DD" w:rsidRDefault="006138D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4F498612" w14:textId="77777777" w:rsidR="006138DD" w:rsidRDefault="006138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7E83E" w14:textId="77777777" w:rsidR="00DD7AA7" w:rsidRDefault="00DD7AA7" w:rsidP="006138DD">
      <w:r>
        <w:separator/>
      </w:r>
    </w:p>
  </w:footnote>
  <w:footnote w:type="continuationSeparator" w:id="0">
    <w:p w14:paraId="7997863F" w14:textId="77777777" w:rsidR="00DD7AA7" w:rsidRDefault="00DD7AA7" w:rsidP="00613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67B6A" w14:textId="77777777" w:rsidR="00824003" w:rsidRDefault="00962EF4" w:rsidP="00824003">
    <w:pPr>
      <w:pStyle w:val="Nagwek"/>
      <w:jc w:val="center"/>
    </w:pPr>
    <w:r w:rsidRPr="00962EF4">
      <w:rPr>
        <w:rFonts w:ascii="Arial" w:hAnsi="Arial" w:cs="Arial"/>
        <w:b/>
        <w:noProof/>
        <w:lang w:eastAsia="pl-PL"/>
      </w:rPr>
      <w:drawing>
        <wp:inline distT="0" distB="0" distL="0" distR="0" wp14:anchorId="263E038C" wp14:editId="341AE5DB">
          <wp:extent cx="5486400" cy="746760"/>
          <wp:effectExtent l="0" t="0" r="0" b="0"/>
          <wp:docPr id="1" name="Obraz 1" descr="Na zdjęciu znajdują się logotypy: Krajowego Planu Odbudowy, flaga Rzeczypospolitej Polskiej, flaga Unii Europejskiej oraz informacja o sfinansowaniu przez Unię Europejską NextGeneratio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Na zdjęciu znajdują się logotypy: Krajowego Planu Odbudowy, flaga Rzeczypospolitej Polskiej, flaga Unii Europejskiej oraz informacja o sfinansowaniu przez Unię Europejską NextGeneratio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" t="-23" r="-3" b="-23"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7467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D0AD2"/>
    <w:multiLevelType w:val="hybridMultilevel"/>
    <w:tmpl w:val="08D04E08"/>
    <w:lvl w:ilvl="0" w:tplc="5734CA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1B68AF"/>
    <w:multiLevelType w:val="hybridMultilevel"/>
    <w:tmpl w:val="5F047A54"/>
    <w:lvl w:ilvl="0" w:tplc="A9083B8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80759F"/>
    <w:multiLevelType w:val="hybridMultilevel"/>
    <w:tmpl w:val="5FE8A020"/>
    <w:lvl w:ilvl="0" w:tplc="7346C0A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65756"/>
    <w:multiLevelType w:val="hybridMultilevel"/>
    <w:tmpl w:val="22F2E912"/>
    <w:lvl w:ilvl="0" w:tplc="0DBE731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C2C02"/>
    <w:multiLevelType w:val="multilevel"/>
    <w:tmpl w:val="A9DCD7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DDB1762"/>
    <w:multiLevelType w:val="hybridMultilevel"/>
    <w:tmpl w:val="87728726"/>
    <w:lvl w:ilvl="0" w:tplc="BE149466">
      <w:start w:val="1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4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61A"/>
    <w:rsid w:val="000A07CA"/>
    <w:rsid w:val="000A41AB"/>
    <w:rsid w:val="00132693"/>
    <w:rsid w:val="001900BB"/>
    <w:rsid w:val="001A75B6"/>
    <w:rsid w:val="002449C1"/>
    <w:rsid w:val="002D7781"/>
    <w:rsid w:val="002F361A"/>
    <w:rsid w:val="003763FB"/>
    <w:rsid w:val="00390F64"/>
    <w:rsid w:val="003B51D9"/>
    <w:rsid w:val="00401009"/>
    <w:rsid w:val="004A0923"/>
    <w:rsid w:val="005426DB"/>
    <w:rsid w:val="005B1CBA"/>
    <w:rsid w:val="005D5DC5"/>
    <w:rsid w:val="006138DD"/>
    <w:rsid w:val="00614A2F"/>
    <w:rsid w:val="006B3B3D"/>
    <w:rsid w:val="006D142A"/>
    <w:rsid w:val="007250A4"/>
    <w:rsid w:val="00771133"/>
    <w:rsid w:val="007767C9"/>
    <w:rsid w:val="007D7B10"/>
    <w:rsid w:val="00824003"/>
    <w:rsid w:val="00852450"/>
    <w:rsid w:val="00866DC7"/>
    <w:rsid w:val="00893A13"/>
    <w:rsid w:val="00930EC2"/>
    <w:rsid w:val="00962EF4"/>
    <w:rsid w:val="0098744E"/>
    <w:rsid w:val="009D6732"/>
    <w:rsid w:val="00A101B6"/>
    <w:rsid w:val="00A4006A"/>
    <w:rsid w:val="00A521B1"/>
    <w:rsid w:val="00B30117"/>
    <w:rsid w:val="00B3154A"/>
    <w:rsid w:val="00B35422"/>
    <w:rsid w:val="00B66344"/>
    <w:rsid w:val="00BB649B"/>
    <w:rsid w:val="00C22D47"/>
    <w:rsid w:val="00DD7AA7"/>
    <w:rsid w:val="00EB4EC9"/>
    <w:rsid w:val="00F01CB6"/>
    <w:rsid w:val="00F215FB"/>
    <w:rsid w:val="00F57229"/>
    <w:rsid w:val="00F85D0F"/>
    <w:rsid w:val="00FE6BE2"/>
    <w:rsid w:val="00FF47ED"/>
    <w:rsid w:val="066C71D5"/>
    <w:rsid w:val="0D20392F"/>
    <w:rsid w:val="16ED5115"/>
    <w:rsid w:val="274C09EE"/>
    <w:rsid w:val="281A5C52"/>
    <w:rsid w:val="2CAC27CE"/>
    <w:rsid w:val="30DA0830"/>
    <w:rsid w:val="5BB94CBA"/>
    <w:rsid w:val="63330C64"/>
    <w:rsid w:val="7F12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137FF2"/>
  <w15:chartTrackingRefBased/>
  <w15:docId w15:val="{0EB0B9A9-9611-4111-8C56-95FCC319E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138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138DD"/>
    <w:rPr>
      <w:lang w:val="en-US" w:eastAsia="zh-CN"/>
    </w:rPr>
  </w:style>
  <w:style w:type="paragraph" w:styleId="Stopka">
    <w:name w:val="footer"/>
    <w:basedOn w:val="Normalny"/>
    <w:link w:val="StopkaZnak"/>
    <w:uiPriority w:val="99"/>
    <w:rsid w:val="006138D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138DD"/>
    <w:rPr>
      <w:lang w:val="en-US" w:eastAsia="zh-CN"/>
    </w:r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34"/>
    <w:qFormat/>
    <w:rsid w:val="00F215F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900BB"/>
    <w:rPr>
      <w:color w:val="0000FF"/>
      <w:u w:val="single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34"/>
    <w:locked/>
    <w:rsid w:val="001900BB"/>
    <w:rPr>
      <w:lang w:val="en-US" w:eastAsia="zh-CN"/>
    </w:rPr>
  </w:style>
  <w:style w:type="paragraph" w:customStyle="1" w:styleId="Default">
    <w:name w:val="Default"/>
    <w:rsid w:val="001900B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7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1798</Words>
  <Characters>10791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Stanisaw Kosmowski</cp:lastModifiedBy>
  <cp:revision>2</cp:revision>
  <dcterms:created xsi:type="dcterms:W3CDTF">2024-03-05T22:10:00Z</dcterms:created>
  <dcterms:modified xsi:type="dcterms:W3CDTF">2024-03-05T22:10:00Z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1045-11.2.0.11537</vt:lpwstr>
  </property>
  <property fmtid="{D5CDD505-2E9C-101B-9397-08002B2CF9AE}" pid="3" name="ICV">
    <vt:lpwstr>1705B25B7D0E47A9B236C8C517B47E40</vt:lpwstr>
  </property>
</Properties>
</file>