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2438C" w14:textId="77777777" w:rsidR="00961506" w:rsidRDefault="00961506" w:rsidP="00961506">
      <w:pPr>
        <w:pStyle w:val="Tekstpodstawowy"/>
        <w:ind w:left="0" w:firstLine="0"/>
        <w:rPr>
          <w:rFonts w:ascii="Times New Roman"/>
          <w:sz w:val="20"/>
        </w:rPr>
      </w:pPr>
    </w:p>
    <w:p w14:paraId="27963B36" w14:textId="77777777" w:rsidR="00961506" w:rsidRDefault="00961506" w:rsidP="00961506">
      <w:pPr>
        <w:pStyle w:val="Tekstpodstawowy"/>
        <w:ind w:left="0" w:firstLine="0"/>
        <w:rPr>
          <w:rFonts w:ascii="Times New Roman"/>
          <w:sz w:val="20"/>
        </w:rPr>
      </w:pPr>
    </w:p>
    <w:p w14:paraId="496A48EE" w14:textId="77777777" w:rsidR="00961506" w:rsidRDefault="00961506" w:rsidP="00961506">
      <w:pPr>
        <w:pStyle w:val="Tekstpodstawowy"/>
        <w:ind w:left="0" w:firstLine="0"/>
        <w:rPr>
          <w:rFonts w:ascii="Times New Roman"/>
          <w:sz w:val="20"/>
        </w:rPr>
      </w:pPr>
    </w:p>
    <w:p w14:paraId="0D7CA2CA" w14:textId="77777777" w:rsidR="00961506" w:rsidRDefault="00961506" w:rsidP="00961506">
      <w:pPr>
        <w:pStyle w:val="Tytu"/>
      </w:pPr>
      <w:r>
        <w:t>OPIS PRZEDMIOTU ZAMÓWIENIA</w:t>
      </w:r>
    </w:p>
    <w:p w14:paraId="017DC813" w14:textId="32899415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267"/>
        <w:ind w:right="111" w:hanging="360"/>
        <w:jc w:val="both"/>
      </w:pPr>
      <w:r>
        <w:t xml:space="preserve">Przedmiotem  zamówienia  jest  dostawa  oleju  napędowego  grzewczego  w  ilości  </w:t>
      </w:r>
      <w:r w:rsidR="00B01FCD">
        <w:t>70 000 litrów</w:t>
      </w:r>
      <w:r>
        <w:t xml:space="preserve">   w okresie </w:t>
      </w:r>
      <w:r w:rsidR="00B01FCD">
        <w:t xml:space="preserve">od </w:t>
      </w:r>
      <w:r w:rsidR="0003601C">
        <w:t>01</w:t>
      </w:r>
      <w:r w:rsidR="00B01FCD">
        <w:t>.01.202</w:t>
      </w:r>
      <w:r w:rsidR="0003601C">
        <w:t>4</w:t>
      </w:r>
      <w:r>
        <w:t xml:space="preserve">  </w:t>
      </w:r>
      <w:r w:rsidR="00B01FCD">
        <w:t>do 31.12.202</w:t>
      </w:r>
      <w:r w:rsidR="0003601C">
        <w:t>4</w:t>
      </w:r>
      <w:r w:rsidR="00B01FCD">
        <w:t xml:space="preserve"> r</w:t>
      </w:r>
      <w:r>
        <w:t xml:space="preserve"> do   Domu  Pomocy  Społecznej w </w:t>
      </w:r>
      <w:r w:rsidR="00B01FCD">
        <w:t>Grazymach</w:t>
      </w:r>
      <w:r>
        <w:t>.</w:t>
      </w:r>
    </w:p>
    <w:p w14:paraId="51712637" w14:textId="4CDE1BF9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5" w:hanging="360"/>
        <w:jc w:val="both"/>
      </w:pPr>
      <w:r>
        <w:t>Zamawiający posiada pięć zbiorników na olej opałowy o pojemności 2</w:t>
      </w:r>
      <w:r w:rsidR="00B01FCD">
        <w:t>000</w:t>
      </w:r>
      <w:r>
        <w:t xml:space="preserve"> </w:t>
      </w:r>
      <w:r w:rsidR="00B01FCD">
        <w:t>l każdy</w:t>
      </w:r>
      <w:r>
        <w:t>, łączna pojemność zbiorników wynosi</w:t>
      </w:r>
      <w:r>
        <w:rPr>
          <w:spacing w:val="-3"/>
        </w:rPr>
        <w:t xml:space="preserve"> </w:t>
      </w:r>
      <w:r>
        <w:t>10</w:t>
      </w:r>
      <w:r w:rsidR="00B01FCD">
        <w:t xml:space="preserve"> 000 litrów</w:t>
      </w:r>
      <w:r>
        <w:t>.</w:t>
      </w:r>
    </w:p>
    <w:p w14:paraId="7CD3F75A" w14:textId="515A842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1"/>
        <w:ind w:right="112" w:hanging="360"/>
        <w:jc w:val="both"/>
      </w:pPr>
      <w:r>
        <w:t xml:space="preserve">Jednorazowa dostawa oleju napędowego grzewczego będzie </w:t>
      </w:r>
      <w:r w:rsidR="00A009B1">
        <w:t xml:space="preserve">zależeć </w:t>
      </w:r>
      <w:r>
        <w:t>od warunków atmosferycznych panujących w sezonie</w:t>
      </w:r>
      <w:r>
        <w:rPr>
          <w:spacing w:val="-3"/>
        </w:rPr>
        <w:t xml:space="preserve"> </w:t>
      </w:r>
      <w:r>
        <w:t>grzewczym.</w:t>
      </w:r>
    </w:p>
    <w:p w14:paraId="6AC52829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1" w:hanging="360"/>
        <w:jc w:val="both"/>
      </w:pPr>
      <w:r>
        <w:t>Olej napędowy grzewczy musi spełniać standardy jakościowe określone w PN-C-96024/2011. Przetwory naftowe - oleje opałowe, co powinno być odzwierciedlone w formie certyfikatu (świadectwa) jakości dostarczonego z każdą partią</w:t>
      </w:r>
      <w:r>
        <w:rPr>
          <w:spacing w:val="-10"/>
        </w:rPr>
        <w:t xml:space="preserve"> </w:t>
      </w:r>
      <w:r>
        <w:t>dostawy.</w:t>
      </w:r>
    </w:p>
    <w:p w14:paraId="28A29F76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3" w:hanging="360"/>
        <w:jc w:val="both"/>
      </w:pPr>
      <w:r>
        <w:t>Olej napędowy grzewczy musi być zgodny z polskimi normami oraz Rozporządzeniem Ministra Energii z dnia 1 grudnia 2016 r. w sprawie wymagań jakościowych dotyczących zawartości siarki dla olejów oraz rodzajów instalacji i warunków, w których będą stosowane ciężkie oleje opałowe (Dz. U z 2016 poz. 2008), Rozporządzeniem Ministra Energii z dnia 1 marca 2017 r. w sprawie metod badania jakości lekkiego oleju opałowego, ciężkiego oleju opałowego oraz oleju do silników statków żeglugi śródlądowej (tj.: Dz.U. z 2017r. poz. 584), Rozporządzeniem Ministra Finansów z dnia 20 sierpnia 2010 r. w sprawie znakowania i barwienia wyrobów energetycznych (Dz. U. Nr 157, poz. 1054) ustawy z dnia 10 kwietnia 1997r. Prawo energetyczne (t.j. Dz.U. 2018 poz.</w:t>
      </w:r>
      <w:r>
        <w:rPr>
          <w:spacing w:val="-14"/>
        </w:rPr>
        <w:t xml:space="preserve"> </w:t>
      </w:r>
      <w:r>
        <w:t>755).</w:t>
      </w:r>
    </w:p>
    <w:p w14:paraId="01CC415F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4" w:hanging="360"/>
        <w:jc w:val="both"/>
      </w:pPr>
      <w:r>
        <w:t>Przez partię dostawy rozumie się dostarczoną odbiorcy autocysterną jednorazową dostawę oleju napędowego grzewczego jednego rodzaju i gatunku, identyfikowaną dokumentem przewozowym (np. list przewozowy lub Wz) oraz certyfikatem (świadectwem)</w:t>
      </w:r>
      <w:r>
        <w:rPr>
          <w:spacing w:val="-17"/>
        </w:rPr>
        <w:t xml:space="preserve"> </w:t>
      </w:r>
      <w:r>
        <w:t>jakości.</w:t>
      </w:r>
    </w:p>
    <w:p w14:paraId="13F48247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5" w:hanging="360"/>
        <w:jc w:val="both"/>
      </w:pPr>
      <w:r>
        <w:t>Dostarczana ilość oleju opałowego winna być fakturowana zgodnie z objętościowym systemem sprzedaży paliw opartym na m</w:t>
      </w:r>
      <w:r>
        <w:rPr>
          <w:vertAlign w:val="superscript"/>
        </w:rPr>
        <w:t>3</w:t>
      </w:r>
      <w:r>
        <w:t xml:space="preserve"> w temperaturze referencyjnej</w:t>
      </w:r>
      <w:r>
        <w:rPr>
          <w:spacing w:val="-9"/>
        </w:rPr>
        <w:t xml:space="preserve"> </w:t>
      </w:r>
      <w:r>
        <w:t>15°C.</w:t>
      </w:r>
    </w:p>
    <w:p w14:paraId="26368A14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1" w:line="267" w:lineRule="exact"/>
        <w:ind w:left="464" w:hanging="349"/>
        <w:jc w:val="both"/>
      </w:pPr>
      <w:r>
        <w:t>Wykonawca ponosi odpowiedzialność za jakość dostarczonego oleju</w:t>
      </w:r>
      <w:r>
        <w:rPr>
          <w:spacing w:val="-11"/>
        </w:rPr>
        <w:t xml:space="preserve"> </w:t>
      </w:r>
      <w:r>
        <w:t>opałowego.</w:t>
      </w:r>
    </w:p>
    <w:p w14:paraId="155BF929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line="267" w:lineRule="exact"/>
        <w:ind w:left="464" w:hanging="349"/>
        <w:jc w:val="both"/>
      </w:pPr>
      <w:r>
        <w:t>Minimalne parametry jakie musi spełniać olej opałowy</w:t>
      </w:r>
      <w:r>
        <w:rPr>
          <w:spacing w:val="-11"/>
        </w:rPr>
        <w:t xml:space="preserve"> </w:t>
      </w:r>
      <w:r>
        <w:t>lekki:</w:t>
      </w:r>
    </w:p>
    <w:p w14:paraId="04724FD9" w14:textId="77777777" w:rsidR="00961506" w:rsidRDefault="00961506" w:rsidP="00961506">
      <w:pPr>
        <w:pStyle w:val="Akapitzlist"/>
        <w:numPr>
          <w:ilvl w:val="1"/>
          <w:numId w:val="1"/>
        </w:numPr>
        <w:tabs>
          <w:tab w:val="left" w:pos="707"/>
        </w:tabs>
      </w:pPr>
      <w:r>
        <w:t>Wartość opałowa min. 42,6</w:t>
      </w:r>
      <w:r>
        <w:rPr>
          <w:spacing w:val="-10"/>
        </w:rPr>
        <w:t xml:space="preserve"> </w:t>
      </w:r>
      <w:r>
        <w:t>MJ/kg;</w:t>
      </w:r>
    </w:p>
    <w:p w14:paraId="306DE2EB" w14:textId="77777777" w:rsidR="00961506" w:rsidRDefault="00961506" w:rsidP="00961506">
      <w:pPr>
        <w:pStyle w:val="Akapitzlist"/>
        <w:numPr>
          <w:ilvl w:val="1"/>
          <w:numId w:val="1"/>
        </w:numPr>
        <w:tabs>
          <w:tab w:val="left" w:pos="707"/>
        </w:tabs>
      </w:pPr>
      <w:r>
        <w:t>Gęstość w temp. 15°C max. 860</w:t>
      </w:r>
      <w:r>
        <w:rPr>
          <w:spacing w:val="-8"/>
        </w:rPr>
        <w:t xml:space="preserve"> </w:t>
      </w:r>
      <w:r>
        <w:t>kg/m</w:t>
      </w:r>
      <w:r>
        <w:rPr>
          <w:vertAlign w:val="superscript"/>
        </w:rPr>
        <w:t>3</w:t>
      </w:r>
      <w:r>
        <w:t>;</w:t>
      </w:r>
    </w:p>
    <w:p w14:paraId="02A715DC" w14:textId="77777777" w:rsidR="00961506" w:rsidRDefault="00961506" w:rsidP="00961506">
      <w:pPr>
        <w:pStyle w:val="Akapitzlist"/>
        <w:numPr>
          <w:ilvl w:val="1"/>
          <w:numId w:val="1"/>
        </w:numPr>
        <w:tabs>
          <w:tab w:val="left" w:pos="707"/>
        </w:tabs>
        <w:spacing w:before="1"/>
      </w:pPr>
      <w:r>
        <w:t>Temperatura zapłonu powyżej</w:t>
      </w:r>
      <w:r>
        <w:rPr>
          <w:spacing w:val="-4"/>
        </w:rPr>
        <w:t xml:space="preserve"> </w:t>
      </w:r>
      <w:r>
        <w:t>56°C;</w:t>
      </w:r>
    </w:p>
    <w:p w14:paraId="5EFE4D25" w14:textId="77777777" w:rsidR="00961506" w:rsidRDefault="00961506" w:rsidP="00961506">
      <w:pPr>
        <w:pStyle w:val="Akapitzlist"/>
        <w:numPr>
          <w:ilvl w:val="1"/>
          <w:numId w:val="1"/>
        </w:numPr>
        <w:tabs>
          <w:tab w:val="left" w:pos="707"/>
        </w:tabs>
      </w:pPr>
      <w:r>
        <w:t>Lepkość kinematyczna w temperaturze 20°C max 6,00 mm</w:t>
      </w:r>
      <w:r>
        <w:rPr>
          <w:spacing w:val="-13"/>
        </w:rPr>
        <w:t xml:space="preserve"> </w:t>
      </w:r>
      <w:r>
        <w:t>/s;</w:t>
      </w:r>
    </w:p>
    <w:p w14:paraId="5CE2756F" w14:textId="77777777" w:rsidR="00961506" w:rsidRDefault="00961506" w:rsidP="00961506">
      <w:pPr>
        <w:pStyle w:val="Akapitzlist"/>
        <w:numPr>
          <w:ilvl w:val="1"/>
          <w:numId w:val="1"/>
        </w:numPr>
        <w:tabs>
          <w:tab w:val="left" w:pos="707"/>
        </w:tabs>
      </w:pPr>
      <w:r>
        <w:t>Zawartość siarki max 0,1 %</w:t>
      </w:r>
      <w:r>
        <w:rPr>
          <w:spacing w:val="-9"/>
        </w:rPr>
        <w:t xml:space="preserve"> </w:t>
      </w:r>
      <w:r>
        <w:t>(m/m).</w:t>
      </w:r>
    </w:p>
    <w:p w14:paraId="76C010DE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1"/>
        <w:ind w:right="112" w:hanging="360"/>
        <w:jc w:val="both"/>
      </w:pPr>
      <w:r>
        <w:t>Olej napędowy grzewczy należy dostarczać cysternami samochodowymi, wyposażonymi w końcówki wlewowe z zalegalizowanym „odmierzaczem” w jednostkach miary – litr. Dostawy muszą być realizowane specjalistycznymi autocysternami zaopatrzonymi w posiadające ważne cechy legalizacyjne urządzenia wydawcze – pompy oraz drukarki – wskazujące dokładną ilość wydanego oleju opałowego w temperaturze referencyjnej +15°C (urządzenia wydawcze powinny także posiadać świadectwa legalizacyjne wydane przez Urząd Miar i Wag).</w:t>
      </w:r>
    </w:p>
    <w:p w14:paraId="415403EB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3" w:hanging="360"/>
      </w:pPr>
      <w:r>
        <w:t>Olej opałowy będzie dostarczany z zachowaniem wszystkich obowiązujących przepisów regulujących przewóz materiałów niebezpiecznych według</w:t>
      </w:r>
      <w:r>
        <w:rPr>
          <w:spacing w:val="-4"/>
        </w:rPr>
        <w:t xml:space="preserve"> </w:t>
      </w:r>
      <w:r>
        <w:t>ADR.</w:t>
      </w:r>
    </w:p>
    <w:p w14:paraId="4F271E2B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left="464" w:hanging="349"/>
      </w:pPr>
      <w:r>
        <w:t>Olej opałowy będzie dostarczany cysternami wykonawcy na jego</w:t>
      </w:r>
      <w:r>
        <w:rPr>
          <w:spacing w:val="-10"/>
        </w:rPr>
        <w:t xml:space="preserve"> </w:t>
      </w:r>
      <w:r>
        <w:t>koszt.</w:t>
      </w:r>
    </w:p>
    <w:p w14:paraId="2ABD429F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left="464" w:hanging="349"/>
      </w:pPr>
      <w:r>
        <w:t>Dostawa oleju opałowego będzie realizowana sukcesywnie (partiami) w godzinach od 7.30</w:t>
      </w:r>
      <w:r>
        <w:rPr>
          <w:spacing w:val="-7"/>
        </w:rPr>
        <w:t xml:space="preserve"> </w:t>
      </w:r>
      <w:r>
        <w:t>do</w:t>
      </w:r>
    </w:p>
    <w:p w14:paraId="39B18FED" w14:textId="3D8A07EF" w:rsidR="00961506" w:rsidRDefault="00961506" w:rsidP="00961506">
      <w:pPr>
        <w:pStyle w:val="Tekstpodstawowy"/>
        <w:ind w:right="127" w:firstLine="0"/>
      </w:pPr>
      <w:r>
        <w:t>1</w:t>
      </w:r>
      <w:r w:rsidR="00E57311">
        <w:t>4</w:t>
      </w:r>
      <w:r>
        <w:t>.</w:t>
      </w:r>
      <w:r w:rsidR="00E57311">
        <w:t>0</w:t>
      </w:r>
      <w:r>
        <w:t xml:space="preserve">0 w dni robocze, na podstawie zapotrzebowania złożonego </w:t>
      </w:r>
      <w:r w:rsidR="00E57311">
        <w:t>mailem</w:t>
      </w:r>
      <w:r>
        <w:t xml:space="preserve"> lub telefonicznie przez upoważnionego pracownika</w:t>
      </w:r>
      <w:r>
        <w:rPr>
          <w:spacing w:val="-3"/>
        </w:rPr>
        <w:t xml:space="preserve"> </w:t>
      </w:r>
      <w:r>
        <w:t>Zamawiającego.</w:t>
      </w:r>
    </w:p>
    <w:p w14:paraId="6BEB397B" w14:textId="09712AE8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3" w:line="237" w:lineRule="auto"/>
        <w:ind w:right="111" w:hanging="360"/>
      </w:pPr>
      <w:r>
        <w:t>Wykonawca ma obowiązek zrealizowania dostawy w czasie nie dłuższym niż 2</w:t>
      </w:r>
      <w:r w:rsidR="00E57311">
        <w:t>4 godziny</w:t>
      </w:r>
      <w:r>
        <w:t xml:space="preserve"> od </w:t>
      </w:r>
      <w:r w:rsidR="00E57311">
        <w:t>momentu</w:t>
      </w:r>
      <w:r>
        <w:t xml:space="preserve"> złożenia zapotrzebowania przez</w:t>
      </w:r>
      <w:r>
        <w:rPr>
          <w:spacing w:val="-1"/>
        </w:rPr>
        <w:t xml:space="preserve"> </w:t>
      </w:r>
      <w:r>
        <w:t>zamawiającego.</w:t>
      </w:r>
    </w:p>
    <w:p w14:paraId="3A092157" w14:textId="77777777" w:rsidR="00961506" w:rsidRDefault="00961506" w:rsidP="00961506">
      <w:pPr>
        <w:spacing w:line="237" w:lineRule="auto"/>
        <w:sectPr w:rsidR="00961506" w:rsidSect="00961506">
          <w:headerReference w:type="default" r:id="rId7"/>
          <w:pgSz w:w="11910" w:h="16840"/>
          <w:pgMar w:top="1200" w:right="1300" w:bottom="280" w:left="1660" w:header="709" w:footer="708" w:gutter="0"/>
          <w:cols w:space="708"/>
        </w:sectPr>
      </w:pPr>
    </w:p>
    <w:p w14:paraId="0B50D19D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46"/>
        <w:ind w:right="111" w:hanging="360"/>
        <w:jc w:val="both"/>
      </w:pPr>
      <w:r>
        <w:lastRenderedPageBreak/>
        <w:t>Dowodem zrealizowania każdorazowej dostawy oleju opałowego będzie dokument dostawy z datą i ilością dostarczonego paliwa, podpisany przez upoważnionego przedstawiciela Zamawiającego i</w:t>
      </w:r>
      <w:r>
        <w:rPr>
          <w:spacing w:val="-2"/>
        </w:rPr>
        <w:t xml:space="preserve"> </w:t>
      </w:r>
      <w:r>
        <w:t>Wykonawcy.</w:t>
      </w:r>
    </w:p>
    <w:p w14:paraId="368620B1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spacing w:before="1"/>
        <w:ind w:right="114" w:hanging="360"/>
        <w:jc w:val="both"/>
      </w:pPr>
      <w:r>
        <w:t>W przypadku stwierdzenia braków lub wad w dostarczonym oleju opałowym, zamawiający zastrzega sobie prawo do żądania od wykonawcy uzupełnienia lub wymiany oleju opałowego na wolny od</w:t>
      </w:r>
      <w:r>
        <w:rPr>
          <w:spacing w:val="-3"/>
        </w:rPr>
        <w:t xml:space="preserve"> </w:t>
      </w:r>
      <w:r>
        <w:t>wad.</w:t>
      </w:r>
    </w:p>
    <w:p w14:paraId="52A10A08" w14:textId="77777777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4" w:hanging="360"/>
        <w:jc w:val="both"/>
      </w:pPr>
      <w:r>
        <w:t>Wykonawca okaże każdorazowo podczas dostawy oleju opałowego certyfikat (świadectwo) jakości lub równoważny dokument przedstawiający parametry i pochodzenie dostarczonego oleju.</w:t>
      </w:r>
    </w:p>
    <w:p w14:paraId="070AA5AF" w14:textId="08B862F1" w:rsidR="00961506" w:rsidRDefault="00961506" w:rsidP="00961506">
      <w:pPr>
        <w:pStyle w:val="Akapitzlist"/>
        <w:numPr>
          <w:ilvl w:val="0"/>
          <w:numId w:val="1"/>
        </w:numPr>
        <w:tabs>
          <w:tab w:val="left" w:pos="465"/>
        </w:tabs>
        <w:ind w:right="114" w:hanging="360"/>
        <w:jc w:val="both"/>
      </w:pPr>
      <w:r>
        <w:t>W przypadku dostarczenia oleju opałowego bez</w:t>
      </w:r>
      <w:r w:rsidR="00877D68">
        <w:t xml:space="preserve"> wymaganych</w:t>
      </w:r>
      <w:r>
        <w:t xml:space="preserve"> dokument</w:t>
      </w:r>
      <w:r w:rsidR="00877D68">
        <w:t>ów</w:t>
      </w:r>
      <w:r>
        <w:t xml:space="preserve">, albo oleju opałowego niezgodnego z obowiązującą normą lub złożoną ofertą, </w:t>
      </w:r>
      <w:r w:rsidR="00877D68">
        <w:t>Z</w:t>
      </w:r>
      <w:r>
        <w:t>amawiającemu będzie przysługiwało prawo do odmowy przyjęcia oleju opałowego. Ewentualne szkody powstałe z tego tytułu będą obciążały</w:t>
      </w:r>
      <w:r>
        <w:rPr>
          <w:spacing w:val="-4"/>
        </w:rPr>
        <w:t xml:space="preserve"> </w:t>
      </w:r>
      <w:r w:rsidR="00877D68">
        <w:rPr>
          <w:spacing w:val="-4"/>
        </w:rPr>
        <w:t>W</w:t>
      </w:r>
      <w:r>
        <w:t>ykonawcę.</w:t>
      </w:r>
    </w:p>
    <w:p w14:paraId="61E7507D" w14:textId="77777777" w:rsidR="00016DF4" w:rsidRDefault="00016DF4"/>
    <w:sectPr w:rsidR="00016DF4">
      <w:pgSz w:w="11910" w:h="16840"/>
      <w:pgMar w:top="1200" w:right="1300" w:bottom="280" w:left="1660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D40F" w14:textId="77777777" w:rsidR="00170AA0" w:rsidRDefault="00170AA0">
      <w:r>
        <w:separator/>
      </w:r>
    </w:p>
  </w:endnote>
  <w:endnote w:type="continuationSeparator" w:id="0">
    <w:p w14:paraId="7A16ECC8" w14:textId="77777777" w:rsidR="00170AA0" w:rsidRDefault="0017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05DD1" w14:textId="77777777" w:rsidR="00170AA0" w:rsidRDefault="00170AA0">
      <w:r>
        <w:separator/>
      </w:r>
    </w:p>
  </w:footnote>
  <w:footnote w:type="continuationSeparator" w:id="0">
    <w:p w14:paraId="4B958A45" w14:textId="77777777" w:rsidR="00170AA0" w:rsidRDefault="0017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6026" w14:textId="7524EC59" w:rsidR="00000000" w:rsidRDefault="00961506">
    <w:pPr>
      <w:pStyle w:val="Tekstpodstawowy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82D6B5" wp14:editId="22DC3689">
              <wp:simplePos x="0" y="0"/>
              <wp:positionH relativeFrom="page">
                <wp:posOffset>886460</wp:posOffset>
              </wp:positionH>
              <wp:positionV relativeFrom="page">
                <wp:posOffset>437515</wp:posOffset>
              </wp:positionV>
              <wp:extent cx="5786755" cy="314960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6755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3B712" w14:textId="6CFCA262" w:rsidR="00000000" w:rsidRDefault="00000000">
                          <w:pPr>
                            <w:spacing w:before="15"/>
                            <w:ind w:right="49"/>
                            <w:jc w:val="right"/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Załącznik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nr 4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SWZ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„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Dostawa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oleju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 xml:space="preserve"> 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grzewczego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na</w:t>
                          </w:r>
                          <w:r>
                            <w:rPr>
                              <w:rFonts w:ascii="Arial" w:hAnsi="Arial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potrzeby</w:t>
                          </w:r>
                          <w:r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Domu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Pomocy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Społecznej w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 w:rsidR="00B01FCD">
                            <w:rPr>
                              <w:rFonts w:ascii="Arial" w:hAnsi="Arial"/>
                              <w:sz w:val="16"/>
                            </w:rPr>
                            <w:t>Grazymach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”</w:t>
                          </w:r>
                        </w:p>
                        <w:p w14:paraId="3E42F4CC" w14:textId="36F55FD1" w:rsidR="00000000" w:rsidRDefault="00000000">
                          <w:pPr>
                            <w:spacing w:before="92"/>
                            <w:ind w:right="18"/>
                            <w:jc w:val="right"/>
                            <w:rPr>
                              <w:rFonts w:ascii="Arial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2D6B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9.8pt;margin-top:34.45pt;width:455.65pt;height:24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" filled="f" stroked="f">
              <v:textbox inset="0,0,0,0">
                <w:txbxContent>
                  <w:p w14:paraId="3C73B712" w14:textId="6CFCA262" w:rsidR="00000000" w:rsidRDefault="00000000">
                    <w:pPr>
                      <w:spacing w:before="15"/>
                      <w:ind w:right="49"/>
                      <w:jc w:val="right"/>
                      <w:rPr>
                        <w:rFonts w:ascii="Arial" w:hAnsi="Arial"/>
                        <w:b/>
                        <w:i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i/>
                        <w:sz w:val="16"/>
                      </w:rPr>
                      <w:t>Załącznik</w:t>
                    </w:r>
                    <w:r>
                      <w:rPr>
                        <w:rFonts w:ascii="Arial" w:hAnsi="Arial"/>
                        <w:b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16"/>
                      </w:rPr>
                      <w:t>nr 4</w:t>
                    </w:r>
                    <w:r>
                      <w:rPr>
                        <w:rFonts w:ascii="Arial" w:hAnsi="Arial"/>
                        <w:b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16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16"/>
                      </w:rPr>
                      <w:t>SWZ</w:t>
                    </w:r>
                    <w:r>
                      <w:rPr>
                        <w:rFonts w:ascii="Arial" w:hAnsi="Arial"/>
                        <w:b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i/>
                        <w:sz w:val="16"/>
                      </w:rPr>
                      <w:t>„</w:t>
                    </w:r>
                    <w:r>
                      <w:rPr>
                        <w:rFonts w:ascii="Arial" w:hAnsi="Arial"/>
                        <w:sz w:val="16"/>
                      </w:rPr>
                      <w:t>Dostawa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oleju</w:t>
                    </w:r>
                    <w:r>
                      <w:rPr>
                        <w:rFonts w:ascii="Arial" w:hAnsi="Arial"/>
                        <w:spacing w:val="-1"/>
                        <w:sz w:val="16"/>
                      </w:rPr>
                      <w:t xml:space="preserve">  </w:t>
                    </w:r>
                    <w:r>
                      <w:rPr>
                        <w:rFonts w:ascii="Arial" w:hAnsi="Arial"/>
                        <w:sz w:val="16"/>
                      </w:rPr>
                      <w:t>grzewczego</w:t>
                    </w:r>
                    <w:r>
                      <w:rPr>
                        <w:rFonts w:ascii="Arial" w:hAnsi="Arial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na</w:t>
                    </w:r>
                    <w:r>
                      <w:rPr>
                        <w:rFonts w:ascii="Arial" w:hAnsi="Arial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potrzeby</w:t>
                    </w:r>
                    <w:r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Domu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Pomocy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Społecznej w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 w:rsidR="00B01FCD">
                      <w:rPr>
                        <w:rFonts w:ascii="Arial" w:hAnsi="Arial"/>
                        <w:sz w:val="16"/>
                      </w:rPr>
                      <w:t>Grazymach</w:t>
                    </w:r>
                    <w:r>
                      <w:rPr>
                        <w:rFonts w:ascii="Arial" w:hAnsi="Arial"/>
                        <w:b/>
                        <w:i/>
                        <w:sz w:val="16"/>
                      </w:rPr>
                      <w:t>”</w:t>
                    </w:r>
                  </w:p>
                  <w:p w14:paraId="3E42F4CC" w14:textId="36F55FD1" w:rsidR="00000000" w:rsidRDefault="00000000">
                    <w:pPr>
                      <w:spacing w:before="92"/>
                      <w:ind w:right="18"/>
                      <w:jc w:val="right"/>
                      <w:rPr>
                        <w:rFonts w:ascii="Arial"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D3734"/>
    <w:multiLevelType w:val="hybridMultilevel"/>
    <w:tmpl w:val="1F2A0A18"/>
    <w:lvl w:ilvl="0" w:tplc="AD0AF076">
      <w:start w:val="1"/>
      <w:numFmt w:val="decimal"/>
      <w:lvlText w:val="%1."/>
      <w:lvlJc w:val="left"/>
      <w:pPr>
        <w:ind w:left="476" w:hanging="348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A0A4A00">
      <w:start w:val="1"/>
      <w:numFmt w:val="decimal"/>
      <w:lvlText w:val="%2)"/>
      <w:lvlJc w:val="left"/>
      <w:pPr>
        <w:ind w:left="706" w:hanging="231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4204DEDA">
      <w:numFmt w:val="bullet"/>
      <w:lvlText w:val="•"/>
      <w:lvlJc w:val="left"/>
      <w:pPr>
        <w:ind w:left="1616" w:hanging="231"/>
      </w:pPr>
      <w:rPr>
        <w:rFonts w:hint="default"/>
        <w:lang w:val="pl-PL" w:eastAsia="en-US" w:bidi="ar-SA"/>
      </w:rPr>
    </w:lvl>
    <w:lvl w:ilvl="3" w:tplc="EA8CAB2A">
      <w:numFmt w:val="bullet"/>
      <w:lvlText w:val="•"/>
      <w:lvlJc w:val="left"/>
      <w:pPr>
        <w:ind w:left="2532" w:hanging="231"/>
      </w:pPr>
      <w:rPr>
        <w:rFonts w:hint="default"/>
        <w:lang w:val="pl-PL" w:eastAsia="en-US" w:bidi="ar-SA"/>
      </w:rPr>
    </w:lvl>
    <w:lvl w:ilvl="4" w:tplc="D91217A8">
      <w:numFmt w:val="bullet"/>
      <w:lvlText w:val="•"/>
      <w:lvlJc w:val="left"/>
      <w:pPr>
        <w:ind w:left="3448" w:hanging="231"/>
      </w:pPr>
      <w:rPr>
        <w:rFonts w:hint="default"/>
        <w:lang w:val="pl-PL" w:eastAsia="en-US" w:bidi="ar-SA"/>
      </w:rPr>
    </w:lvl>
    <w:lvl w:ilvl="5" w:tplc="119625F0">
      <w:numFmt w:val="bullet"/>
      <w:lvlText w:val="•"/>
      <w:lvlJc w:val="left"/>
      <w:pPr>
        <w:ind w:left="4365" w:hanging="231"/>
      </w:pPr>
      <w:rPr>
        <w:rFonts w:hint="default"/>
        <w:lang w:val="pl-PL" w:eastAsia="en-US" w:bidi="ar-SA"/>
      </w:rPr>
    </w:lvl>
    <w:lvl w:ilvl="6" w:tplc="E398BE20">
      <w:numFmt w:val="bullet"/>
      <w:lvlText w:val="•"/>
      <w:lvlJc w:val="left"/>
      <w:pPr>
        <w:ind w:left="5281" w:hanging="231"/>
      </w:pPr>
      <w:rPr>
        <w:rFonts w:hint="default"/>
        <w:lang w:val="pl-PL" w:eastAsia="en-US" w:bidi="ar-SA"/>
      </w:rPr>
    </w:lvl>
    <w:lvl w:ilvl="7" w:tplc="72FA6B1C">
      <w:numFmt w:val="bullet"/>
      <w:lvlText w:val="•"/>
      <w:lvlJc w:val="left"/>
      <w:pPr>
        <w:ind w:left="6197" w:hanging="231"/>
      </w:pPr>
      <w:rPr>
        <w:rFonts w:hint="default"/>
        <w:lang w:val="pl-PL" w:eastAsia="en-US" w:bidi="ar-SA"/>
      </w:rPr>
    </w:lvl>
    <w:lvl w:ilvl="8" w:tplc="81367FCA">
      <w:numFmt w:val="bullet"/>
      <w:lvlText w:val="•"/>
      <w:lvlJc w:val="left"/>
      <w:pPr>
        <w:ind w:left="7113" w:hanging="231"/>
      </w:pPr>
      <w:rPr>
        <w:rFonts w:hint="default"/>
        <w:lang w:val="pl-PL" w:eastAsia="en-US" w:bidi="ar-SA"/>
      </w:rPr>
    </w:lvl>
  </w:abstractNum>
  <w:num w:numId="1" w16cid:durableId="90310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B40"/>
    <w:rsid w:val="00016DF4"/>
    <w:rsid w:val="0003601C"/>
    <w:rsid w:val="00077B40"/>
    <w:rsid w:val="00170AA0"/>
    <w:rsid w:val="007A442F"/>
    <w:rsid w:val="00877D68"/>
    <w:rsid w:val="00961506"/>
    <w:rsid w:val="00A009B1"/>
    <w:rsid w:val="00B01FCD"/>
    <w:rsid w:val="00E5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7099D"/>
  <w15:chartTrackingRefBased/>
  <w15:docId w15:val="{DB57F136-BFEC-419A-B52A-F50364EA3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50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961506"/>
    <w:pPr>
      <w:ind w:left="476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61506"/>
    <w:rPr>
      <w:rFonts w:ascii="Carlito" w:eastAsia="Carlito" w:hAnsi="Carlito" w:cs="Carlito"/>
    </w:rPr>
  </w:style>
  <w:style w:type="paragraph" w:styleId="Tytu">
    <w:name w:val="Title"/>
    <w:basedOn w:val="Normalny"/>
    <w:link w:val="TytuZnak"/>
    <w:uiPriority w:val="10"/>
    <w:qFormat/>
    <w:rsid w:val="00961506"/>
    <w:pPr>
      <w:spacing w:before="240"/>
      <w:ind w:left="1875" w:right="2234"/>
      <w:jc w:val="center"/>
    </w:pPr>
    <w:rPr>
      <w:rFonts w:ascii="Arial" w:eastAsia="Arial" w:hAnsi="Arial" w:cs="Arial"/>
      <w:sz w:val="30"/>
      <w:szCs w:val="30"/>
    </w:rPr>
  </w:style>
  <w:style w:type="character" w:customStyle="1" w:styleId="TytuZnak">
    <w:name w:val="Tytuł Znak"/>
    <w:basedOn w:val="Domylnaczcionkaakapitu"/>
    <w:link w:val="Tytu"/>
    <w:uiPriority w:val="10"/>
    <w:rsid w:val="00961506"/>
    <w:rPr>
      <w:rFonts w:ascii="Arial" w:eastAsia="Arial" w:hAnsi="Arial" w:cs="Arial"/>
      <w:sz w:val="30"/>
      <w:szCs w:val="30"/>
    </w:rPr>
  </w:style>
  <w:style w:type="paragraph" w:styleId="Akapitzlist">
    <w:name w:val="List Paragraph"/>
    <w:basedOn w:val="Normalny"/>
    <w:uiPriority w:val="1"/>
    <w:qFormat/>
    <w:rsid w:val="00961506"/>
    <w:pPr>
      <w:ind w:left="476" w:hanging="3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B01F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1FCD"/>
    <w:rPr>
      <w:rFonts w:ascii="Carlito" w:eastAsia="Carlito" w:hAnsi="Carlito" w:cs="Carlito"/>
    </w:rPr>
  </w:style>
  <w:style w:type="paragraph" w:styleId="Stopka">
    <w:name w:val="footer"/>
    <w:basedOn w:val="Normalny"/>
    <w:link w:val="StopkaZnak"/>
    <w:uiPriority w:val="99"/>
    <w:unhideWhenUsed/>
    <w:rsid w:val="00B01F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1FCD"/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586</Words>
  <Characters>3520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Kozłowski</dc:creator>
  <cp:keywords/>
  <dc:description/>
  <cp:lastModifiedBy>Michał Kozłowski</cp:lastModifiedBy>
  <cp:revision>7</cp:revision>
  <dcterms:created xsi:type="dcterms:W3CDTF">2022-10-10T10:35:00Z</dcterms:created>
  <dcterms:modified xsi:type="dcterms:W3CDTF">2023-11-06T09:01:00Z</dcterms:modified>
</cp:coreProperties>
</file>