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703EF7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703EF7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 xml:space="preserve">NIP lub </w:t>
      </w:r>
      <w:r w:rsidRPr="00703EF7">
        <w:rPr>
          <w:strike/>
        </w:rPr>
        <w:t>REG</w:t>
      </w:r>
      <w:r w:rsidRPr="00682ADE">
        <w:rPr>
          <w:vertAlign w:val="superscript"/>
        </w:rPr>
        <w:t>2)</w:t>
      </w:r>
      <w:r w:rsidR="00703EF7">
        <w:rPr>
          <w:vertAlign w:val="superscript"/>
        </w:rPr>
        <w:t xml:space="preserve"> 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7B00E3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38400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7B00E3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7CBCE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7B00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4C706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7B00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5DECE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C1BD1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7B00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6A6BB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7B00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3A2F4" id="Mnożenie 28" o:spid="_x0000_s1026" style="position:absolute;margin-left:24.15pt;margin-top:-.05pt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5A837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58A58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70D0D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E6954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EA678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7B00E3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4346B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F7A84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4244B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7B00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C2D88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7B00E3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2D941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7B00E3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69DFA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7B00E3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880DE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7B00E3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CCECB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7B00E3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E912D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7B00E3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7A2C3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7B00E3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3CE59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7B00E3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84D3B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7B00E3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EDFC7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7B00E3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FF337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7B00E3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3D9E5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536"/>
        <w:gridCol w:w="1094"/>
        <w:gridCol w:w="1502"/>
        <w:gridCol w:w="1632"/>
      </w:tblGrid>
      <w:tr w:rsidR="00F9217E" w:rsidTr="009A630B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9A630B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9A630B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9A630B">
        <w:trPr>
          <w:trHeight w:val="854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E92A8A" w:rsidTr="009A630B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8018590365500080116238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Antoniów 33</w:t>
            </w:r>
            <w:r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  <w:tr w:rsidR="00E92A8A" w:rsidTr="009A630B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D038BA" w:rsidRDefault="00E92A8A" w:rsidP="00E92A8A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8018590365500019363238</w:t>
            </w:r>
          </w:p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Antoniów 33</w:t>
            </w:r>
            <w:r w:rsidRPr="009A630B">
              <w:rPr>
                <w:b/>
                <w:sz w:val="16"/>
                <w:szCs w:val="16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A" w:rsidRPr="009A630B" w:rsidRDefault="00E92A8A" w:rsidP="00E92A8A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9A630B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345277" w:rsidRPr="00A831E2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A831E2" w:rsidRDefault="00A831E2" w:rsidP="00A831E2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C2782A">
        <w:rPr>
          <w:b/>
          <w:i/>
          <w:sz w:val="24"/>
          <w:szCs w:val="24"/>
        </w:rPr>
        <w:t>24.10.2023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</w:t>
      </w:r>
      <w:r>
        <w:rPr>
          <w:b/>
          <w:i/>
          <w:sz w:val="24"/>
          <w:szCs w:val="24"/>
        </w:rPr>
        <w:t>mgr Jan Pyrkosz</w:t>
      </w:r>
    </w:p>
    <w:p w:rsidR="00A831E2" w:rsidRDefault="00A831E2" w:rsidP="00A831E2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Wójt Gminy Radomyśl nad Sanem </w:t>
      </w:r>
    </w:p>
    <w:p w:rsidR="00A831E2" w:rsidRDefault="00A831E2" w:rsidP="00A831E2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A831E2" w:rsidRDefault="00A831E2" w:rsidP="00A831E2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A831E2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E26600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3F6" w:rsidRDefault="000813F6">
      <w:r>
        <w:separator/>
      </w:r>
    </w:p>
  </w:endnote>
  <w:endnote w:type="continuationSeparator" w:id="0">
    <w:p w:rsidR="000813F6" w:rsidRDefault="0008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3F6" w:rsidRDefault="000813F6">
      <w:r>
        <w:separator/>
      </w:r>
    </w:p>
  </w:footnote>
  <w:footnote w:type="continuationSeparator" w:id="0">
    <w:p w:rsidR="000813F6" w:rsidRDefault="000813F6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0332A"/>
    <w:rsid w:val="00034947"/>
    <w:rsid w:val="000813F6"/>
    <w:rsid w:val="000847CE"/>
    <w:rsid w:val="001C27F4"/>
    <w:rsid w:val="001F20BE"/>
    <w:rsid w:val="00241137"/>
    <w:rsid w:val="00345277"/>
    <w:rsid w:val="00473877"/>
    <w:rsid w:val="004B11B5"/>
    <w:rsid w:val="004B60DD"/>
    <w:rsid w:val="00545D08"/>
    <w:rsid w:val="00682ADE"/>
    <w:rsid w:val="006F71DA"/>
    <w:rsid w:val="00703EF7"/>
    <w:rsid w:val="007B00E3"/>
    <w:rsid w:val="0087543B"/>
    <w:rsid w:val="008B2F41"/>
    <w:rsid w:val="009A630B"/>
    <w:rsid w:val="00A831E2"/>
    <w:rsid w:val="00AD7013"/>
    <w:rsid w:val="00BC7CCA"/>
    <w:rsid w:val="00BF03F3"/>
    <w:rsid w:val="00C2782A"/>
    <w:rsid w:val="00C77AF4"/>
    <w:rsid w:val="00D54789"/>
    <w:rsid w:val="00E26600"/>
    <w:rsid w:val="00E92A8A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EDA76-9797-40AB-8260-78701E48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2660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26600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E26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E26600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E26600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26600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2660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E2660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E2660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E266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8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8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2023-10-24T06:52:00Z</cp:lastPrinted>
  <dcterms:created xsi:type="dcterms:W3CDTF">2023-10-24T06:52:00Z</dcterms:created>
  <dcterms:modified xsi:type="dcterms:W3CDTF">2023-10-24T06:52:00Z</dcterms:modified>
</cp:coreProperties>
</file>