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07E56" w14:textId="77777777" w:rsidR="00304FB8" w:rsidRPr="000F6CE6" w:rsidRDefault="00304FB8" w:rsidP="00235CCF">
      <w:pPr>
        <w:tabs>
          <w:tab w:val="left" w:pos="408"/>
        </w:tabs>
        <w:ind w:left="360"/>
        <w:jc w:val="center"/>
        <w:rPr>
          <w:b/>
          <w:strike/>
          <w:sz w:val="16"/>
          <w:szCs w:val="16"/>
        </w:rPr>
      </w:pPr>
    </w:p>
    <w:tbl>
      <w:tblPr>
        <w:tblStyle w:val="Tabela-Siatka"/>
        <w:tblW w:w="14459" w:type="dxa"/>
        <w:tblInd w:w="108" w:type="dxa"/>
        <w:tblLook w:val="04A0" w:firstRow="1" w:lastRow="0" w:firstColumn="1" w:lastColumn="0" w:noHBand="0" w:noVBand="1"/>
      </w:tblPr>
      <w:tblGrid>
        <w:gridCol w:w="14459"/>
      </w:tblGrid>
      <w:tr w:rsidR="00CF579B" w:rsidRPr="000E368E" w14:paraId="129D9E08" w14:textId="77777777" w:rsidTr="0099732E">
        <w:trPr>
          <w:trHeight w:val="838"/>
        </w:trPr>
        <w:tc>
          <w:tcPr>
            <w:tcW w:w="14459" w:type="dxa"/>
          </w:tcPr>
          <w:p w14:paraId="53DB72CD" w14:textId="77777777" w:rsidR="000F6CE6" w:rsidRPr="000F6CE6" w:rsidRDefault="000F6CE6" w:rsidP="00F4236A">
            <w:pPr>
              <w:tabs>
                <w:tab w:val="left" w:pos="408"/>
              </w:tabs>
              <w:ind w:left="360"/>
              <w:jc w:val="center"/>
              <w:rPr>
                <w:b/>
                <w:sz w:val="6"/>
                <w:szCs w:val="6"/>
              </w:rPr>
            </w:pPr>
          </w:p>
          <w:p w14:paraId="668B8C98" w14:textId="1135B132" w:rsidR="00CF579B" w:rsidRPr="000E368E" w:rsidRDefault="00CF579B" w:rsidP="00F4236A">
            <w:pPr>
              <w:tabs>
                <w:tab w:val="left" w:pos="408"/>
              </w:tabs>
              <w:ind w:left="360"/>
              <w:jc w:val="center"/>
              <w:rPr>
                <w:b/>
                <w:sz w:val="28"/>
                <w:szCs w:val="28"/>
              </w:rPr>
            </w:pPr>
            <w:r w:rsidRPr="000E368E">
              <w:rPr>
                <w:b/>
                <w:sz w:val="28"/>
                <w:szCs w:val="28"/>
              </w:rPr>
              <w:t>Treść tego dokumentu należy czytać łącznie z SWZ -</w:t>
            </w:r>
            <w:r w:rsidR="00F4236A">
              <w:rPr>
                <w:b/>
                <w:sz w:val="28"/>
                <w:szCs w:val="28"/>
              </w:rPr>
              <w:br/>
            </w:r>
            <w:r w:rsidRPr="000E368E">
              <w:rPr>
                <w:b/>
                <w:sz w:val="28"/>
                <w:szCs w:val="28"/>
              </w:rPr>
              <w:t xml:space="preserve"> jest to integralna część</w:t>
            </w:r>
            <w:r w:rsidR="00387614">
              <w:rPr>
                <w:b/>
                <w:sz w:val="28"/>
                <w:szCs w:val="28"/>
              </w:rPr>
              <w:t xml:space="preserve"> Rozdziału I</w:t>
            </w:r>
            <w:r w:rsidRPr="000E368E">
              <w:rPr>
                <w:b/>
                <w:sz w:val="28"/>
                <w:szCs w:val="28"/>
              </w:rPr>
              <w:t xml:space="preserve"> </w:t>
            </w:r>
            <w:r w:rsidR="00387614">
              <w:rPr>
                <w:b/>
                <w:sz w:val="28"/>
                <w:szCs w:val="28"/>
              </w:rPr>
              <w:t xml:space="preserve">- </w:t>
            </w:r>
            <w:r w:rsidRPr="000E368E">
              <w:rPr>
                <w:b/>
                <w:sz w:val="28"/>
                <w:szCs w:val="28"/>
              </w:rPr>
              <w:t>Instrukcj</w:t>
            </w:r>
            <w:r w:rsidR="00387614">
              <w:rPr>
                <w:b/>
                <w:sz w:val="28"/>
                <w:szCs w:val="28"/>
              </w:rPr>
              <w:t>a</w:t>
            </w:r>
            <w:r w:rsidRPr="000E368E">
              <w:rPr>
                <w:b/>
                <w:sz w:val="28"/>
                <w:szCs w:val="28"/>
              </w:rPr>
              <w:t xml:space="preserve"> dla Wykonawców </w:t>
            </w:r>
            <w:r w:rsidR="00387614">
              <w:rPr>
                <w:b/>
                <w:sz w:val="28"/>
                <w:szCs w:val="28"/>
              </w:rPr>
              <w:t>(IDW)</w:t>
            </w:r>
          </w:p>
        </w:tc>
      </w:tr>
    </w:tbl>
    <w:p w14:paraId="43C44138" w14:textId="77777777" w:rsidR="00B44041" w:rsidRPr="000E368E" w:rsidRDefault="00B44041" w:rsidP="00235CCF">
      <w:pPr>
        <w:tabs>
          <w:tab w:val="left" w:pos="408"/>
        </w:tabs>
        <w:ind w:left="360"/>
        <w:jc w:val="center"/>
        <w:rPr>
          <w:b/>
        </w:rPr>
      </w:pPr>
    </w:p>
    <w:p w14:paraId="2F7B3E1D" w14:textId="77777777" w:rsidR="003E5CE7" w:rsidRPr="000F6CE6" w:rsidRDefault="003E5CE7" w:rsidP="00235CCF">
      <w:pPr>
        <w:tabs>
          <w:tab w:val="left" w:pos="408"/>
        </w:tabs>
        <w:ind w:left="360"/>
        <w:jc w:val="center"/>
        <w:rPr>
          <w:b/>
          <w:sz w:val="14"/>
          <w:szCs w:val="14"/>
        </w:rPr>
      </w:pPr>
    </w:p>
    <w:tbl>
      <w:tblPr>
        <w:tblStyle w:val="Tabela-Siatka"/>
        <w:tblpPr w:leftFromText="141" w:rightFromText="141" w:vertAnchor="text" w:tblpX="74" w:tblpY="1"/>
        <w:tblOverlap w:val="never"/>
        <w:tblW w:w="14567" w:type="dxa"/>
        <w:tblLayout w:type="fixed"/>
        <w:tblLook w:val="04A0" w:firstRow="1" w:lastRow="0" w:firstColumn="1" w:lastColumn="0" w:noHBand="0" w:noVBand="1"/>
      </w:tblPr>
      <w:tblGrid>
        <w:gridCol w:w="2518"/>
        <w:gridCol w:w="12049"/>
      </w:tblGrid>
      <w:tr w:rsidR="00E261AA" w:rsidRPr="000E368E" w14:paraId="6B45B2AB" w14:textId="77777777" w:rsidTr="00C27098">
        <w:trPr>
          <w:trHeight w:val="1012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0A9B4E" w14:textId="77777777" w:rsidR="00E261AA" w:rsidRPr="000E368E" w:rsidRDefault="00E261AA" w:rsidP="00C27098">
            <w:pPr>
              <w:tabs>
                <w:tab w:val="left" w:pos="408"/>
              </w:tabs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>Punkt instrukcji dla wykonawców (IDW) którego dotyczą informacje</w:t>
            </w:r>
          </w:p>
        </w:tc>
        <w:tc>
          <w:tcPr>
            <w:tcW w:w="120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4BEB9" w14:textId="77777777" w:rsidR="00E261AA" w:rsidRPr="000E368E" w:rsidRDefault="00E261AA" w:rsidP="00C27098">
            <w:pPr>
              <w:tabs>
                <w:tab w:val="left" w:pos="408"/>
              </w:tabs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>Treść informacji</w:t>
            </w:r>
          </w:p>
        </w:tc>
      </w:tr>
      <w:tr w:rsidR="007B5970" w:rsidRPr="000E368E" w14:paraId="593B0804" w14:textId="77777777" w:rsidTr="00C27098">
        <w:tc>
          <w:tcPr>
            <w:tcW w:w="2518" w:type="dxa"/>
            <w:shd w:val="clear" w:color="auto" w:fill="BFBFBF" w:themeFill="background1" w:themeFillShade="BF"/>
          </w:tcPr>
          <w:p w14:paraId="6BE446E0" w14:textId="7136A503" w:rsidR="007B5970" w:rsidRPr="000E368E" w:rsidRDefault="007B5970" w:rsidP="00C27098">
            <w:pPr>
              <w:tabs>
                <w:tab w:val="left" w:pos="408"/>
              </w:tabs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>Pkt 1.</w:t>
            </w:r>
            <w:r w:rsidR="00443B1A">
              <w:rPr>
                <w:b/>
                <w:sz w:val="24"/>
                <w:szCs w:val="24"/>
              </w:rPr>
              <w:t>8</w:t>
            </w:r>
            <w:r w:rsidR="002709B0">
              <w:rPr>
                <w:b/>
                <w:sz w:val="24"/>
                <w:szCs w:val="24"/>
              </w:rPr>
              <w:t xml:space="preserve"> </w:t>
            </w:r>
            <w:r w:rsidRPr="000E368E">
              <w:rPr>
                <w:b/>
                <w:sz w:val="24"/>
                <w:szCs w:val="24"/>
              </w:rPr>
              <w:t>IDW</w:t>
            </w:r>
          </w:p>
        </w:tc>
        <w:tc>
          <w:tcPr>
            <w:tcW w:w="12049" w:type="dxa"/>
            <w:shd w:val="clear" w:color="auto" w:fill="BFBFBF" w:themeFill="background1" w:themeFillShade="BF"/>
          </w:tcPr>
          <w:p w14:paraId="2F7FE9D9" w14:textId="77777777" w:rsidR="007B5970" w:rsidRPr="000E368E" w:rsidRDefault="00182F94" w:rsidP="00C27098">
            <w:pPr>
              <w:tabs>
                <w:tab w:val="left" w:pos="408"/>
              </w:tabs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>W</w:t>
            </w:r>
            <w:r w:rsidR="007B5970" w:rsidRPr="000E368E">
              <w:rPr>
                <w:b/>
                <w:sz w:val="24"/>
                <w:szCs w:val="24"/>
              </w:rPr>
              <w:t>skazanie osób uprawnionych do komunikowania się z wykonawcami;</w:t>
            </w:r>
          </w:p>
        </w:tc>
      </w:tr>
      <w:tr w:rsidR="007B5970" w:rsidRPr="000E368E" w14:paraId="3590AF2E" w14:textId="77777777" w:rsidTr="00C27098"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14:paraId="48AF67A8" w14:textId="77777777" w:rsidR="007B5970" w:rsidRPr="000E368E" w:rsidRDefault="007B5970" w:rsidP="00C27098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12049" w:type="dxa"/>
            <w:tcBorders>
              <w:bottom w:val="single" w:sz="4" w:space="0" w:color="auto"/>
            </w:tcBorders>
            <w:shd w:val="clear" w:color="auto" w:fill="auto"/>
          </w:tcPr>
          <w:p w14:paraId="2B7EC6EC" w14:textId="77777777" w:rsidR="00034973" w:rsidRPr="000E368E" w:rsidRDefault="00034973" w:rsidP="00C27098">
            <w:pPr>
              <w:jc w:val="both"/>
            </w:pPr>
            <w:r w:rsidRPr="000E368E">
              <w:t>Do komunikowania się z wykonawcami uprawnione są następujące osoby:</w:t>
            </w:r>
          </w:p>
          <w:p w14:paraId="39A22114" w14:textId="77777777" w:rsidR="00034973" w:rsidRPr="000E368E" w:rsidRDefault="00034973" w:rsidP="00C27098">
            <w:pPr>
              <w:jc w:val="both"/>
            </w:pPr>
          </w:p>
          <w:p w14:paraId="5D35AA05" w14:textId="6FB6612A" w:rsidR="00034973" w:rsidRPr="0016738F" w:rsidRDefault="00104E64" w:rsidP="00C27098">
            <w:pPr>
              <w:jc w:val="both"/>
              <w:rPr>
                <w:b/>
              </w:rPr>
            </w:pPr>
            <w:r w:rsidRPr="008517C7">
              <w:rPr>
                <w:b/>
              </w:rPr>
              <w:t>O</w:t>
            </w:r>
            <w:r w:rsidR="00034973" w:rsidRPr="008517C7">
              <w:rPr>
                <w:b/>
              </w:rPr>
              <w:t>rganizacja</w:t>
            </w:r>
            <w:r>
              <w:rPr>
                <w:b/>
              </w:rPr>
              <w:t xml:space="preserve"> postępowania</w:t>
            </w:r>
            <w:r w:rsidR="00034973" w:rsidRPr="008517C7">
              <w:rPr>
                <w:b/>
              </w:rPr>
              <w:t>:</w:t>
            </w:r>
          </w:p>
          <w:p w14:paraId="6EC86E4F" w14:textId="77777777" w:rsidR="00034973" w:rsidRPr="000E368E" w:rsidRDefault="00034973" w:rsidP="00C27098">
            <w:pPr>
              <w:pStyle w:val="Akapitzlist"/>
              <w:numPr>
                <w:ilvl w:val="0"/>
                <w:numId w:val="27"/>
              </w:numPr>
              <w:jc w:val="both"/>
            </w:pPr>
            <w:r w:rsidRPr="000E368E">
              <w:t>Mariusz Górak – Naczelnik Wydziału Zamówień Publicznych</w:t>
            </w:r>
          </w:p>
          <w:p w14:paraId="1A3CCD81" w14:textId="1D683AA6" w:rsidR="00034973" w:rsidRPr="000E368E" w:rsidRDefault="00914D9F" w:rsidP="00C27098">
            <w:pPr>
              <w:pStyle w:val="Akapitzlist"/>
              <w:numPr>
                <w:ilvl w:val="0"/>
                <w:numId w:val="27"/>
              </w:numPr>
              <w:jc w:val="both"/>
            </w:pPr>
            <w:r>
              <w:t>Piotr Malec</w:t>
            </w:r>
            <w:r w:rsidR="0068066A">
              <w:t xml:space="preserve"> </w:t>
            </w:r>
            <w:r w:rsidR="00034973" w:rsidRPr="000E368E">
              <w:t>- Sekretarz Komisji Przetargowej</w:t>
            </w:r>
          </w:p>
          <w:p w14:paraId="7C2D44D4" w14:textId="77777777" w:rsidR="0016738F" w:rsidRPr="0016738F" w:rsidRDefault="0016738F" w:rsidP="00C27098">
            <w:pPr>
              <w:jc w:val="both"/>
              <w:rPr>
                <w:b/>
                <w:sz w:val="12"/>
                <w:szCs w:val="12"/>
              </w:rPr>
            </w:pPr>
          </w:p>
          <w:p w14:paraId="2867283E" w14:textId="34E6252F" w:rsidR="00034973" w:rsidRPr="008517C7" w:rsidRDefault="00104E64" w:rsidP="00C27098">
            <w:pPr>
              <w:jc w:val="both"/>
              <w:rPr>
                <w:b/>
              </w:rPr>
            </w:pPr>
            <w:r>
              <w:rPr>
                <w:b/>
              </w:rPr>
              <w:t>S</w:t>
            </w:r>
            <w:r w:rsidR="00034973" w:rsidRPr="008517C7">
              <w:rPr>
                <w:b/>
              </w:rPr>
              <w:t>prawy merytoryczne:</w:t>
            </w:r>
          </w:p>
          <w:p w14:paraId="187F9FA1" w14:textId="30E70648" w:rsidR="00034973" w:rsidRPr="000E368E" w:rsidRDefault="0068066A" w:rsidP="00C27098">
            <w:pPr>
              <w:pStyle w:val="Akapitzlist"/>
              <w:numPr>
                <w:ilvl w:val="0"/>
                <w:numId w:val="26"/>
              </w:numPr>
              <w:jc w:val="both"/>
            </w:pPr>
            <w:r>
              <w:t>Jerzy Osak</w:t>
            </w:r>
            <w:r w:rsidR="00034973">
              <w:t xml:space="preserve"> - </w:t>
            </w:r>
            <w:r w:rsidR="00034973" w:rsidRPr="000E368E">
              <w:t>Naczelnik Wydziału</w:t>
            </w:r>
            <w:r w:rsidR="00034973">
              <w:t xml:space="preserve"> </w:t>
            </w:r>
            <w:r>
              <w:t>Administracji</w:t>
            </w:r>
          </w:p>
          <w:p w14:paraId="731B9371" w14:textId="638F83BD" w:rsidR="00034973" w:rsidRPr="008517C7" w:rsidRDefault="00037244" w:rsidP="00C27098">
            <w:pPr>
              <w:pStyle w:val="Akapitzlist"/>
              <w:numPr>
                <w:ilvl w:val="0"/>
                <w:numId w:val="26"/>
              </w:numPr>
              <w:jc w:val="both"/>
              <w:rPr>
                <w:b/>
              </w:rPr>
            </w:pPr>
            <w:r>
              <w:t>Ewa Dranka</w:t>
            </w:r>
            <w:r w:rsidR="0068066A">
              <w:t xml:space="preserve"> </w:t>
            </w:r>
            <w:r w:rsidR="00034973">
              <w:t xml:space="preserve">- </w:t>
            </w:r>
            <w:r w:rsidR="00034973" w:rsidRPr="000E368E">
              <w:t>pracownik Wydziału</w:t>
            </w:r>
            <w:r w:rsidR="0068066A">
              <w:t xml:space="preserve"> Administracji</w:t>
            </w:r>
          </w:p>
          <w:p w14:paraId="75721B5D" w14:textId="77777777" w:rsidR="00EC5274" w:rsidRPr="00C754D6" w:rsidRDefault="00EC5274" w:rsidP="00C27098">
            <w:pPr>
              <w:jc w:val="both"/>
              <w:rPr>
                <w:sz w:val="14"/>
                <w:szCs w:val="14"/>
              </w:rPr>
            </w:pPr>
          </w:p>
        </w:tc>
      </w:tr>
      <w:tr w:rsidR="0028668E" w:rsidRPr="000E368E" w14:paraId="67762414" w14:textId="77777777" w:rsidTr="00C27098">
        <w:tc>
          <w:tcPr>
            <w:tcW w:w="2518" w:type="dxa"/>
            <w:shd w:val="clear" w:color="auto" w:fill="BFBFBF" w:themeFill="background1" w:themeFillShade="BF"/>
          </w:tcPr>
          <w:p w14:paraId="7A6F6403" w14:textId="5C478B20" w:rsidR="0028668E" w:rsidRDefault="0028668E" w:rsidP="00C27098">
            <w:pPr>
              <w:tabs>
                <w:tab w:val="left" w:pos="408"/>
              </w:tabs>
              <w:spacing w:before="80" w:after="80"/>
              <w:jc w:val="center"/>
              <w:rPr>
                <w:b/>
                <w:sz w:val="24"/>
                <w:szCs w:val="24"/>
              </w:rPr>
            </w:pPr>
            <w:bookmarkStart w:id="0" w:name="_Hlk123634923"/>
            <w:r>
              <w:rPr>
                <w:b/>
                <w:sz w:val="24"/>
                <w:szCs w:val="24"/>
              </w:rPr>
              <w:t>Pkt 3</w:t>
            </w:r>
            <w:r w:rsidRPr="000E368E">
              <w:rPr>
                <w:b/>
                <w:sz w:val="24"/>
                <w:szCs w:val="24"/>
              </w:rPr>
              <w:t>.</w:t>
            </w:r>
            <w:r w:rsidR="00A56D35">
              <w:rPr>
                <w:b/>
                <w:sz w:val="24"/>
                <w:szCs w:val="24"/>
              </w:rPr>
              <w:t>8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2049" w:type="dxa"/>
            <w:shd w:val="clear" w:color="auto" w:fill="BFBFBF" w:themeFill="background1" w:themeFillShade="BF"/>
          </w:tcPr>
          <w:p w14:paraId="1E5CC173" w14:textId="19389242" w:rsidR="0028668E" w:rsidRPr="000E368E" w:rsidRDefault="0028668E" w:rsidP="00C27098">
            <w:pPr>
              <w:spacing w:before="80" w:after="8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Prawo opcji</w:t>
            </w:r>
            <w:r w:rsidRPr="0028668E">
              <w:rPr>
                <w:bCs/>
              </w:rPr>
              <w:t xml:space="preserve"> </w:t>
            </w:r>
            <w:r w:rsidRPr="0028668E">
              <w:rPr>
                <w:b/>
                <w:bCs/>
                <w:sz w:val="24"/>
                <w:szCs w:val="24"/>
              </w:rPr>
              <w:t xml:space="preserve">zgodnie z art. 441 ust.1 </w:t>
            </w:r>
            <w:proofErr w:type="spellStart"/>
            <w:r w:rsidRPr="0028668E">
              <w:rPr>
                <w:b/>
                <w:bCs/>
                <w:sz w:val="24"/>
                <w:szCs w:val="24"/>
              </w:rPr>
              <w:t>Pzp</w:t>
            </w:r>
            <w:proofErr w:type="spellEnd"/>
          </w:p>
        </w:tc>
      </w:tr>
      <w:tr w:rsidR="0028668E" w:rsidRPr="000E368E" w14:paraId="2727A62A" w14:textId="77777777" w:rsidTr="00C27098">
        <w:tc>
          <w:tcPr>
            <w:tcW w:w="2518" w:type="dxa"/>
            <w:shd w:val="clear" w:color="auto" w:fill="auto"/>
          </w:tcPr>
          <w:p w14:paraId="1D8CBF62" w14:textId="77777777" w:rsidR="0028668E" w:rsidRDefault="0028668E" w:rsidP="00C27098">
            <w:pPr>
              <w:tabs>
                <w:tab w:val="left" w:pos="408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49" w:type="dxa"/>
            <w:shd w:val="clear" w:color="auto" w:fill="auto"/>
          </w:tcPr>
          <w:p w14:paraId="2440AB48" w14:textId="77777777" w:rsidR="00302324" w:rsidRDefault="00302324" w:rsidP="00302324">
            <w:pPr>
              <w:jc w:val="both"/>
            </w:pPr>
            <w:r>
              <w:t xml:space="preserve">Zamawiający zgodnie z </w:t>
            </w:r>
            <w:bookmarkStart w:id="1" w:name="_Hlk123632681"/>
            <w:r>
              <w:t xml:space="preserve">art. 441 ust.1 </w:t>
            </w:r>
            <w:proofErr w:type="spellStart"/>
            <w:r>
              <w:t>Pzp</w:t>
            </w:r>
            <w:proofErr w:type="spellEnd"/>
            <w:r>
              <w:t xml:space="preserve"> </w:t>
            </w:r>
            <w:bookmarkEnd w:id="1"/>
            <w:r>
              <w:rPr>
                <w:b/>
                <w:bCs/>
              </w:rPr>
              <w:t>przewiduje możliwość</w:t>
            </w:r>
            <w:r>
              <w:t xml:space="preserve"> skorzystania z dodatkowych dostaw w ramach „prawa opcji”.</w:t>
            </w:r>
          </w:p>
          <w:p w14:paraId="5FF79D88" w14:textId="77777777" w:rsidR="00302324" w:rsidRDefault="00302324" w:rsidP="00302324">
            <w:pPr>
              <w:pStyle w:val="Akapitzlist"/>
              <w:widowControl/>
              <w:numPr>
                <w:ilvl w:val="0"/>
                <w:numId w:val="33"/>
              </w:numPr>
              <w:autoSpaceDE/>
              <w:adjustRightInd/>
              <w:contextualSpacing/>
              <w:jc w:val="both"/>
            </w:pPr>
            <w:r>
              <w:t xml:space="preserve">W ramach „prawa opcji” mogą zostać zlecone następujące dodatkowe </w:t>
            </w:r>
            <w:r>
              <w:rPr>
                <w:u w:val="single"/>
              </w:rPr>
              <w:t>dostawy</w:t>
            </w:r>
            <w:r>
              <w:t>:</w:t>
            </w:r>
          </w:p>
          <w:p w14:paraId="017B9D34" w14:textId="77777777" w:rsidR="00302324" w:rsidRDefault="00302324" w:rsidP="00302324">
            <w:pPr>
              <w:pStyle w:val="Akapitzlist"/>
              <w:ind w:left="1080"/>
              <w:jc w:val="both"/>
            </w:pPr>
            <w:r>
              <w:t>•</w:t>
            </w:r>
            <w:r>
              <w:tab/>
              <w:t xml:space="preserve">olej opałowy w roku 2024, 2025, 2026              </w:t>
            </w:r>
          </w:p>
          <w:p w14:paraId="7E4A7561" w14:textId="77777777" w:rsidR="00302324" w:rsidRPr="00C754D6" w:rsidRDefault="00302324" w:rsidP="00302324">
            <w:pPr>
              <w:pStyle w:val="Akapitzlist"/>
              <w:ind w:left="720"/>
              <w:jc w:val="both"/>
              <w:rPr>
                <w:b/>
                <w:bCs/>
                <w:sz w:val="12"/>
                <w:szCs w:val="12"/>
              </w:rPr>
            </w:pPr>
          </w:p>
          <w:p w14:paraId="098611DD" w14:textId="77777777" w:rsidR="00302324" w:rsidRDefault="00302324" w:rsidP="00302324">
            <w:pPr>
              <w:pStyle w:val="Akapitzlist"/>
              <w:ind w:left="108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Maksymalna wartość opcji: </w:t>
            </w:r>
          </w:p>
          <w:p w14:paraId="77680175" w14:textId="77777777" w:rsidR="00302324" w:rsidRDefault="00302324" w:rsidP="00302324">
            <w:pPr>
              <w:pStyle w:val="Akapitzlist"/>
              <w:numPr>
                <w:ilvl w:val="0"/>
                <w:numId w:val="34"/>
              </w:numPr>
              <w:jc w:val="both"/>
            </w:pPr>
            <w:r>
              <w:t>Została określona w Formularzach cenowych na poszczególne zadania</w:t>
            </w:r>
          </w:p>
          <w:p w14:paraId="6C0CCBDB" w14:textId="77777777" w:rsidR="00302324" w:rsidRDefault="00302324" w:rsidP="00302324">
            <w:pPr>
              <w:jc w:val="both"/>
              <w:rPr>
                <w:sz w:val="12"/>
                <w:szCs w:val="12"/>
              </w:rPr>
            </w:pPr>
          </w:p>
          <w:p w14:paraId="41F56F31" w14:textId="77777777" w:rsidR="00302324" w:rsidRDefault="00302324" w:rsidP="00302324">
            <w:pPr>
              <w:pStyle w:val="Akapitzlist"/>
              <w:widowControl/>
              <w:numPr>
                <w:ilvl w:val="0"/>
                <w:numId w:val="33"/>
              </w:numPr>
              <w:autoSpaceDE/>
              <w:adjustRightInd/>
              <w:contextualSpacing/>
              <w:jc w:val="both"/>
            </w:pPr>
            <w:r>
              <w:t>Zamawiający zastrzega sobie możliwość skorzystania z „prawa opcji” w przypadku, gdy zakup dodatkowych dostaw będzie leżał w interesie Zamawiającego np. wynikał z jego bieżących potrzeb.</w:t>
            </w:r>
          </w:p>
          <w:p w14:paraId="7FB79485" w14:textId="77777777" w:rsidR="00302324" w:rsidRPr="00906403" w:rsidRDefault="00302324" w:rsidP="00302324">
            <w:pPr>
              <w:pStyle w:val="Akapitzlist"/>
              <w:jc w:val="both"/>
              <w:rPr>
                <w:sz w:val="6"/>
                <w:szCs w:val="6"/>
              </w:rPr>
            </w:pPr>
          </w:p>
          <w:p w14:paraId="40C9BDD5" w14:textId="77777777" w:rsidR="00302324" w:rsidRDefault="00302324" w:rsidP="00302324">
            <w:pPr>
              <w:pStyle w:val="Akapitzlist"/>
              <w:widowControl/>
              <w:numPr>
                <w:ilvl w:val="0"/>
                <w:numId w:val="33"/>
              </w:numPr>
              <w:autoSpaceDE/>
              <w:adjustRightInd/>
              <w:contextualSpacing/>
              <w:jc w:val="both"/>
            </w:pPr>
            <w:r>
              <w:t>„Prawo opcji” jest jednostronnym uprawnieniem Zamawiającego, z którego może, ale nie ma obowiązku skorzystać w ramach realizacji przedmiotu zamówienia. „Prawo opcji” stwarza po stronie zamawiającego zobowiązanie do realizacji zamówienia jedynie w zakresie zadeklarowanym, natomiast uprawnieniem zamawiającego jest żądanie realizacji zamówienia w zakresie poszerzonym, z kolei obowiązkiem wykonawcy jest realizacja zamówienia w całości, to jest w zakresie zadeklarowanym i poszerzonym. Wykonawcy nie przysługuje natomiast prawo domagania się realizacji zamówienia w zakresie poszerzonym, jeśli zamawiający nie skorzysta ze swego uprawnienia do opcji w toku realizacji umowy.</w:t>
            </w:r>
          </w:p>
          <w:p w14:paraId="1684769D" w14:textId="77777777" w:rsidR="00302324" w:rsidRPr="00906403" w:rsidRDefault="00302324" w:rsidP="00302324">
            <w:pPr>
              <w:pStyle w:val="Akapitzlist"/>
              <w:jc w:val="both"/>
              <w:rPr>
                <w:sz w:val="8"/>
                <w:szCs w:val="8"/>
              </w:rPr>
            </w:pPr>
          </w:p>
          <w:p w14:paraId="72C71D87" w14:textId="77777777" w:rsidR="00302324" w:rsidRDefault="00302324" w:rsidP="00302324">
            <w:pPr>
              <w:pStyle w:val="Akapitzlist"/>
              <w:ind w:left="1022"/>
              <w:jc w:val="both"/>
            </w:pPr>
            <w:r>
              <w:t>W przypadku nie skorzystania przez Zamawiającego z przysługującego mu „prawa opcji” albo skorzystania z „prawa opcji” w niepełnym zakresie, niewykorzystującym maksymalnego poziomu „prawa opcji”, Wykonawcy nie przysługują żadne roszczenia z tytułu nie skorzystania przez Zamawiającego z przysługującego mu „prawa opcji” albo skorzystania z „prawa opcji” w niepełnym zakresie, niewykorzystującym maksymalnego poziomu „prawa opcji”. W szczególności Wykonawca nie może żądać od Zamawiającego realizacji „prawa opcji” ani wnosić roszczenia o zapłatę spodziewanych korzyści.</w:t>
            </w:r>
          </w:p>
          <w:p w14:paraId="5BC4C298" w14:textId="77777777" w:rsidR="00302324" w:rsidRPr="00906403" w:rsidRDefault="00302324" w:rsidP="00302324">
            <w:pPr>
              <w:pStyle w:val="Akapitzlist"/>
              <w:jc w:val="both"/>
              <w:rPr>
                <w:sz w:val="6"/>
                <w:szCs w:val="6"/>
              </w:rPr>
            </w:pPr>
          </w:p>
          <w:p w14:paraId="266A397B" w14:textId="77777777" w:rsidR="00302324" w:rsidRDefault="00302324" w:rsidP="00302324">
            <w:pPr>
              <w:pStyle w:val="Akapitzlist"/>
              <w:widowControl/>
              <w:numPr>
                <w:ilvl w:val="0"/>
                <w:numId w:val="33"/>
              </w:numPr>
              <w:autoSpaceDE/>
              <w:adjustRightInd/>
              <w:contextualSpacing/>
              <w:jc w:val="both"/>
            </w:pPr>
            <w:r>
              <w:t xml:space="preserve">W ramach „prawa opcji” dodatkowe dostawy uzależnione będą wyłącznie od potrzeb i możliwości finansowych Zamawiającego. Zamawiający może nie skorzystać z „prawa opcji” w szczególności, gdy nie uzyska środków finansowych na ten cel. </w:t>
            </w:r>
          </w:p>
          <w:p w14:paraId="542BEB9D" w14:textId="77777777" w:rsidR="00302324" w:rsidRPr="00906403" w:rsidRDefault="00302324" w:rsidP="00302324">
            <w:pPr>
              <w:pStyle w:val="Akapitzlist"/>
              <w:rPr>
                <w:sz w:val="6"/>
                <w:szCs w:val="6"/>
              </w:rPr>
            </w:pPr>
          </w:p>
          <w:p w14:paraId="33FACE43" w14:textId="77777777" w:rsidR="00302324" w:rsidRDefault="00302324" w:rsidP="00302324">
            <w:pPr>
              <w:pStyle w:val="Akapitzlist"/>
              <w:widowControl/>
              <w:numPr>
                <w:ilvl w:val="0"/>
                <w:numId w:val="33"/>
              </w:numPr>
              <w:autoSpaceDE/>
              <w:adjustRightInd/>
              <w:contextualSpacing/>
              <w:jc w:val="both"/>
            </w:pPr>
            <w:r>
              <w:t>Jeżeli Zamawiający skorzysta z „prawa opcji” obowiązkiem umownym wykonawcy jest wykonanie świadczenia w zakresie objętym wykorzystanym „prawem opcji” na warunkach określonych w OPZ. Wykonawca jest zobowiązany do wykonania zamówienia objętego „Prawem opcji” na podstawie zapisów zawartych w umowie podstawowej. Uruchomienie „prawa opcji” nie będzie wymagało zmiany umowy.</w:t>
            </w:r>
          </w:p>
          <w:p w14:paraId="37C7AD38" w14:textId="77777777" w:rsidR="00302324" w:rsidRPr="00906403" w:rsidRDefault="00302324" w:rsidP="00302324">
            <w:pPr>
              <w:pStyle w:val="Akapitzlist"/>
              <w:rPr>
                <w:sz w:val="6"/>
                <w:szCs w:val="6"/>
              </w:rPr>
            </w:pPr>
          </w:p>
          <w:p w14:paraId="024CFEC3" w14:textId="77777777" w:rsidR="00302324" w:rsidRDefault="00302324" w:rsidP="00302324">
            <w:pPr>
              <w:pStyle w:val="Akapitzlist"/>
              <w:widowControl/>
              <w:numPr>
                <w:ilvl w:val="0"/>
                <w:numId w:val="33"/>
              </w:numPr>
              <w:autoSpaceDE/>
              <w:adjustRightInd/>
              <w:contextualSpacing/>
              <w:jc w:val="both"/>
            </w:pPr>
            <w:r>
              <w:t>W ramach „prawa opcji” dodatkowe dostawy zrealizowane będą po cenach jednostkowych określonych w formularzu cenowym.</w:t>
            </w:r>
          </w:p>
          <w:p w14:paraId="5ED621E8" w14:textId="77777777" w:rsidR="00302324" w:rsidRPr="00906403" w:rsidRDefault="00302324" w:rsidP="00302324">
            <w:pPr>
              <w:pStyle w:val="Akapitzlist"/>
              <w:rPr>
                <w:sz w:val="6"/>
                <w:szCs w:val="6"/>
              </w:rPr>
            </w:pPr>
          </w:p>
          <w:p w14:paraId="57DF9B6C" w14:textId="77777777" w:rsidR="00302324" w:rsidRDefault="00302324" w:rsidP="00302324">
            <w:pPr>
              <w:pStyle w:val="Akapitzlist"/>
              <w:widowControl/>
              <w:numPr>
                <w:ilvl w:val="0"/>
                <w:numId w:val="33"/>
              </w:numPr>
              <w:autoSpaceDE/>
              <w:adjustRightInd/>
              <w:contextualSpacing/>
              <w:jc w:val="both"/>
            </w:pPr>
            <w:r>
              <w:t>Zamawiający ma prawo wielokrotnie korzystać z „prawa opcji” – jednak do wyczerpania maksymalnego zakresu „prawa opcji”.</w:t>
            </w:r>
          </w:p>
          <w:p w14:paraId="385A5C6C" w14:textId="77777777" w:rsidR="00302324" w:rsidRPr="00906403" w:rsidRDefault="00302324" w:rsidP="00302324">
            <w:pPr>
              <w:pStyle w:val="Akapitzlist"/>
              <w:jc w:val="both"/>
              <w:rPr>
                <w:sz w:val="6"/>
                <w:szCs w:val="6"/>
              </w:rPr>
            </w:pPr>
          </w:p>
          <w:p w14:paraId="7D985B12" w14:textId="77777777" w:rsidR="00302324" w:rsidRDefault="00302324" w:rsidP="00302324">
            <w:pPr>
              <w:pStyle w:val="Akapitzlist"/>
              <w:widowControl/>
              <w:numPr>
                <w:ilvl w:val="0"/>
                <w:numId w:val="33"/>
              </w:numPr>
              <w:autoSpaceDE/>
              <w:adjustRightInd/>
              <w:contextualSpacing/>
              <w:jc w:val="both"/>
            </w:pPr>
            <w:r>
              <w:t xml:space="preserve">W celu uruchomienia „prawa opcji” Zamawiający na co najmniej 7 dni roboczych przed terminem wykonania złoży Wykonawcy (pisemnie bądź mailem) oświadczenie woli w przedmiocie skorzystania z „prawa opcji” w określonym </w:t>
            </w:r>
            <w:r>
              <w:lastRenderedPageBreak/>
              <w:t>zakresie. Oświadczenie będzie stanowiło załącznik do umowy. Nie jest wymagana zgoda Wykonawcy na wykonanie „prawa opcji”.</w:t>
            </w:r>
          </w:p>
          <w:p w14:paraId="58EAB873" w14:textId="77777777" w:rsidR="00302324" w:rsidRPr="00906403" w:rsidRDefault="00302324" w:rsidP="00302324">
            <w:pPr>
              <w:pStyle w:val="Akapitzlist"/>
              <w:rPr>
                <w:sz w:val="6"/>
                <w:szCs w:val="6"/>
              </w:rPr>
            </w:pPr>
          </w:p>
          <w:p w14:paraId="3FB2F7CF" w14:textId="77777777" w:rsidR="00302324" w:rsidRDefault="00302324" w:rsidP="00302324">
            <w:pPr>
              <w:pStyle w:val="Akapitzlist"/>
              <w:widowControl/>
              <w:numPr>
                <w:ilvl w:val="0"/>
                <w:numId w:val="33"/>
              </w:numPr>
              <w:autoSpaceDE/>
              <w:adjustRightInd/>
              <w:contextualSpacing/>
              <w:jc w:val="both"/>
            </w:pPr>
            <w:r>
              <w:t>Zamawiający jest uprawniony według własnego wyboru do składania oświadczenia w przedmiocie zamówienia udzielanego w ramach „prawa opcji”  kilkakrotnie albo jednokrotnie.</w:t>
            </w:r>
          </w:p>
          <w:p w14:paraId="4FD9867B" w14:textId="77777777" w:rsidR="00302324" w:rsidRPr="00906403" w:rsidRDefault="00302324" w:rsidP="00302324">
            <w:pPr>
              <w:pStyle w:val="Akapitzlist"/>
              <w:rPr>
                <w:sz w:val="6"/>
                <w:szCs w:val="6"/>
              </w:rPr>
            </w:pPr>
          </w:p>
          <w:p w14:paraId="06FA11EC" w14:textId="77777777" w:rsidR="006C451B" w:rsidRDefault="00302324" w:rsidP="00302324">
            <w:pPr>
              <w:pStyle w:val="Akapitzlist"/>
              <w:widowControl/>
              <w:numPr>
                <w:ilvl w:val="0"/>
                <w:numId w:val="33"/>
              </w:numPr>
              <w:autoSpaceDE/>
              <w:adjustRightInd/>
              <w:contextualSpacing/>
              <w:jc w:val="both"/>
            </w:pPr>
            <w:r>
              <w:t xml:space="preserve">W ramach „prawa opcji” Zamawiający zastrzega sobie możliwość pełnego albo wyłącznie </w:t>
            </w:r>
            <w:bookmarkStart w:id="2" w:name="_Hlk123633107"/>
            <w:r>
              <w:t>częściowego wykorzystania zamówień objętych „prawem opcji</w:t>
            </w:r>
            <w:bookmarkEnd w:id="2"/>
            <w:r>
              <w:t>’, co każdorazowo zostanie sprecyzowane w oświadczeniu o udzieleniu zamówienia.</w:t>
            </w:r>
          </w:p>
          <w:p w14:paraId="3B96E6F9" w14:textId="491C78BC" w:rsidR="00302324" w:rsidRPr="00302324" w:rsidRDefault="00302324" w:rsidP="00302324">
            <w:pPr>
              <w:widowControl/>
              <w:autoSpaceDE/>
              <w:adjustRightInd/>
              <w:contextualSpacing/>
              <w:jc w:val="both"/>
              <w:rPr>
                <w:sz w:val="16"/>
                <w:szCs w:val="16"/>
              </w:rPr>
            </w:pPr>
          </w:p>
        </w:tc>
      </w:tr>
      <w:bookmarkEnd w:id="0"/>
      <w:tr w:rsidR="001309B2" w:rsidRPr="000E368E" w14:paraId="214B6BF8" w14:textId="77777777" w:rsidTr="00C27098">
        <w:tc>
          <w:tcPr>
            <w:tcW w:w="2518" w:type="dxa"/>
            <w:shd w:val="clear" w:color="auto" w:fill="BFBFBF" w:themeFill="background1" w:themeFillShade="BF"/>
          </w:tcPr>
          <w:p w14:paraId="4D350397" w14:textId="7FC52D83" w:rsidR="001309B2" w:rsidRPr="000E368E" w:rsidRDefault="00E3598B" w:rsidP="00C27098">
            <w:pPr>
              <w:tabs>
                <w:tab w:val="left" w:pos="408"/>
              </w:tabs>
              <w:spacing w:before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Pkt 3</w:t>
            </w:r>
            <w:r w:rsidR="001309B2" w:rsidRPr="000E368E">
              <w:rPr>
                <w:b/>
                <w:sz w:val="24"/>
                <w:szCs w:val="24"/>
              </w:rPr>
              <w:t>.1</w:t>
            </w:r>
            <w:r w:rsidR="006C451B">
              <w:rPr>
                <w:b/>
                <w:sz w:val="24"/>
                <w:szCs w:val="24"/>
              </w:rPr>
              <w:t>0</w:t>
            </w:r>
            <w:r w:rsidR="001309B2"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2049" w:type="dxa"/>
            <w:shd w:val="clear" w:color="auto" w:fill="BFBFBF" w:themeFill="background1" w:themeFillShade="BF"/>
          </w:tcPr>
          <w:p w14:paraId="37E68364" w14:textId="1FDD83F7" w:rsidR="001309B2" w:rsidRPr="000E368E" w:rsidRDefault="004F679B" w:rsidP="00C27098">
            <w:pPr>
              <w:jc w:val="both"/>
              <w:rPr>
                <w:b/>
                <w:sz w:val="24"/>
                <w:szCs w:val="24"/>
              </w:rPr>
            </w:pPr>
            <w:r w:rsidRPr="000E368E">
              <w:rPr>
                <w:b/>
                <w:bCs/>
                <w:sz w:val="24"/>
                <w:szCs w:val="24"/>
              </w:rPr>
              <w:t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      </w:r>
            <w:r w:rsidR="008467CF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1309B2" w:rsidRPr="000E368E" w14:paraId="60A709E1" w14:textId="77777777" w:rsidTr="00C27098"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14:paraId="6579DE5C" w14:textId="77777777" w:rsidR="001309B2" w:rsidRPr="000E368E" w:rsidRDefault="001309B2" w:rsidP="00C27098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12049" w:type="dxa"/>
            <w:tcBorders>
              <w:bottom w:val="single" w:sz="4" w:space="0" w:color="auto"/>
            </w:tcBorders>
            <w:shd w:val="clear" w:color="auto" w:fill="auto"/>
          </w:tcPr>
          <w:p w14:paraId="339BF232" w14:textId="77777777" w:rsidR="003A3BB8" w:rsidRPr="000E368E" w:rsidRDefault="001309B2" w:rsidP="00C27098">
            <w:pPr>
              <w:jc w:val="both"/>
              <w:rPr>
                <w:b/>
                <w:bCs/>
              </w:rPr>
            </w:pPr>
            <w:r w:rsidRPr="000E368E">
              <w:rPr>
                <w:b/>
                <w:bCs/>
              </w:rPr>
              <w:t xml:space="preserve">Szczegółowe wymagania o których mowa w art. 95 </w:t>
            </w:r>
            <w:proofErr w:type="spellStart"/>
            <w:r w:rsidRPr="000E368E">
              <w:rPr>
                <w:b/>
                <w:bCs/>
              </w:rPr>
              <w:t>Pzp</w:t>
            </w:r>
            <w:proofErr w:type="spellEnd"/>
            <w:r w:rsidRPr="000E368E">
              <w:rPr>
                <w:b/>
                <w:bCs/>
              </w:rPr>
              <w:t xml:space="preserve"> dotyczące realizacji zamówienia oraz egzekwowania wymogu zatrudnie</w:t>
            </w:r>
            <w:r w:rsidR="003532A1" w:rsidRPr="000E368E">
              <w:rPr>
                <w:b/>
                <w:bCs/>
              </w:rPr>
              <w:t>nia na podstawie stosunku pracy:</w:t>
            </w:r>
          </w:p>
          <w:p w14:paraId="51C14524" w14:textId="77777777" w:rsidR="0027230C" w:rsidRPr="00A825EE" w:rsidRDefault="0027230C" w:rsidP="00C27098">
            <w:pPr>
              <w:jc w:val="both"/>
              <w:rPr>
                <w:b/>
                <w:sz w:val="14"/>
                <w:szCs w:val="14"/>
              </w:rPr>
            </w:pPr>
          </w:p>
          <w:p w14:paraId="2F6ECE55" w14:textId="77777777" w:rsidR="00920B21" w:rsidRPr="00920B21" w:rsidRDefault="00920B21" w:rsidP="00920B21">
            <w:pPr>
              <w:jc w:val="both"/>
            </w:pPr>
            <w:r w:rsidRPr="00920B21">
              <w:t xml:space="preserve">Zamawiający </w:t>
            </w:r>
            <w:r w:rsidRPr="00920B21">
              <w:rPr>
                <w:b/>
                <w:u w:val="single"/>
              </w:rPr>
              <w:t>nie wymaga</w:t>
            </w:r>
            <w:r w:rsidRPr="00920B21">
              <w:t xml:space="preserve"> zatrudnienia </w:t>
            </w:r>
            <w:r w:rsidRPr="00920B21">
              <w:rPr>
                <w:bCs/>
              </w:rPr>
              <w:t>na podstawie stosunku pracy.</w:t>
            </w:r>
          </w:p>
          <w:p w14:paraId="51B67B5A" w14:textId="77777777" w:rsidR="001309B2" w:rsidRPr="00A825EE" w:rsidRDefault="001309B2" w:rsidP="00920B21">
            <w:pPr>
              <w:jc w:val="both"/>
              <w:rPr>
                <w:sz w:val="16"/>
                <w:szCs w:val="16"/>
              </w:rPr>
            </w:pPr>
          </w:p>
        </w:tc>
      </w:tr>
      <w:tr w:rsidR="00E261AA" w:rsidRPr="000E368E" w14:paraId="7DF36803" w14:textId="77777777" w:rsidTr="00C27098">
        <w:tc>
          <w:tcPr>
            <w:tcW w:w="2518" w:type="dxa"/>
            <w:shd w:val="clear" w:color="auto" w:fill="BFBFBF" w:themeFill="background1" w:themeFillShade="BF"/>
          </w:tcPr>
          <w:p w14:paraId="70F88B09" w14:textId="425A3B06" w:rsidR="00A91F26" w:rsidRPr="000E368E" w:rsidRDefault="00B02DEE" w:rsidP="00C27098">
            <w:pPr>
              <w:tabs>
                <w:tab w:val="left" w:pos="408"/>
              </w:tabs>
              <w:spacing w:before="2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Pkt 4</w:t>
            </w:r>
            <w:r w:rsidR="00E261AA" w:rsidRPr="000E368E">
              <w:rPr>
                <w:b/>
                <w:sz w:val="24"/>
                <w:szCs w:val="24"/>
              </w:rPr>
              <w:t>.1 IDW</w:t>
            </w:r>
          </w:p>
        </w:tc>
        <w:tc>
          <w:tcPr>
            <w:tcW w:w="12049" w:type="dxa"/>
            <w:shd w:val="clear" w:color="auto" w:fill="BFBFBF" w:themeFill="background1" w:themeFillShade="BF"/>
          </w:tcPr>
          <w:p w14:paraId="76C851B4" w14:textId="140FEF41" w:rsidR="00E261AA" w:rsidRPr="000E368E" w:rsidRDefault="00E261AA" w:rsidP="00C27098">
            <w:pPr>
              <w:tabs>
                <w:tab w:val="left" w:pos="408"/>
              </w:tabs>
              <w:spacing w:before="40" w:after="40"/>
              <w:jc w:val="both"/>
              <w:rPr>
                <w:bCs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>Pełna nazwa zamówienia, opis przedmiotu zamówienia, sposób realizacji zamówienia oraz oznaczenie wg Wspólnego Słownika Zamówień (CPV)</w:t>
            </w:r>
          </w:p>
        </w:tc>
      </w:tr>
      <w:tr w:rsidR="000E530E" w:rsidRPr="000E368E" w14:paraId="727BDF5C" w14:textId="77777777" w:rsidTr="00C27098">
        <w:tc>
          <w:tcPr>
            <w:tcW w:w="2518" w:type="dxa"/>
            <w:vMerge w:val="restart"/>
            <w:shd w:val="clear" w:color="auto" w:fill="auto"/>
          </w:tcPr>
          <w:p w14:paraId="3CF03B54" w14:textId="77777777" w:rsidR="000E530E" w:rsidRDefault="000E530E" w:rsidP="00C27098">
            <w:pPr>
              <w:tabs>
                <w:tab w:val="left" w:pos="408"/>
              </w:tabs>
              <w:spacing w:before="20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49" w:type="dxa"/>
            <w:shd w:val="clear" w:color="auto" w:fill="auto"/>
          </w:tcPr>
          <w:p w14:paraId="354E9795" w14:textId="77777777" w:rsidR="000E530E" w:rsidRDefault="000E530E" w:rsidP="00C27098">
            <w:pPr>
              <w:ind w:left="300" w:hanging="300"/>
              <w:jc w:val="both"/>
              <w:rPr>
                <w:b/>
              </w:rPr>
            </w:pPr>
            <w:r w:rsidRPr="000E368E">
              <w:rPr>
                <w:b/>
              </w:rPr>
              <w:t>Pełna nazwa zamówienia:</w:t>
            </w:r>
          </w:p>
          <w:p w14:paraId="27415E0F" w14:textId="77777777" w:rsidR="0068066A" w:rsidRPr="003C5819" w:rsidRDefault="0068066A" w:rsidP="00C27098">
            <w:pPr>
              <w:ind w:left="300" w:hanging="300"/>
              <w:jc w:val="both"/>
              <w:rPr>
                <w:b/>
                <w:sz w:val="4"/>
                <w:szCs w:val="4"/>
              </w:rPr>
            </w:pPr>
          </w:p>
          <w:p w14:paraId="2DEA2CED" w14:textId="77777777" w:rsidR="00C20368" w:rsidRPr="00C20368" w:rsidRDefault="00C20368" w:rsidP="00306A7E">
            <w:pPr>
              <w:spacing w:before="120"/>
              <w:jc w:val="center"/>
              <w:rPr>
                <w:b/>
                <w:i/>
                <w:iCs/>
              </w:rPr>
            </w:pPr>
            <w:bookmarkStart w:id="3" w:name="_Hlk148098197"/>
            <w:r w:rsidRPr="00C20368">
              <w:rPr>
                <w:b/>
                <w:i/>
                <w:iCs/>
              </w:rPr>
              <w:t>„Zaopatrywanie w produkty paliwowe i pozapaliwowe pojazdów samochodowych, ciągników rolniczych i maszyn drogowych będących w użytkowaniu tut. Zarządu i podległych jednostek na terenie województwa podkarpackiego oraz dostawę oleju opałowego w 2024 – 2026 roku – Zadanie 1-12” – II Postępowanie</w:t>
            </w:r>
          </w:p>
          <w:bookmarkEnd w:id="3"/>
          <w:p w14:paraId="39E5179C" w14:textId="77777777" w:rsidR="000E530E" w:rsidRPr="00306A7E" w:rsidRDefault="000E530E" w:rsidP="00C27098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14:paraId="24C79151" w14:textId="77777777" w:rsidR="000E530E" w:rsidRPr="00914D9F" w:rsidRDefault="000E530E" w:rsidP="00C27098">
            <w:pPr>
              <w:ind w:left="300" w:hanging="300"/>
              <w:jc w:val="both"/>
              <w:rPr>
                <w:bCs/>
              </w:rPr>
            </w:pPr>
            <w:r w:rsidRPr="00914D9F">
              <w:rPr>
                <w:bCs/>
              </w:rPr>
              <w:t xml:space="preserve">W/w nazwy należy używać na każdym etapie prowadzonego postępowania. </w:t>
            </w:r>
          </w:p>
          <w:p w14:paraId="171E9B82" w14:textId="58FA5777" w:rsidR="000E530E" w:rsidRPr="00914D9F" w:rsidRDefault="000E530E" w:rsidP="00C27098">
            <w:pPr>
              <w:ind w:left="34"/>
              <w:jc w:val="both"/>
              <w:rPr>
                <w:bCs/>
              </w:rPr>
            </w:pPr>
            <w:r w:rsidRPr="00914D9F">
              <w:rPr>
                <w:bCs/>
              </w:rPr>
              <w:t>Z uwagi na możliwość wpisania ograniczonej liczby znaków w platformie e-zamówienia nazwa zamówienia może się różnić od nazwy użytej w innych dokumentach postępowania.</w:t>
            </w:r>
          </w:p>
          <w:p w14:paraId="6720DAEF" w14:textId="77777777" w:rsidR="000E530E" w:rsidRPr="00306A7E" w:rsidRDefault="000E530E" w:rsidP="00C27098">
            <w:pPr>
              <w:tabs>
                <w:tab w:val="left" w:pos="408"/>
              </w:tabs>
              <w:spacing w:before="40" w:after="40"/>
              <w:jc w:val="both"/>
              <w:rPr>
                <w:b/>
              </w:rPr>
            </w:pPr>
          </w:p>
        </w:tc>
      </w:tr>
      <w:tr w:rsidR="000E530E" w:rsidRPr="000E368E" w14:paraId="11500964" w14:textId="77777777" w:rsidTr="00C27098">
        <w:tc>
          <w:tcPr>
            <w:tcW w:w="2518" w:type="dxa"/>
            <w:vMerge/>
            <w:shd w:val="clear" w:color="auto" w:fill="auto"/>
          </w:tcPr>
          <w:p w14:paraId="3B1DF6FC" w14:textId="77777777" w:rsidR="000E530E" w:rsidRDefault="000E530E" w:rsidP="00C27098">
            <w:pPr>
              <w:tabs>
                <w:tab w:val="left" w:pos="408"/>
              </w:tabs>
              <w:spacing w:before="20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49" w:type="dxa"/>
            <w:shd w:val="clear" w:color="auto" w:fill="auto"/>
          </w:tcPr>
          <w:p w14:paraId="347E0C70" w14:textId="77777777" w:rsidR="00A13C3E" w:rsidRPr="003C5819" w:rsidRDefault="00A13C3E" w:rsidP="00C27098">
            <w:pPr>
              <w:ind w:left="300" w:hanging="300"/>
              <w:jc w:val="both"/>
              <w:rPr>
                <w:b/>
                <w:sz w:val="6"/>
                <w:szCs w:val="6"/>
              </w:rPr>
            </w:pPr>
          </w:p>
          <w:p w14:paraId="4B52ADAB" w14:textId="5DE4FB00" w:rsidR="000E530E" w:rsidRPr="000E368E" w:rsidRDefault="000E530E" w:rsidP="00C27098">
            <w:pPr>
              <w:ind w:left="300" w:hanging="300"/>
              <w:jc w:val="both"/>
              <w:rPr>
                <w:b/>
              </w:rPr>
            </w:pPr>
            <w:r w:rsidRPr="000E368E">
              <w:rPr>
                <w:b/>
              </w:rPr>
              <w:t>Opis przedmiotu zamówienia</w:t>
            </w:r>
          </w:p>
          <w:p w14:paraId="55582877" w14:textId="11106041" w:rsidR="00B52ADA" w:rsidRPr="00B52ADA" w:rsidRDefault="00B52ADA" w:rsidP="00B52ADA">
            <w:pPr>
              <w:jc w:val="both"/>
              <w:rPr>
                <w:bCs/>
              </w:rPr>
            </w:pPr>
            <w:r w:rsidRPr="00B52ADA">
              <w:rPr>
                <w:bCs/>
              </w:rPr>
              <w:t xml:space="preserve">Przedmiotem zamówienia </w:t>
            </w:r>
            <w:r>
              <w:rPr>
                <w:bCs/>
              </w:rPr>
              <w:t>są</w:t>
            </w:r>
            <w:r w:rsidRPr="00B52ADA">
              <w:rPr>
                <w:bCs/>
              </w:rPr>
              <w:t xml:space="preserve"> dostaw</w:t>
            </w:r>
            <w:r>
              <w:rPr>
                <w:bCs/>
              </w:rPr>
              <w:t>y</w:t>
            </w:r>
            <w:r w:rsidRPr="00B52ADA">
              <w:rPr>
                <w:bCs/>
              </w:rPr>
              <w:t xml:space="preserve"> oleju opałowego w 2024 – 2026 roku</w:t>
            </w:r>
            <w:r w:rsidR="008C45F0">
              <w:rPr>
                <w:bCs/>
              </w:rPr>
              <w:t>:</w:t>
            </w:r>
          </w:p>
          <w:p w14:paraId="0517BE27" w14:textId="3B01F7F7" w:rsidR="006F2CF3" w:rsidRPr="006F2CF3" w:rsidRDefault="006F2CF3" w:rsidP="006F2CF3">
            <w:pPr>
              <w:jc w:val="both"/>
              <w:rPr>
                <w:bCs/>
              </w:rPr>
            </w:pPr>
            <w:r w:rsidRPr="006F2CF3">
              <w:rPr>
                <w:bCs/>
              </w:rPr>
              <w:t xml:space="preserve">Zadanie Nr 1 – dostawa oleju opałowego BM WYSOCZANY </w:t>
            </w:r>
          </w:p>
          <w:p w14:paraId="7AE68EF1" w14:textId="55929951" w:rsidR="006F2CF3" w:rsidRDefault="006F2CF3" w:rsidP="006F2CF3">
            <w:pPr>
              <w:jc w:val="both"/>
              <w:rPr>
                <w:bCs/>
              </w:rPr>
            </w:pPr>
            <w:r w:rsidRPr="006F2CF3">
              <w:rPr>
                <w:bCs/>
              </w:rPr>
              <w:t xml:space="preserve">Zadanie Nr 2 – dostawa oleju opałowego RDW USTRZYKI </w:t>
            </w:r>
          </w:p>
          <w:p w14:paraId="28553F66" w14:textId="60D3F139" w:rsidR="00B96456" w:rsidRPr="00B96456" w:rsidRDefault="00B96456" w:rsidP="00B96456">
            <w:pPr>
              <w:tabs>
                <w:tab w:val="num" w:pos="720"/>
              </w:tabs>
              <w:jc w:val="both"/>
              <w:rPr>
                <w:bCs/>
              </w:rPr>
            </w:pPr>
            <w:r w:rsidRPr="00B96456">
              <w:rPr>
                <w:bCs/>
              </w:rPr>
              <w:t>Zamówienie obejmuje dostawę produktów paliwowych:</w:t>
            </w:r>
            <w:r>
              <w:rPr>
                <w:bCs/>
              </w:rPr>
              <w:t xml:space="preserve"> </w:t>
            </w:r>
            <w:r w:rsidRPr="00B96456">
              <w:rPr>
                <w:bCs/>
              </w:rPr>
              <w:t xml:space="preserve">olej opałowy </w:t>
            </w:r>
            <w:r>
              <w:rPr>
                <w:bCs/>
              </w:rPr>
              <w:t>-</w:t>
            </w:r>
            <w:r w:rsidRPr="00B96456">
              <w:rPr>
                <w:bCs/>
              </w:rPr>
              <w:t xml:space="preserve"> ok. 73 500 l</w:t>
            </w:r>
          </w:p>
          <w:p w14:paraId="77337F8A" w14:textId="77777777" w:rsidR="00920B21" w:rsidRPr="003C5819" w:rsidRDefault="00920B21" w:rsidP="00C27098">
            <w:pPr>
              <w:jc w:val="both"/>
              <w:rPr>
                <w:sz w:val="14"/>
                <w:szCs w:val="14"/>
              </w:rPr>
            </w:pPr>
          </w:p>
          <w:p w14:paraId="19D29053" w14:textId="1305C805" w:rsidR="000E530E" w:rsidRPr="007B75D4" w:rsidRDefault="000E530E" w:rsidP="00C27098">
            <w:pPr>
              <w:jc w:val="both"/>
            </w:pPr>
            <w:r>
              <w:t xml:space="preserve">Opis </w:t>
            </w:r>
            <w:r w:rsidR="001C7110">
              <w:t>p</w:t>
            </w:r>
            <w:r>
              <w:t xml:space="preserve">rzedmiotu </w:t>
            </w:r>
            <w:r w:rsidR="001C7110">
              <w:t>z</w:t>
            </w:r>
            <w:r>
              <w:t>amówienia</w:t>
            </w:r>
            <w:r w:rsidRPr="007B75D4">
              <w:t xml:space="preserve"> oraz sposób realizacji zamówienia zawiera </w:t>
            </w:r>
            <w:r w:rsidR="00ED2406">
              <w:t>OPZ</w:t>
            </w:r>
            <w:r w:rsidR="002632D6">
              <w:t>,</w:t>
            </w:r>
            <w:r w:rsidR="0036352D" w:rsidRPr="0036352D">
              <w:t xml:space="preserve"> </w:t>
            </w:r>
            <w:r w:rsidRPr="007B75D4">
              <w:t xml:space="preserve">stanowiący </w:t>
            </w:r>
            <w:r>
              <w:rPr>
                <w:b/>
              </w:rPr>
              <w:t xml:space="preserve">Załącznik </w:t>
            </w:r>
            <w:r w:rsidRPr="007B75D4">
              <w:rPr>
                <w:b/>
              </w:rPr>
              <w:t>do SWZ</w:t>
            </w:r>
            <w:r w:rsidRPr="007B75D4">
              <w:t>.</w:t>
            </w:r>
          </w:p>
          <w:p w14:paraId="0798F086" w14:textId="4E6A5C4F" w:rsidR="00E36E12" w:rsidRPr="003C5819" w:rsidRDefault="00E36E12" w:rsidP="00C27098">
            <w:pPr>
              <w:jc w:val="both"/>
              <w:rPr>
                <w:b/>
                <w:sz w:val="14"/>
                <w:szCs w:val="14"/>
              </w:rPr>
            </w:pPr>
          </w:p>
        </w:tc>
      </w:tr>
      <w:tr w:rsidR="00E36E12" w:rsidRPr="000E368E" w14:paraId="2957E682" w14:textId="77777777" w:rsidTr="00C27098">
        <w:tc>
          <w:tcPr>
            <w:tcW w:w="2518" w:type="dxa"/>
            <w:vMerge/>
            <w:shd w:val="clear" w:color="auto" w:fill="auto"/>
          </w:tcPr>
          <w:p w14:paraId="650F24DB" w14:textId="77777777" w:rsidR="00E36E12" w:rsidRDefault="00E36E12" w:rsidP="00C27098">
            <w:pPr>
              <w:tabs>
                <w:tab w:val="left" w:pos="408"/>
              </w:tabs>
              <w:spacing w:before="20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49" w:type="dxa"/>
            <w:shd w:val="clear" w:color="auto" w:fill="auto"/>
          </w:tcPr>
          <w:p w14:paraId="0371D91D" w14:textId="5B7AB9E1" w:rsidR="00E36E12" w:rsidRPr="000E368E" w:rsidRDefault="00E36E12" w:rsidP="00C27098">
            <w:pPr>
              <w:ind w:left="300" w:hanging="300"/>
              <w:jc w:val="both"/>
              <w:rPr>
                <w:b/>
              </w:rPr>
            </w:pPr>
            <w:r w:rsidRPr="000E368E">
              <w:rPr>
                <w:b/>
              </w:rPr>
              <w:t>Oznaczenie wg Wspólnego Słownika Zamówień (CPV)</w:t>
            </w:r>
          </w:p>
          <w:p w14:paraId="3F631669" w14:textId="77777777" w:rsidR="005A3B04" w:rsidRPr="005A3B04" w:rsidRDefault="005A3B04" w:rsidP="00C27098">
            <w:pPr>
              <w:pStyle w:val="Bezodstpw"/>
              <w:rPr>
                <w:b/>
                <w:sz w:val="10"/>
                <w:szCs w:val="10"/>
              </w:rPr>
            </w:pPr>
          </w:p>
          <w:p w14:paraId="1105DF65" w14:textId="79D09ABD" w:rsidR="002247AB" w:rsidRPr="001C7110" w:rsidRDefault="001C7110" w:rsidP="001C7110">
            <w:pPr>
              <w:widowControl/>
              <w:autoSpaceDE/>
              <w:adjustRightInd/>
              <w:spacing w:after="120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lang w:eastAsia="en-US"/>
              </w:rPr>
              <w:t>09135100-5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– olej opałowy</w:t>
            </w:r>
          </w:p>
        </w:tc>
      </w:tr>
      <w:tr w:rsidR="000E530E" w:rsidRPr="000E368E" w14:paraId="7A3F2C5B" w14:textId="77777777" w:rsidTr="00C27098">
        <w:tc>
          <w:tcPr>
            <w:tcW w:w="2518" w:type="dxa"/>
            <w:vMerge/>
            <w:shd w:val="clear" w:color="auto" w:fill="auto"/>
          </w:tcPr>
          <w:p w14:paraId="482061BC" w14:textId="77777777" w:rsidR="000E530E" w:rsidRDefault="000E530E" w:rsidP="00C27098">
            <w:pPr>
              <w:tabs>
                <w:tab w:val="left" w:pos="408"/>
              </w:tabs>
              <w:spacing w:before="20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49" w:type="dxa"/>
            <w:shd w:val="clear" w:color="auto" w:fill="auto"/>
          </w:tcPr>
          <w:p w14:paraId="10682A1F" w14:textId="57575AEF" w:rsidR="000E530E" w:rsidRDefault="000E530E" w:rsidP="00C27098">
            <w:pPr>
              <w:ind w:left="300" w:hanging="300"/>
              <w:jc w:val="both"/>
              <w:rPr>
                <w:b/>
              </w:rPr>
            </w:pPr>
            <w:r w:rsidRPr="000E368E">
              <w:rPr>
                <w:b/>
              </w:rPr>
              <w:t>Sposób realizacji zamówienia</w:t>
            </w:r>
          </w:p>
          <w:p w14:paraId="4D487204" w14:textId="77777777" w:rsidR="00E36E12" w:rsidRPr="003C5819" w:rsidRDefault="00E36E12" w:rsidP="00C27098">
            <w:pPr>
              <w:ind w:left="300" w:hanging="300"/>
              <w:jc w:val="both"/>
              <w:rPr>
                <w:b/>
                <w:sz w:val="6"/>
                <w:szCs w:val="6"/>
              </w:rPr>
            </w:pPr>
          </w:p>
          <w:p w14:paraId="0724AEAC" w14:textId="77777777" w:rsidR="000E530E" w:rsidRPr="000E368E" w:rsidRDefault="000E530E" w:rsidP="00C27098">
            <w:pPr>
              <w:tabs>
                <w:tab w:val="left" w:pos="408"/>
              </w:tabs>
              <w:jc w:val="both"/>
            </w:pPr>
            <w:r w:rsidRPr="000E368E">
              <w:t>Realizacja przedmiotu zamówienia musi być zgodna z ofertą i SWZ, w szczególności:</w:t>
            </w:r>
          </w:p>
          <w:p w14:paraId="254DB3EF" w14:textId="526D6A7B" w:rsidR="000E530E" w:rsidRPr="000E368E" w:rsidRDefault="000E530E" w:rsidP="00C27098">
            <w:pPr>
              <w:pStyle w:val="Akapitzlist"/>
              <w:numPr>
                <w:ilvl w:val="0"/>
                <w:numId w:val="10"/>
              </w:numPr>
              <w:tabs>
                <w:tab w:val="left" w:pos="408"/>
              </w:tabs>
              <w:jc w:val="both"/>
            </w:pPr>
            <w:r w:rsidRPr="000E368E">
              <w:t>opisem przedmiotu zamówienia</w:t>
            </w:r>
          </w:p>
          <w:p w14:paraId="30FC9B30" w14:textId="77777777" w:rsidR="000E530E" w:rsidRPr="000E368E" w:rsidRDefault="000E530E" w:rsidP="00C27098">
            <w:pPr>
              <w:pStyle w:val="Akapitzlist"/>
              <w:numPr>
                <w:ilvl w:val="0"/>
                <w:numId w:val="10"/>
              </w:numPr>
              <w:tabs>
                <w:tab w:val="left" w:pos="408"/>
              </w:tabs>
              <w:jc w:val="both"/>
            </w:pPr>
            <w:r w:rsidRPr="000E368E">
              <w:t>projektowanymi postanowieniami umowy w sprawie zamówienia publicznego</w:t>
            </w:r>
          </w:p>
          <w:p w14:paraId="1D5252CC" w14:textId="17D7E18E" w:rsidR="000E530E" w:rsidRPr="003C5819" w:rsidRDefault="00B0725C" w:rsidP="003C5819">
            <w:pPr>
              <w:numPr>
                <w:ilvl w:val="0"/>
                <w:numId w:val="9"/>
              </w:numPr>
              <w:jc w:val="both"/>
            </w:pPr>
            <w:r>
              <w:t>Formularzem cenowym (FC)</w:t>
            </w:r>
          </w:p>
        </w:tc>
      </w:tr>
      <w:tr w:rsidR="00E36E12" w:rsidRPr="000E368E" w14:paraId="2C855A43" w14:textId="77777777" w:rsidTr="00C27098">
        <w:tc>
          <w:tcPr>
            <w:tcW w:w="2518" w:type="dxa"/>
            <w:vMerge/>
            <w:shd w:val="clear" w:color="auto" w:fill="auto"/>
          </w:tcPr>
          <w:p w14:paraId="7386BC27" w14:textId="77777777" w:rsidR="00E36E12" w:rsidRDefault="00E36E12" w:rsidP="00C27098">
            <w:pPr>
              <w:tabs>
                <w:tab w:val="left" w:pos="408"/>
              </w:tabs>
              <w:spacing w:before="20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49" w:type="dxa"/>
            <w:shd w:val="clear" w:color="auto" w:fill="auto"/>
          </w:tcPr>
          <w:p w14:paraId="21531E76" w14:textId="66616183" w:rsidR="00E36E12" w:rsidRPr="001C7110" w:rsidRDefault="00E36E12" w:rsidP="00C27098">
            <w:pPr>
              <w:tabs>
                <w:tab w:val="left" w:pos="408"/>
              </w:tabs>
              <w:spacing w:before="80"/>
              <w:jc w:val="both"/>
              <w:rPr>
                <w:b/>
                <w:i/>
                <w:iCs/>
              </w:rPr>
            </w:pPr>
            <w:r w:rsidRPr="006A586A">
              <w:rPr>
                <w:b/>
              </w:rPr>
              <w:t>Okres gwarancji i rękojmi za wady</w:t>
            </w:r>
            <w:r w:rsidR="0036352D">
              <w:rPr>
                <w:b/>
              </w:rPr>
              <w:t xml:space="preserve"> </w:t>
            </w:r>
            <w:r w:rsidR="00830F51">
              <w:rPr>
                <w:b/>
              </w:rPr>
              <w:t xml:space="preserve">– </w:t>
            </w:r>
            <w:r w:rsidR="001C7110">
              <w:rPr>
                <w:b/>
                <w:i/>
                <w:iCs/>
              </w:rPr>
              <w:t>nie dotyczy</w:t>
            </w:r>
          </w:p>
          <w:p w14:paraId="12ED1683" w14:textId="77777777" w:rsidR="00E36E12" w:rsidRPr="00591F11" w:rsidRDefault="00E36E12" w:rsidP="00C27098">
            <w:pPr>
              <w:tabs>
                <w:tab w:val="left" w:pos="408"/>
              </w:tabs>
              <w:jc w:val="both"/>
              <w:rPr>
                <w:b/>
                <w:bCs/>
                <w:sz w:val="10"/>
                <w:szCs w:val="10"/>
              </w:rPr>
            </w:pPr>
          </w:p>
        </w:tc>
      </w:tr>
      <w:tr w:rsidR="000E530E" w:rsidRPr="000E368E" w14:paraId="52704E47" w14:textId="77777777" w:rsidTr="00C27098">
        <w:tc>
          <w:tcPr>
            <w:tcW w:w="2518" w:type="dxa"/>
            <w:vMerge/>
            <w:shd w:val="clear" w:color="auto" w:fill="auto"/>
          </w:tcPr>
          <w:p w14:paraId="52A56DB8" w14:textId="77777777" w:rsidR="000E530E" w:rsidRDefault="000E530E" w:rsidP="00C27098">
            <w:pPr>
              <w:tabs>
                <w:tab w:val="left" w:pos="408"/>
              </w:tabs>
              <w:spacing w:before="20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49" w:type="dxa"/>
            <w:shd w:val="clear" w:color="auto" w:fill="auto"/>
          </w:tcPr>
          <w:p w14:paraId="76ED059C" w14:textId="77777777" w:rsidR="000E530E" w:rsidRPr="000870BC" w:rsidRDefault="000E530E" w:rsidP="00C27098">
            <w:pPr>
              <w:tabs>
                <w:tab w:val="left" w:pos="408"/>
              </w:tabs>
              <w:jc w:val="both"/>
              <w:rPr>
                <w:b/>
                <w:bCs/>
                <w:sz w:val="8"/>
                <w:szCs w:val="8"/>
              </w:rPr>
            </w:pPr>
          </w:p>
          <w:p w14:paraId="7DFD2625" w14:textId="77777777" w:rsidR="000E530E" w:rsidRPr="009E1D64" w:rsidRDefault="000E530E" w:rsidP="00C27098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9E1D64">
              <w:rPr>
                <w:rFonts w:eastAsia="Calibri"/>
                <w:b/>
                <w:lang w:eastAsia="en-US"/>
              </w:rPr>
              <w:t xml:space="preserve">Kwota, jaką Zamawiający zamierza przeznaczyć na sfinansowanie zamówienia </w:t>
            </w:r>
          </w:p>
          <w:p w14:paraId="73AD5465" w14:textId="77777777" w:rsidR="000E530E" w:rsidRDefault="000E530E" w:rsidP="00C27098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rFonts w:eastAsia="Calibri"/>
                <w:bCs/>
                <w:lang w:eastAsia="en-US"/>
              </w:rPr>
            </w:pPr>
            <w:r w:rsidRPr="009E1D64">
              <w:rPr>
                <w:rFonts w:eastAsia="Calibri"/>
                <w:bCs/>
                <w:lang w:eastAsia="en-US"/>
              </w:rPr>
              <w:t xml:space="preserve">Na podstawie art.  222 ust.  4. </w:t>
            </w:r>
            <w:proofErr w:type="spellStart"/>
            <w:r w:rsidRPr="009E1D64">
              <w:rPr>
                <w:rFonts w:eastAsia="Calibri"/>
                <w:bCs/>
                <w:lang w:eastAsia="en-US"/>
              </w:rPr>
              <w:t>Pzp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  <w:r w:rsidRPr="009E1D64">
              <w:rPr>
                <w:rFonts w:eastAsia="Calibri"/>
                <w:bCs/>
                <w:lang w:eastAsia="en-US"/>
              </w:rPr>
              <w:t>Zamawiający, najpóźniej przed otwarciem ofert, udostępnia na stronie internetowej prowadzonego postępowania informację o kwocie, jaką zamierza przeznaczyć na sfinansowanie zamówienia.</w:t>
            </w:r>
          </w:p>
          <w:p w14:paraId="346F7349" w14:textId="77777777" w:rsidR="001C7110" w:rsidRDefault="001C7110" w:rsidP="001C7110">
            <w:pPr>
              <w:tabs>
                <w:tab w:val="left" w:pos="408"/>
              </w:tabs>
              <w:jc w:val="both"/>
              <w:rPr>
                <w:rFonts w:eastAsia="Calibri"/>
                <w:b/>
                <w:lang w:eastAsia="en-US"/>
              </w:rPr>
            </w:pPr>
          </w:p>
          <w:p w14:paraId="16C45662" w14:textId="6A35DAE6" w:rsidR="001C7110" w:rsidRDefault="001C7110" w:rsidP="001C7110">
            <w:pPr>
              <w:tabs>
                <w:tab w:val="left" w:pos="408"/>
              </w:tabs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Zamawiający zamierza przeznaczyć na sfinansowanie przedmiotowego zamówienia kwotę 371 910,00 PLN, w tym</w:t>
            </w:r>
          </w:p>
          <w:p w14:paraId="053298D7" w14:textId="77777777" w:rsidR="001C7110" w:rsidRDefault="001C7110" w:rsidP="001C7110">
            <w:pPr>
              <w:jc w:val="both"/>
              <w:rPr>
                <w:b/>
                <w:bCs/>
              </w:rPr>
            </w:pPr>
          </w:p>
          <w:p w14:paraId="011E1C2B" w14:textId="2F1B8AD0" w:rsidR="001C7110" w:rsidRDefault="001C7110" w:rsidP="001C7110">
            <w:pPr>
              <w:jc w:val="both"/>
            </w:pPr>
            <w:r>
              <w:rPr>
                <w:b/>
                <w:bCs/>
              </w:rPr>
              <w:t>Zadanie Nr 1</w:t>
            </w:r>
            <w:r>
              <w:t xml:space="preserve"> – dostawa oleju opałowego BM WYSOCZANY </w:t>
            </w:r>
          </w:p>
          <w:p w14:paraId="7B2B499A" w14:textId="77777777" w:rsidR="001C7110" w:rsidRDefault="001C7110" w:rsidP="001C7110">
            <w:pPr>
              <w:numPr>
                <w:ilvl w:val="0"/>
                <w:numId w:val="36"/>
              </w:numPr>
              <w:jc w:val="both"/>
            </w:pPr>
            <w:r>
              <w:rPr>
                <w:b/>
                <w:bCs/>
              </w:rPr>
              <w:t xml:space="preserve">łącznie 242 880,00 </w:t>
            </w:r>
            <w:r>
              <w:t>(</w:t>
            </w:r>
            <w:r>
              <w:rPr>
                <w:b/>
                <w:bCs/>
              </w:rPr>
              <w:t>2024r.</w:t>
            </w:r>
            <w:r>
              <w:t xml:space="preserve">- 80 960,00; </w:t>
            </w:r>
            <w:r>
              <w:rPr>
                <w:b/>
                <w:bCs/>
              </w:rPr>
              <w:t>2025r.</w:t>
            </w:r>
            <w:r>
              <w:t xml:space="preserve"> – 80 960,00; </w:t>
            </w:r>
            <w:r>
              <w:rPr>
                <w:b/>
                <w:bCs/>
              </w:rPr>
              <w:t>2026r</w:t>
            </w:r>
            <w:r>
              <w:t>. -80 960,00)</w:t>
            </w:r>
          </w:p>
          <w:p w14:paraId="46B38AB0" w14:textId="4EA91E8F" w:rsidR="001C7110" w:rsidRDefault="001C7110" w:rsidP="001C7110">
            <w:pPr>
              <w:jc w:val="both"/>
            </w:pPr>
            <w:r>
              <w:rPr>
                <w:b/>
                <w:bCs/>
              </w:rPr>
              <w:t>Zadanie Nr 2</w:t>
            </w:r>
            <w:r>
              <w:t xml:space="preserve"> – dostawa oleju opałowego RDW USTRZYKI </w:t>
            </w:r>
          </w:p>
          <w:p w14:paraId="70DC5CF9" w14:textId="77777777" w:rsidR="001C7110" w:rsidRDefault="001C7110" w:rsidP="001C7110">
            <w:pPr>
              <w:numPr>
                <w:ilvl w:val="0"/>
                <w:numId w:val="36"/>
              </w:numPr>
              <w:jc w:val="both"/>
            </w:pPr>
            <w:r>
              <w:rPr>
                <w:b/>
                <w:bCs/>
              </w:rPr>
              <w:t xml:space="preserve">łącznie 129 030,00 </w:t>
            </w:r>
            <w:r>
              <w:t>(</w:t>
            </w:r>
            <w:r>
              <w:rPr>
                <w:b/>
                <w:bCs/>
              </w:rPr>
              <w:t>2024r.</w:t>
            </w:r>
            <w:r>
              <w:t xml:space="preserve">- 43 010,00; </w:t>
            </w:r>
            <w:r>
              <w:rPr>
                <w:b/>
                <w:bCs/>
              </w:rPr>
              <w:t>2025r.</w:t>
            </w:r>
            <w:r>
              <w:t xml:space="preserve"> – 43 010,00; </w:t>
            </w:r>
            <w:r>
              <w:rPr>
                <w:b/>
                <w:bCs/>
              </w:rPr>
              <w:t>2026r</w:t>
            </w:r>
            <w:r>
              <w:t>. -43 010,00)</w:t>
            </w:r>
          </w:p>
          <w:p w14:paraId="2F6F0DC7" w14:textId="77777777" w:rsidR="000E530E" w:rsidRPr="00FC2423" w:rsidRDefault="000E530E" w:rsidP="00FC2423">
            <w:pPr>
              <w:tabs>
                <w:tab w:val="left" w:pos="408"/>
              </w:tabs>
              <w:jc w:val="both"/>
              <w:rPr>
                <w:b/>
                <w:sz w:val="12"/>
                <w:szCs w:val="12"/>
              </w:rPr>
            </w:pPr>
          </w:p>
        </w:tc>
      </w:tr>
      <w:tr w:rsidR="000E530E" w:rsidRPr="000E368E" w14:paraId="5289ED20" w14:textId="77777777" w:rsidTr="00C27098">
        <w:tc>
          <w:tcPr>
            <w:tcW w:w="2518" w:type="dxa"/>
            <w:vMerge/>
            <w:shd w:val="clear" w:color="auto" w:fill="auto"/>
          </w:tcPr>
          <w:p w14:paraId="53C9FAE1" w14:textId="77777777" w:rsidR="000E530E" w:rsidRDefault="000E530E" w:rsidP="00C27098">
            <w:pPr>
              <w:tabs>
                <w:tab w:val="left" w:pos="408"/>
              </w:tabs>
              <w:spacing w:before="20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49" w:type="dxa"/>
            <w:shd w:val="clear" w:color="auto" w:fill="auto"/>
          </w:tcPr>
          <w:p w14:paraId="41718D95" w14:textId="77777777" w:rsidR="000E530E" w:rsidRDefault="000E530E" w:rsidP="00C27098">
            <w:pPr>
              <w:tabs>
                <w:tab w:val="left" w:pos="408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R</w:t>
            </w:r>
            <w:r w:rsidRPr="00AB5590">
              <w:rPr>
                <w:b/>
                <w:bCs/>
              </w:rPr>
              <w:t xml:space="preserve">ealizacja obowiązków wynikających z </w:t>
            </w:r>
            <w:r w:rsidRPr="00AB5590">
              <w:rPr>
                <w:b/>
                <w:bCs/>
                <w:color w:val="000000"/>
              </w:rPr>
              <w:t>Ustawy z dnia 11 stycznia 2018 r. o elektromobilności i paliwach alternatywnych</w:t>
            </w:r>
            <w:r>
              <w:rPr>
                <w:b/>
                <w:bCs/>
                <w:color w:val="000000"/>
              </w:rPr>
              <w:t>.</w:t>
            </w:r>
          </w:p>
          <w:p w14:paraId="3C51629F" w14:textId="77777777" w:rsidR="000E530E" w:rsidRPr="000870BC" w:rsidRDefault="000E530E" w:rsidP="00C27098">
            <w:pPr>
              <w:tabs>
                <w:tab w:val="left" w:pos="408"/>
              </w:tabs>
              <w:jc w:val="both"/>
              <w:rPr>
                <w:b/>
                <w:bCs/>
                <w:sz w:val="10"/>
                <w:szCs w:val="10"/>
              </w:rPr>
            </w:pPr>
          </w:p>
          <w:p w14:paraId="19415145" w14:textId="77777777" w:rsidR="000E530E" w:rsidRDefault="000E530E" w:rsidP="00C27098">
            <w:pPr>
              <w:tabs>
                <w:tab w:val="right" w:pos="9354"/>
              </w:tabs>
              <w:jc w:val="both"/>
              <w:rPr>
                <w:color w:val="000000"/>
              </w:rPr>
            </w:pPr>
            <w:r w:rsidRPr="00537EE6">
              <w:rPr>
                <w:color w:val="000000"/>
              </w:rPr>
              <w:t xml:space="preserve">Zgodnie z art. 68 ust. 3 Ustawy z dnia 11 stycznia 2018 r. o elektromobilności i paliwach alternatywnych (Dz.U.2021.110 </w:t>
            </w:r>
            <w:proofErr w:type="spellStart"/>
            <w:r w:rsidRPr="00537EE6">
              <w:rPr>
                <w:color w:val="000000"/>
              </w:rPr>
              <w:t>t.j</w:t>
            </w:r>
            <w:proofErr w:type="spellEnd"/>
            <w:r w:rsidRPr="00537EE6">
              <w:rPr>
                <w:color w:val="000000"/>
              </w:rPr>
              <w:t>. z</w:t>
            </w:r>
            <w:r>
              <w:rPr>
                <w:color w:val="000000"/>
              </w:rPr>
              <w:t> </w:t>
            </w:r>
            <w:r w:rsidRPr="00537EE6">
              <w:rPr>
                <w:color w:val="000000"/>
              </w:rPr>
              <w:t xml:space="preserve">dnia 2021.01.18) </w:t>
            </w:r>
            <w:r>
              <w:rPr>
                <w:b/>
                <w:bCs/>
                <w:color w:val="000000"/>
              </w:rPr>
              <w:t>Zamawiający</w:t>
            </w:r>
            <w:r w:rsidRPr="00DB3AFD">
              <w:rPr>
                <w:b/>
                <w:bCs/>
                <w:color w:val="000000"/>
              </w:rPr>
              <w:t xml:space="preserve"> od dnia 1 stycznia 2022 r. wykonuje, zleca lub powierza wykonywanie zadań publicznych, podmiotom, których </w:t>
            </w:r>
            <w:r w:rsidRPr="00E90C05">
              <w:rPr>
                <w:b/>
                <w:bCs/>
                <w:color w:val="000000"/>
              </w:rPr>
              <w:t xml:space="preserve">łączny udział pojazdów elektrycznych lub pojazdów napędzanych gazem ziemnym we flocie pojazdów samochodowych </w:t>
            </w:r>
            <w:r w:rsidRPr="00593247">
              <w:rPr>
                <w:b/>
                <w:bCs/>
                <w:color w:val="000000"/>
              </w:rPr>
              <w:t xml:space="preserve">w rozumieniu art. 2 pkt 33 ustawy z dnia 20 czerwca 1997 r. - Prawo o ruchu drogowym używanych przy wykonywaniu tego zadania </w:t>
            </w:r>
            <w:r>
              <w:rPr>
                <w:b/>
                <w:bCs/>
                <w:color w:val="000000"/>
              </w:rPr>
              <w:t xml:space="preserve">będzie </w:t>
            </w:r>
            <w:r w:rsidRPr="00593247">
              <w:rPr>
                <w:b/>
                <w:bCs/>
                <w:color w:val="000000"/>
              </w:rPr>
              <w:t>wynosi</w:t>
            </w:r>
            <w:r>
              <w:rPr>
                <w:b/>
                <w:bCs/>
                <w:color w:val="000000"/>
              </w:rPr>
              <w:t>ł</w:t>
            </w:r>
            <w:r w:rsidRPr="00593247">
              <w:rPr>
                <w:b/>
                <w:bCs/>
                <w:color w:val="000000"/>
              </w:rPr>
              <w:t xml:space="preserve"> co najmniej 10%</w:t>
            </w:r>
          </w:p>
          <w:p w14:paraId="79D77FEE" w14:textId="77777777" w:rsidR="000E530E" w:rsidRPr="000870BC" w:rsidRDefault="000E530E" w:rsidP="00C27098">
            <w:pPr>
              <w:tabs>
                <w:tab w:val="right" w:pos="9354"/>
              </w:tabs>
              <w:rPr>
                <w:color w:val="000000"/>
                <w:sz w:val="10"/>
                <w:szCs w:val="10"/>
              </w:rPr>
            </w:pPr>
          </w:p>
          <w:p w14:paraId="5B53D2AF" w14:textId="77777777" w:rsidR="000E530E" w:rsidRPr="00537EE6" w:rsidRDefault="000E530E" w:rsidP="00C27098">
            <w:pPr>
              <w:tabs>
                <w:tab w:val="right" w:pos="935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W związku z tym Wykonawca zobowiązany jest do dostosowania się do wymagań wynikających z przepisów w/w ustawy </w:t>
            </w:r>
            <w:r w:rsidRPr="00537EE6">
              <w:rPr>
                <w:color w:val="000000"/>
              </w:rPr>
              <w:t>o</w:t>
            </w:r>
            <w:r>
              <w:rPr>
                <w:color w:val="000000"/>
              </w:rPr>
              <w:t> </w:t>
            </w:r>
            <w:r w:rsidRPr="00537EE6">
              <w:rPr>
                <w:color w:val="000000"/>
              </w:rPr>
              <w:t>elektromobilności i paliwach alternatywnych</w:t>
            </w:r>
            <w:r>
              <w:rPr>
                <w:color w:val="000000"/>
              </w:rPr>
              <w:t xml:space="preserve">. Wykonawca zobowiązany jest do zapewnienia udziału pojazdów elektrycznych lub pojazdów napędzanych gazem ziemnym  we flocie użytkowanych pojazdów przy wykonywaniu przedmiotowego zamówienia w sposób zgodny z art. 68 ust. 3 ustawy o </w:t>
            </w:r>
            <w:r w:rsidRPr="00537EE6">
              <w:rPr>
                <w:color w:val="000000"/>
              </w:rPr>
              <w:t>elektromobilności i paliwach alternatywnych</w:t>
            </w:r>
            <w:r>
              <w:rPr>
                <w:color w:val="000000"/>
              </w:rPr>
              <w:t>.</w:t>
            </w:r>
          </w:p>
          <w:p w14:paraId="39C65BEA" w14:textId="77777777" w:rsidR="000E530E" w:rsidRDefault="000E530E" w:rsidP="00C27098">
            <w:pPr>
              <w:tabs>
                <w:tab w:val="right" w:pos="9354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Zastosowanie mają zwłaszcza: </w:t>
            </w:r>
          </w:p>
          <w:p w14:paraId="09C0FFC5" w14:textId="77777777" w:rsidR="000E530E" w:rsidRPr="00537EE6" w:rsidRDefault="000E530E" w:rsidP="00C27098">
            <w:pPr>
              <w:tabs>
                <w:tab w:val="right" w:pos="9354"/>
              </w:tabs>
              <w:jc w:val="both"/>
              <w:rPr>
                <w:color w:val="000000"/>
              </w:rPr>
            </w:pPr>
            <w:r w:rsidRPr="00537EE6">
              <w:rPr>
                <w:color w:val="000000"/>
              </w:rPr>
              <w:t xml:space="preserve">art. 35 ust. 2 pkt 1 </w:t>
            </w:r>
            <w:r>
              <w:rPr>
                <w:color w:val="000000"/>
              </w:rPr>
              <w:t xml:space="preserve">,art. 36 a, </w:t>
            </w:r>
            <w:r w:rsidRPr="00537EE6">
              <w:rPr>
                <w:color w:val="000000"/>
              </w:rPr>
              <w:t xml:space="preserve">art. 68 ust. 3 </w:t>
            </w:r>
            <w:r>
              <w:rPr>
                <w:color w:val="000000"/>
              </w:rPr>
              <w:t xml:space="preserve">, art. 76 </w:t>
            </w:r>
            <w:r w:rsidRPr="00537EE6">
              <w:rPr>
                <w:color w:val="000000"/>
              </w:rPr>
              <w:t>Ustawy z dnia 11 stycznia 2018 r. o elektromobilności i paliwach alternatywnych</w:t>
            </w:r>
          </w:p>
          <w:p w14:paraId="4C20E149" w14:textId="77777777" w:rsidR="000E530E" w:rsidRPr="00537EE6" w:rsidRDefault="000E530E" w:rsidP="00C27098">
            <w:pPr>
              <w:tabs>
                <w:tab w:val="right" w:pos="9354"/>
              </w:tabs>
              <w:rPr>
                <w:color w:val="000000"/>
              </w:rPr>
            </w:pPr>
            <w:r w:rsidRPr="00537EE6">
              <w:rPr>
                <w:color w:val="000000"/>
              </w:rPr>
              <w:t>art. 14 ust.1 Ustawy z dnia 5 czerwca 1998 r. o samorządzie województwa</w:t>
            </w:r>
          </w:p>
          <w:p w14:paraId="246F9A9E" w14:textId="77777777" w:rsidR="000E530E" w:rsidRPr="00537EE6" w:rsidRDefault="000E530E" w:rsidP="00C27098">
            <w:pPr>
              <w:tabs>
                <w:tab w:val="right" w:pos="9354"/>
              </w:tabs>
              <w:rPr>
                <w:color w:val="000000"/>
              </w:rPr>
            </w:pPr>
            <w:r w:rsidRPr="00537EE6">
              <w:rPr>
                <w:color w:val="000000"/>
              </w:rPr>
              <w:t>art. 2 pkt 33 ustawy z dnia 20 czerwca 1997 r. - Prawo o ruchu drogowym</w:t>
            </w:r>
          </w:p>
          <w:p w14:paraId="688B64DB" w14:textId="77777777" w:rsidR="000E530E" w:rsidRDefault="000E530E" w:rsidP="00C27098">
            <w:pPr>
              <w:tabs>
                <w:tab w:val="left" w:pos="408"/>
              </w:tabs>
              <w:jc w:val="both"/>
            </w:pPr>
            <w:bookmarkStart w:id="4" w:name="_Hlk92972944"/>
          </w:p>
          <w:p w14:paraId="06AA68FA" w14:textId="180EB369" w:rsidR="000E530E" w:rsidRPr="00610172" w:rsidRDefault="000E530E" w:rsidP="00C27098">
            <w:pPr>
              <w:tabs>
                <w:tab w:val="left" w:pos="408"/>
              </w:tabs>
              <w:jc w:val="both"/>
            </w:pPr>
            <w:r>
              <w:t xml:space="preserve">Udział pojazdów, o którym mowa w art. 34-36, art. 68 i art. 68a </w:t>
            </w:r>
            <w:r>
              <w:rPr>
                <w:color w:val="000000"/>
              </w:rPr>
              <w:t xml:space="preserve">ustawy o </w:t>
            </w:r>
            <w:r w:rsidRPr="00537EE6">
              <w:rPr>
                <w:color w:val="000000"/>
              </w:rPr>
              <w:t>elektromobilności i paliwach alternatywnych</w:t>
            </w:r>
            <w:r>
              <w:t xml:space="preserve"> oblicza się, stosując zasadę, zgodnie z którą wielkość tego udziału poniżej 0,5 zaokrągla się w dół, a wielkość tego udziału 0,5 i powyżej zaokrągla się w górę.</w:t>
            </w:r>
            <w:bookmarkEnd w:id="4"/>
          </w:p>
        </w:tc>
      </w:tr>
      <w:tr w:rsidR="000E530E" w:rsidRPr="000E368E" w14:paraId="796B1758" w14:textId="77777777" w:rsidTr="00C27098">
        <w:trPr>
          <w:trHeight w:val="639"/>
        </w:trPr>
        <w:tc>
          <w:tcPr>
            <w:tcW w:w="2518" w:type="dxa"/>
            <w:vMerge/>
            <w:shd w:val="clear" w:color="auto" w:fill="auto"/>
          </w:tcPr>
          <w:p w14:paraId="01440763" w14:textId="77777777" w:rsidR="000E530E" w:rsidRDefault="000E530E" w:rsidP="00C27098">
            <w:pPr>
              <w:tabs>
                <w:tab w:val="left" w:pos="408"/>
              </w:tabs>
              <w:spacing w:before="20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49" w:type="dxa"/>
            <w:shd w:val="clear" w:color="auto" w:fill="auto"/>
          </w:tcPr>
          <w:p w14:paraId="0014E58E" w14:textId="77777777" w:rsidR="00D632E7" w:rsidRPr="00C25600" w:rsidRDefault="00D632E7" w:rsidP="00C27098">
            <w:pPr>
              <w:tabs>
                <w:tab w:val="left" w:pos="408"/>
              </w:tabs>
              <w:jc w:val="both"/>
              <w:rPr>
                <w:b/>
                <w:bCs/>
                <w:sz w:val="10"/>
                <w:szCs w:val="10"/>
              </w:rPr>
            </w:pPr>
          </w:p>
          <w:p w14:paraId="7C05CB1E" w14:textId="170042F1" w:rsidR="000E530E" w:rsidRPr="00AB5590" w:rsidRDefault="000E530E" w:rsidP="00C27098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AB5590">
              <w:rPr>
                <w:b/>
                <w:bCs/>
              </w:rPr>
              <w:t>Równoważność</w:t>
            </w:r>
          </w:p>
          <w:p w14:paraId="054E3124" w14:textId="77777777" w:rsidR="000E530E" w:rsidRPr="00C25600" w:rsidRDefault="000E530E" w:rsidP="00C27098">
            <w:pPr>
              <w:tabs>
                <w:tab w:val="left" w:pos="408"/>
              </w:tabs>
              <w:jc w:val="both"/>
              <w:rPr>
                <w:sz w:val="8"/>
                <w:szCs w:val="8"/>
              </w:rPr>
            </w:pPr>
          </w:p>
          <w:p w14:paraId="23BFF3A4" w14:textId="77777777" w:rsidR="000E530E" w:rsidRPr="000E368E" w:rsidRDefault="000E530E" w:rsidP="00C27098">
            <w:pPr>
              <w:tabs>
                <w:tab w:val="left" w:pos="408"/>
              </w:tabs>
              <w:jc w:val="both"/>
            </w:pPr>
            <w:r w:rsidRPr="000E368E">
              <w:t>Tam, gdzie w SWZ zostało wskazane pochodzenie (marka, znak towarowy, producent, dostawca) materiałów lub normy, aprobaty, specyfikacje i systemy, Zamawiający dopuszcza oferowanie materiałów lub rozwiązań równoważnych pod warunkiem, że zagwarantują one realizację przedmiotu zamówienia zgodnie z SWZ oraz zapewnią uzyskanie parametrów technicznych nie gorszych od założonych w wyżej wymienionych dokumentach.</w:t>
            </w:r>
          </w:p>
          <w:p w14:paraId="15F2B1F3" w14:textId="77777777" w:rsidR="000E530E" w:rsidRDefault="000E530E" w:rsidP="00C27098">
            <w:pPr>
              <w:spacing w:before="120" w:after="120" w:line="260" w:lineRule="atLeast"/>
              <w:rPr>
                <w:color w:val="000000"/>
              </w:rPr>
            </w:pPr>
            <w:r>
              <w:rPr>
                <w:b/>
                <w:color w:val="000000"/>
              </w:rPr>
              <w:t>Każdemu odwołaniu do norm krajowych przywołanych w niniejszej SWZ wraz z załącznikami towarzyszy zwrot: „lub równoważne”.</w:t>
            </w:r>
          </w:p>
          <w:p w14:paraId="11ED1370" w14:textId="77777777" w:rsidR="000E530E" w:rsidRDefault="000E530E" w:rsidP="00C27098">
            <w:pPr>
              <w:tabs>
                <w:tab w:val="left" w:pos="408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Nazwy własne użyte w opisie przedmiotu zamówienia, określające typ produktu lub producenta, zostały podane przykładowo w celu </w:t>
            </w:r>
            <w:r>
              <w:rPr>
                <w:color w:val="000000"/>
              </w:rPr>
              <w:lastRenderedPageBreak/>
              <w:t xml:space="preserve">określenia minimalnych oczekiwanych parametrów jakościowych funkcjonalnych i użytkowych produktu. Wykonawca oferując przedmiot równoważny do opisanego w SWZ jest zobowiązany zachować równoważność w zakresie parametrów jakościowych , użytkowych i funkcjonalnych, które muszą być na poziomie nie niższym od wskazanych przez Zamawiającego. W takim przypadku Wykonawca zobowiązany jest przedstawić wraz z ofertą jego szczegółowy opis/specyfikację, z których w sposób niebudzący wątpliwości Zamawiającego powinno wynikać, że oferowany produkt ma nie gorsze parametry jakościowe, funkcjonalne oraz użytkowe, niż określony przez Zamawiającego.  </w:t>
            </w:r>
          </w:p>
          <w:p w14:paraId="29DC09A7" w14:textId="6983589D" w:rsidR="00A13C3E" w:rsidRPr="00D632E7" w:rsidRDefault="00A13C3E" w:rsidP="00C27098">
            <w:pPr>
              <w:tabs>
                <w:tab w:val="left" w:pos="408"/>
              </w:tabs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0E530E" w:rsidRPr="000E368E" w14:paraId="32227B2D" w14:textId="77777777" w:rsidTr="00C27098">
        <w:tc>
          <w:tcPr>
            <w:tcW w:w="2518" w:type="dxa"/>
            <w:shd w:val="clear" w:color="auto" w:fill="BFBFBF" w:themeFill="background1" w:themeFillShade="BF"/>
          </w:tcPr>
          <w:p w14:paraId="5200B712" w14:textId="2FC0D74A" w:rsidR="000E530E" w:rsidRDefault="000E530E" w:rsidP="00C27098">
            <w:pPr>
              <w:tabs>
                <w:tab w:val="left" w:pos="408"/>
              </w:tabs>
              <w:spacing w:before="100" w:after="1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Pkt 4.2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2049" w:type="dxa"/>
            <w:shd w:val="clear" w:color="auto" w:fill="BFBFBF" w:themeFill="background1" w:themeFillShade="BF"/>
          </w:tcPr>
          <w:p w14:paraId="007C0D9A" w14:textId="25C5FB76" w:rsidR="000E530E" w:rsidRPr="007137B3" w:rsidRDefault="000E530E" w:rsidP="00C27098">
            <w:pPr>
              <w:tabs>
                <w:tab w:val="left" w:pos="408"/>
              </w:tabs>
              <w:spacing w:before="100" w:after="100"/>
              <w:rPr>
                <w:b/>
                <w:sz w:val="24"/>
                <w:szCs w:val="24"/>
              </w:rPr>
            </w:pPr>
            <w:r w:rsidRPr="007137B3">
              <w:rPr>
                <w:b/>
                <w:sz w:val="24"/>
                <w:szCs w:val="24"/>
              </w:rPr>
              <w:t>Składanie ofert częściowych</w:t>
            </w:r>
          </w:p>
        </w:tc>
      </w:tr>
      <w:tr w:rsidR="000E530E" w:rsidRPr="000E368E" w14:paraId="555BB7B8" w14:textId="77777777" w:rsidTr="00C27098">
        <w:tc>
          <w:tcPr>
            <w:tcW w:w="2518" w:type="dxa"/>
            <w:shd w:val="clear" w:color="auto" w:fill="auto"/>
          </w:tcPr>
          <w:p w14:paraId="7F7FF4A8" w14:textId="3DAAC5AF" w:rsidR="000E530E" w:rsidRPr="000E368E" w:rsidRDefault="000E530E" w:rsidP="00C27098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12049" w:type="dxa"/>
            <w:shd w:val="clear" w:color="auto" w:fill="auto"/>
          </w:tcPr>
          <w:p w14:paraId="1F4A2031" w14:textId="77777777" w:rsidR="000E530E" w:rsidRPr="000870BC" w:rsidRDefault="000E530E" w:rsidP="00C27098">
            <w:pPr>
              <w:tabs>
                <w:tab w:val="left" w:pos="408"/>
              </w:tabs>
              <w:jc w:val="both"/>
              <w:rPr>
                <w:bCs/>
                <w:sz w:val="10"/>
                <w:szCs w:val="10"/>
              </w:rPr>
            </w:pPr>
          </w:p>
          <w:p w14:paraId="46B32505" w14:textId="77777777" w:rsidR="001C7110" w:rsidRPr="001C7110" w:rsidRDefault="001C7110" w:rsidP="001C7110">
            <w:pPr>
              <w:tabs>
                <w:tab w:val="left" w:pos="408"/>
              </w:tabs>
              <w:rPr>
                <w:b/>
                <w:bCs/>
                <w:i/>
                <w:iCs/>
              </w:rPr>
            </w:pPr>
            <w:r w:rsidRPr="001C7110">
              <w:rPr>
                <w:bCs/>
              </w:rPr>
              <w:t xml:space="preserve">Zamawiający </w:t>
            </w:r>
            <w:r w:rsidRPr="001C7110">
              <w:rPr>
                <w:b/>
                <w:bCs/>
                <w:u w:val="single"/>
              </w:rPr>
              <w:t>dopuszcza</w:t>
            </w:r>
            <w:r w:rsidRPr="001C7110">
              <w:rPr>
                <w:bCs/>
              </w:rPr>
              <w:t xml:space="preserve"> składanie ofert  częściowych.</w:t>
            </w:r>
          </w:p>
          <w:p w14:paraId="229ED577" w14:textId="77777777" w:rsidR="000E530E" w:rsidRPr="00CA5F17" w:rsidRDefault="000E530E" w:rsidP="00C27098">
            <w:pPr>
              <w:tabs>
                <w:tab w:val="left" w:pos="408"/>
              </w:tabs>
              <w:jc w:val="both"/>
              <w:rPr>
                <w:bCs/>
                <w:sz w:val="14"/>
                <w:szCs w:val="14"/>
              </w:rPr>
            </w:pPr>
          </w:p>
          <w:p w14:paraId="690FEAFB" w14:textId="06642F1C" w:rsidR="000E530E" w:rsidRPr="006F2F79" w:rsidRDefault="000E530E" w:rsidP="00C27098">
            <w:pPr>
              <w:tabs>
                <w:tab w:val="left" w:pos="16874"/>
                <w:tab w:val="left" w:pos="17157"/>
              </w:tabs>
              <w:jc w:val="both"/>
              <w:rPr>
                <w:rFonts w:cstheme="minorHAnsi"/>
              </w:rPr>
            </w:pPr>
            <w:r w:rsidRPr="006F2F79">
              <w:rPr>
                <w:rFonts w:cstheme="minorHAnsi"/>
              </w:rPr>
              <w:t xml:space="preserve">Przedmiot zamówienia został podzielony na części. </w:t>
            </w:r>
          </w:p>
          <w:p w14:paraId="22B68B4F" w14:textId="77777777" w:rsidR="000E530E" w:rsidRPr="00CA5F17" w:rsidRDefault="000E530E" w:rsidP="00C27098">
            <w:pPr>
              <w:jc w:val="both"/>
              <w:rPr>
                <w:rFonts w:cstheme="minorHAnsi"/>
                <w:color w:val="000000"/>
                <w:sz w:val="14"/>
                <w:szCs w:val="14"/>
              </w:rPr>
            </w:pPr>
          </w:p>
          <w:p w14:paraId="56D35246" w14:textId="1C73FD8F" w:rsidR="00DF1A17" w:rsidRPr="00DF1A17" w:rsidRDefault="00DF1A17" w:rsidP="00DF1A17">
            <w:pPr>
              <w:jc w:val="both"/>
              <w:rPr>
                <w:rFonts w:cstheme="minorHAnsi"/>
                <w:bCs/>
                <w:color w:val="000000"/>
              </w:rPr>
            </w:pPr>
            <w:r w:rsidRPr="00DF1A17">
              <w:rPr>
                <w:rFonts w:cstheme="minorHAnsi"/>
                <w:bCs/>
                <w:color w:val="000000"/>
              </w:rPr>
              <w:t>Wykonawca może złożyć ofertę na jedn</w:t>
            </w:r>
            <w:r>
              <w:rPr>
                <w:rFonts w:cstheme="minorHAnsi"/>
                <w:bCs/>
                <w:color w:val="000000"/>
              </w:rPr>
              <w:t>ą lub dwie części –</w:t>
            </w:r>
            <w:r w:rsidRPr="00DF1A17">
              <w:rPr>
                <w:rFonts w:cstheme="minorHAnsi"/>
                <w:bCs/>
                <w:color w:val="000000"/>
              </w:rPr>
              <w:t xml:space="preserve"> zadania.</w:t>
            </w:r>
          </w:p>
          <w:p w14:paraId="0408385A" w14:textId="54B5C9BE" w:rsidR="00DF1A17" w:rsidRPr="00DF1A17" w:rsidRDefault="00DF1A17" w:rsidP="00DF1A17">
            <w:pPr>
              <w:jc w:val="both"/>
              <w:rPr>
                <w:rFonts w:cstheme="minorHAnsi"/>
                <w:bCs/>
                <w:color w:val="000000"/>
              </w:rPr>
            </w:pPr>
            <w:r w:rsidRPr="00DF1A17">
              <w:rPr>
                <w:rFonts w:cstheme="minorHAnsi"/>
                <w:bCs/>
                <w:color w:val="000000"/>
              </w:rPr>
              <w:t xml:space="preserve">Temu samemu wykonawcy może zostać udzielone zamówienie maksymalnie na </w:t>
            </w:r>
            <w:r w:rsidRPr="00DF1A17">
              <w:rPr>
                <w:rFonts w:cstheme="minorHAnsi"/>
                <w:b/>
                <w:color w:val="000000"/>
              </w:rPr>
              <w:t>2</w:t>
            </w:r>
            <w:r>
              <w:rPr>
                <w:rFonts w:cstheme="minorHAnsi"/>
                <w:b/>
                <w:color w:val="000000"/>
              </w:rPr>
              <w:t xml:space="preserve"> części –</w:t>
            </w:r>
            <w:r w:rsidRPr="00DF1A17">
              <w:rPr>
                <w:rFonts w:cstheme="minorHAnsi"/>
                <w:b/>
                <w:color w:val="000000"/>
              </w:rPr>
              <w:t xml:space="preserve"> zada</w:t>
            </w:r>
            <w:r w:rsidR="00362A53">
              <w:rPr>
                <w:rFonts w:cstheme="minorHAnsi"/>
                <w:b/>
                <w:color w:val="000000"/>
              </w:rPr>
              <w:t>nia</w:t>
            </w:r>
            <w:r w:rsidRPr="00DF1A17">
              <w:rPr>
                <w:rFonts w:cstheme="minorHAnsi"/>
                <w:bCs/>
                <w:color w:val="000000"/>
              </w:rPr>
              <w:t xml:space="preserve">. </w:t>
            </w:r>
          </w:p>
          <w:p w14:paraId="4A667DE8" w14:textId="1AE0F041" w:rsidR="00DF1A17" w:rsidRPr="00DF1A17" w:rsidRDefault="00DF1A17" w:rsidP="00DF1A17">
            <w:pPr>
              <w:jc w:val="both"/>
              <w:rPr>
                <w:rFonts w:cstheme="minorHAnsi"/>
                <w:bCs/>
                <w:color w:val="000000"/>
              </w:rPr>
            </w:pPr>
            <w:r w:rsidRPr="00DF1A17">
              <w:rPr>
                <w:rFonts w:cstheme="minorHAnsi"/>
                <w:bCs/>
                <w:color w:val="000000"/>
              </w:rPr>
              <w:t>W związku z tym w przedmiotowym post</w:t>
            </w:r>
            <w:r w:rsidR="00B837EF">
              <w:rPr>
                <w:rFonts w:cstheme="minorHAnsi"/>
                <w:bCs/>
                <w:color w:val="000000"/>
              </w:rPr>
              <w:t>ę</w:t>
            </w:r>
            <w:r w:rsidRPr="00DF1A17">
              <w:rPr>
                <w:rFonts w:cstheme="minorHAnsi"/>
                <w:bCs/>
                <w:color w:val="000000"/>
              </w:rPr>
              <w:t>powaniu Zamawiający nie określa kryteriów lub zasad, mających zastosowanie do ustalenia, które części zamówienia zostaną udzielone jednemu wykonawcy, w przypadku wyboru jego oferty w większej niż maksymalna liczbie części.</w:t>
            </w:r>
          </w:p>
          <w:p w14:paraId="09F3499D" w14:textId="77777777" w:rsidR="000E530E" w:rsidRPr="000870BC" w:rsidRDefault="000E530E" w:rsidP="00C27098">
            <w:pPr>
              <w:jc w:val="both"/>
              <w:rPr>
                <w:bCs/>
                <w:sz w:val="12"/>
                <w:szCs w:val="12"/>
              </w:rPr>
            </w:pPr>
          </w:p>
        </w:tc>
      </w:tr>
      <w:tr w:rsidR="000E530E" w:rsidRPr="000E368E" w14:paraId="09EA691B" w14:textId="77777777" w:rsidTr="00C27098">
        <w:tc>
          <w:tcPr>
            <w:tcW w:w="251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792CE75" w14:textId="03BAC915" w:rsidR="000E530E" w:rsidRPr="007137B3" w:rsidRDefault="000E530E" w:rsidP="00C27098">
            <w:pPr>
              <w:tabs>
                <w:tab w:val="left" w:pos="408"/>
              </w:tabs>
              <w:spacing w:before="100" w:after="1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Pkt 4.4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204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6071CD7" w14:textId="6D7F9E16" w:rsidR="000E530E" w:rsidRPr="007137B3" w:rsidRDefault="000E530E" w:rsidP="00C27098">
            <w:pPr>
              <w:spacing w:before="100" w:after="100"/>
              <w:rPr>
                <w:b/>
                <w:sz w:val="24"/>
                <w:szCs w:val="24"/>
              </w:rPr>
            </w:pPr>
            <w:r w:rsidRPr="007137B3">
              <w:rPr>
                <w:b/>
                <w:sz w:val="24"/>
                <w:szCs w:val="24"/>
              </w:rPr>
              <w:t>Informacje dotyczące  zamówień o których mowa w art. 305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Pzp</w:t>
            </w:r>
            <w:proofErr w:type="spellEnd"/>
          </w:p>
        </w:tc>
      </w:tr>
      <w:tr w:rsidR="000E530E" w:rsidRPr="000E368E" w14:paraId="5B099D95" w14:textId="77777777" w:rsidTr="00C27098"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14:paraId="3AA3E3B6" w14:textId="5505CB73" w:rsidR="000E530E" w:rsidRPr="000E368E" w:rsidRDefault="000E530E" w:rsidP="00C27098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12049" w:type="dxa"/>
            <w:tcBorders>
              <w:bottom w:val="single" w:sz="4" w:space="0" w:color="auto"/>
            </w:tcBorders>
            <w:shd w:val="clear" w:color="auto" w:fill="auto"/>
          </w:tcPr>
          <w:p w14:paraId="3C639D1A" w14:textId="77777777" w:rsidR="000E530E" w:rsidRPr="00765CD1" w:rsidRDefault="000E530E" w:rsidP="00C27098">
            <w:pPr>
              <w:ind w:left="284"/>
              <w:jc w:val="both"/>
              <w:rPr>
                <w:bCs/>
                <w:sz w:val="12"/>
                <w:szCs w:val="12"/>
              </w:rPr>
            </w:pPr>
          </w:p>
          <w:p w14:paraId="05AC22F4" w14:textId="131C38D3" w:rsidR="00D120E2" w:rsidRPr="00765CD1" w:rsidRDefault="000E530E" w:rsidP="00C27098">
            <w:pPr>
              <w:jc w:val="both"/>
            </w:pPr>
            <w:r w:rsidRPr="004E631D">
              <w:rPr>
                <w:rFonts w:eastAsiaTheme="minorHAnsi"/>
                <w:lang w:eastAsia="en-US"/>
              </w:rPr>
              <w:t xml:space="preserve">Zamawiający </w:t>
            </w:r>
            <w:r w:rsidRPr="002878F2">
              <w:rPr>
                <w:rFonts w:eastAsiaTheme="minorHAnsi"/>
                <w:b/>
                <w:u w:val="single"/>
                <w:lang w:eastAsia="en-US"/>
              </w:rPr>
              <w:t>nie przewiduje</w:t>
            </w:r>
            <w:r w:rsidRPr="004E631D">
              <w:rPr>
                <w:rFonts w:eastAsiaTheme="minorHAnsi"/>
                <w:lang w:eastAsia="en-US"/>
              </w:rPr>
              <w:t xml:space="preserve"> możliwości udzielenia</w:t>
            </w:r>
            <w:r w:rsidRPr="004E631D">
              <w:t xml:space="preserve"> zamówienia, o których mowa w art. 305 pkt.1 w zw. z art. 214 ust. 1 pkt 7  </w:t>
            </w:r>
            <w:proofErr w:type="spellStart"/>
            <w:r w:rsidRPr="004E631D">
              <w:t>Pzp</w:t>
            </w:r>
            <w:proofErr w:type="spellEnd"/>
          </w:p>
          <w:p w14:paraId="1B06481F" w14:textId="77777777" w:rsidR="0036352D" w:rsidRPr="00765CD1" w:rsidRDefault="0036352D" w:rsidP="00C27098">
            <w:pPr>
              <w:widowControl/>
              <w:rPr>
                <w:bCs/>
                <w:sz w:val="12"/>
                <w:szCs w:val="12"/>
              </w:rPr>
            </w:pPr>
          </w:p>
        </w:tc>
      </w:tr>
      <w:tr w:rsidR="000E530E" w:rsidRPr="000E368E" w14:paraId="6BE6590F" w14:textId="77777777" w:rsidTr="00C27098">
        <w:trPr>
          <w:trHeight w:val="164"/>
        </w:trPr>
        <w:tc>
          <w:tcPr>
            <w:tcW w:w="2518" w:type="dxa"/>
            <w:shd w:val="clear" w:color="auto" w:fill="BFBFBF" w:themeFill="background1" w:themeFillShade="BF"/>
          </w:tcPr>
          <w:p w14:paraId="1AEF528B" w14:textId="77777777" w:rsidR="000E530E" w:rsidRPr="00B67FD1" w:rsidRDefault="000E530E" w:rsidP="00C27098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  <w:r w:rsidRPr="00B67FD1">
              <w:rPr>
                <w:b/>
                <w:sz w:val="24"/>
                <w:szCs w:val="24"/>
              </w:rPr>
              <w:t>Pkt 5.1 IDW</w:t>
            </w:r>
          </w:p>
        </w:tc>
        <w:tc>
          <w:tcPr>
            <w:tcW w:w="12049" w:type="dxa"/>
            <w:shd w:val="clear" w:color="auto" w:fill="BFBFBF" w:themeFill="background1" w:themeFillShade="BF"/>
          </w:tcPr>
          <w:p w14:paraId="777C055B" w14:textId="5A8D8F2E" w:rsidR="000E530E" w:rsidRPr="00B67FD1" w:rsidRDefault="000E530E" w:rsidP="00C27098">
            <w:pPr>
              <w:spacing w:before="80" w:after="80"/>
              <w:rPr>
                <w:b/>
                <w:sz w:val="24"/>
                <w:szCs w:val="24"/>
              </w:rPr>
            </w:pPr>
            <w:r w:rsidRPr="00B67FD1">
              <w:rPr>
                <w:b/>
                <w:sz w:val="24"/>
                <w:szCs w:val="24"/>
              </w:rPr>
              <w:t>Wizja lokalna</w:t>
            </w:r>
          </w:p>
        </w:tc>
      </w:tr>
      <w:tr w:rsidR="000E530E" w:rsidRPr="000E368E" w14:paraId="2987B09E" w14:textId="77777777" w:rsidTr="00C27098"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14:paraId="7EF38EF4" w14:textId="77777777" w:rsidR="000E530E" w:rsidRPr="00B67FD1" w:rsidRDefault="000E530E" w:rsidP="00C27098"/>
        </w:tc>
        <w:tc>
          <w:tcPr>
            <w:tcW w:w="12049" w:type="dxa"/>
            <w:tcBorders>
              <w:bottom w:val="single" w:sz="4" w:space="0" w:color="auto"/>
            </w:tcBorders>
            <w:shd w:val="clear" w:color="auto" w:fill="auto"/>
          </w:tcPr>
          <w:p w14:paraId="1D34B079" w14:textId="77777777" w:rsidR="00C25600" w:rsidRPr="00C25600" w:rsidRDefault="00C25600" w:rsidP="00C27098">
            <w:pPr>
              <w:rPr>
                <w:b/>
                <w:sz w:val="10"/>
                <w:szCs w:val="10"/>
              </w:rPr>
            </w:pPr>
          </w:p>
          <w:p w14:paraId="28BA64A4" w14:textId="0E66E08F" w:rsidR="000E530E" w:rsidRPr="00AD141F" w:rsidRDefault="000E530E" w:rsidP="00C27098">
            <w:pPr>
              <w:rPr>
                <w:bCs/>
              </w:rPr>
            </w:pPr>
            <w:r w:rsidRPr="00AD141F">
              <w:rPr>
                <w:b/>
              </w:rPr>
              <w:t xml:space="preserve">Zamawiający </w:t>
            </w:r>
            <w:r w:rsidR="00362A53">
              <w:rPr>
                <w:b/>
              </w:rPr>
              <w:t xml:space="preserve">nie </w:t>
            </w:r>
            <w:r w:rsidRPr="00AD141F">
              <w:rPr>
                <w:b/>
                <w:u w:val="single"/>
              </w:rPr>
              <w:t>wymaga</w:t>
            </w:r>
            <w:r w:rsidRPr="00AD141F">
              <w:rPr>
                <w:b/>
              </w:rPr>
              <w:t xml:space="preserve"> złożenia oferty po odbyciu wizji lokalnej</w:t>
            </w:r>
            <w:r w:rsidRPr="00AD141F">
              <w:rPr>
                <w:bCs/>
              </w:rPr>
              <w:t>.</w:t>
            </w:r>
          </w:p>
          <w:p w14:paraId="11B3AFE3" w14:textId="77777777" w:rsidR="000E530E" w:rsidRPr="00765CD1" w:rsidRDefault="000E530E" w:rsidP="00C27098">
            <w:pPr>
              <w:spacing w:line="276" w:lineRule="auto"/>
              <w:jc w:val="both"/>
              <w:rPr>
                <w:sz w:val="12"/>
                <w:szCs w:val="12"/>
              </w:rPr>
            </w:pPr>
          </w:p>
          <w:p w14:paraId="690BAD05" w14:textId="6A5B999B" w:rsidR="000E530E" w:rsidRDefault="000E530E" w:rsidP="00C27098">
            <w:pPr>
              <w:jc w:val="both"/>
              <w:rPr>
                <w:b/>
              </w:rPr>
            </w:pPr>
            <w:r w:rsidRPr="00ED2406">
              <w:rPr>
                <w:b/>
              </w:rPr>
              <w:t xml:space="preserve">Zamawiający </w:t>
            </w:r>
            <w:r w:rsidRPr="00ED2406">
              <w:rPr>
                <w:b/>
                <w:u w:val="single"/>
              </w:rPr>
              <w:t>nie wymaga</w:t>
            </w:r>
            <w:r w:rsidRPr="00ED2406">
              <w:rPr>
                <w:b/>
              </w:rPr>
              <w:t xml:space="preserve"> złożenia oferty po sprawdzeniu przez wykonawcę dokumentów niezbędnych do realizacji zamówienia dostępnych na miejscu u Zamawiającego.</w:t>
            </w:r>
          </w:p>
          <w:p w14:paraId="4E9E49F2" w14:textId="77777777" w:rsidR="000E530E" w:rsidRPr="00C25600" w:rsidRDefault="000E530E" w:rsidP="00C27098">
            <w:pPr>
              <w:spacing w:line="276" w:lineRule="auto"/>
              <w:jc w:val="both"/>
              <w:rPr>
                <w:sz w:val="6"/>
                <w:szCs w:val="6"/>
              </w:rPr>
            </w:pPr>
          </w:p>
        </w:tc>
      </w:tr>
      <w:tr w:rsidR="000E530E" w:rsidRPr="000E368E" w14:paraId="3567789B" w14:textId="77777777" w:rsidTr="00C27098">
        <w:tc>
          <w:tcPr>
            <w:tcW w:w="2518" w:type="dxa"/>
            <w:shd w:val="clear" w:color="auto" w:fill="BFBFBF" w:themeFill="background1" w:themeFillShade="BF"/>
          </w:tcPr>
          <w:p w14:paraId="558F5FDC" w14:textId="436113FD" w:rsidR="000E530E" w:rsidRPr="000E368E" w:rsidRDefault="000E530E" w:rsidP="00C27098">
            <w:pPr>
              <w:tabs>
                <w:tab w:val="left" w:pos="408"/>
              </w:tabs>
              <w:spacing w:before="80" w:after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Pkt 7</w:t>
            </w:r>
            <w:r w:rsidRPr="000E368E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1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2049" w:type="dxa"/>
            <w:shd w:val="clear" w:color="auto" w:fill="BFBFBF" w:themeFill="background1" w:themeFillShade="BF"/>
          </w:tcPr>
          <w:p w14:paraId="303326E2" w14:textId="7053D133" w:rsidR="000E530E" w:rsidRPr="000E368E" w:rsidRDefault="000E530E" w:rsidP="00C27098">
            <w:pPr>
              <w:spacing w:before="80" w:after="80"/>
              <w:rPr>
                <w:bCs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>Termin wykonania zamówienia</w:t>
            </w:r>
          </w:p>
        </w:tc>
      </w:tr>
      <w:tr w:rsidR="00362A53" w:rsidRPr="000E368E" w14:paraId="0385F7B7" w14:textId="77777777" w:rsidTr="001B1FA5"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14:paraId="5D8A973E" w14:textId="77777777" w:rsidR="00362A53" w:rsidRPr="000E368E" w:rsidRDefault="00362A53" w:rsidP="00362A53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9B73" w14:textId="77777777" w:rsidR="00362A53" w:rsidRDefault="00362A53" w:rsidP="00362A53">
            <w:pPr>
              <w:jc w:val="both"/>
              <w:rPr>
                <w:sz w:val="12"/>
                <w:szCs w:val="12"/>
                <w:lang w:eastAsia="en-US"/>
              </w:rPr>
            </w:pPr>
          </w:p>
          <w:p w14:paraId="609344C5" w14:textId="77777777" w:rsidR="00362A53" w:rsidRDefault="00362A53" w:rsidP="00362A53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Termin wykonania zamówienia: od 01 stycznia 2024r do 31 grudnia 2026r – według potrzeb Zamawiającego</w:t>
            </w:r>
          </w:p>
          <w:p w14:paraId="14A11A98" w14:textId="3BCA31F1" w:rsidR="00362A53" w:rsidRPr="00C25600" w:rsidRDefault="00362A53" w:rsidP="00362A53">
            <w:pPr>
              <w:tabs>
                <w:tab w:val="center" w:pos="4536"/>
              </w:tabs>
              <w:jc w:val="both"/>
              <w:rPr>
                <w:bCs/>
                <w:sz w:val="14"/>
                <w:szCs w:val="14"/>
              </w:rPr>
            </w:pPr>
          </w:p>
        </w:tc>
      </w:tr>
      <w:tr w:rsidR="00362A53" w:rsidRPr="000E368E" w14:paraId="5C3DF8E2" w14:textId="77777777" w:rsidTr="00C27098">
        <w:tc>
          <w:tcPr>
            <w:tcW w:w="2518" w:type="dxa"/>
            <w:shd w:val="clear" w:color="auto" w:fill="BFBFBF" w:themeFill="background1" w:themeFillShade="BF"/>
          </w:tcPr>
          <w:p w14:paraId="457CC753" w14:textId="77777777" w:rsidR="00362A53" w:rsidRPr="000E368E" w:rsidRDefault="00362A53" w:rsidP="00362A53">
            <w:pPr>
              <w:tabs>
                <w:tab w:val="left" w:pos="408"/>
              </w:tabs>
              <w:spacing w:before="80" w:after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Pkt 8.3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2049" w:type="dxa"/>
            <w:shd w:val="clear" w:color="auto" w:fill="BFBFBF" w:themeFill="background1" w:themeFillShade="BF"/>
          </w:tcPr>
          <w:p w14:paraId="5EF79C8F" w14:textId="77777777" w:rsidR="00362A53" w:rsidRPr="000E368E" w:rsidRDefault="00362A53" w:rsidP="00362A53">
            <w:pPr>
              <w:spacing w:before="80" w:after="80"/>
              <w:rPr>
                <w:b/>
                <w:bCs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 xml:space="preserve">Warunki udziału w postępowaniu o udzielenie zamówienia </w:t>
            </w:r>
          </w:p>
        </w:tc>
      </w:tr>
      <w:tr w:rsidR="00362A53" w:rsidRPr="000E368E" w14:paraId="78420147" w14:textId="77777777" w:rsidTr="00C27098"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14:paraId="5081D543" w14:textId="77777777" w:rsidR="00362A53" w:rsidRPr="000E368E" w:rsidRDefault="00362A53" w:rsidP="00362A53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12049" w:type="dxa"/>
            <w:tcBorders>
              <w:bottom w:val="single" w:sz="4" w:space="0" w:color="auto"/>
            </w:tcBorders>
            <w:shd w:val="clear" w:color="auto" w:fill="auto"/>
          </w:tcPr>
          <w:p w14:paraId="519C1C55" w14:textId="76EF64A0" w:rsidR="00362A53" w:rsidRPr="00BC2677" w:rsidRDefault="00362A53" w:rsidP="00362A53">
            <w:pPr>
              <w:pStyle w:val="Teksttreci0"/>
              <w:shd w:val="clear" w:color="auto" w:fill="auto"/>
              <w:spacing w:before="120" w:line="240" w:lineRule="auto"/>
              <w:ind w:right="23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368E">
              <w:rPr>
                <w:rFonts w:ascii="Arial" w:hAnsi="Arial" w:cs="Arial"/>
                <w:sz w:val="20"/>
                <w:szCs w:val="20"/>
              </w:rPr>
              <w:t>O udzielenie zamówienia mogą ubiegać się Wykonawcy, którzy spełniają warunki dotyczące:</w:t>
            </w:r>
          </w:p>
          <w:p w14:paraId="6CF7D1B3" w14:textId="77777777" w:rsidR="00362A53" w:rsidRPr="000E368E" w:rsidRDefault="00362A53" w:rsidP="00362A53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before="80" w:line="240" w:lineRule="auto"/>
              <w:ind w:left="850" w:right="23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368E">
              <w:rPr>
                <w:rFonts w:ascii="Arial" w:hAnsi="Arial" w:cs="Arial"/>
                <w:b/>
                <w:sz w:val="20"/>
                <w:szCs w:val="20"/>
              </w:rPr>
              <w:t>zdolności do występowania w obrocie gospodarczym:</w:t>
            </w:r>
          </w:p>
          <w:p w14:paraId="556901A0" w14:textId="77777777" w:rsidR="00362A53" w:rsidRPr="000E368E" w:rsidRDefault="00362A53" w:rsidP="00362A53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368E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EB6695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0E368E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432A445E" w14:textId="77777777" w:rsidR="00362A53" w:rsidRPr="00C202C9" w:rsidRDefault="00362A53" w:rsidP="00362A53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78DA8EF" w14:textId="51DB49D9" w:rsidR="00362A53" w:rsidRPr="00AD141F" w:rsidRDefault="00362A53" w:rsidP="00362A53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D141F">
              <w:rPr>
                <w:rFonts w:ascii="Arial" w:hAnsi="Arial" w:cs="Arial"/>
                <w:b/>
                <w:sz w:val="20"/>
                <w:szCs w:val="20"/>
              </w:rPr>
              <w:t>uprawnień do prowadzenia określonej działalności gospodarczej lub zawodowej, o ile wynika to z odrębnych przepisów:</w:t>
            </w:r>
          </w:p>
          <w:p w14:paraId="4F06644D" w14:textId="77777777" w:rsidR="00362A53" w:rsidRPr="00AD141F" w:rsidRDefault="00362A53" w:rsidP="00362A53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141F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D141F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D141F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73898199" w14:textId="77777777" w:rsidR="00362A53" w:rsidRPr="00C25600" w:rsidRDefault="00362A53" w:rsidP="00362A53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14:paraId="7D3DD20D" w14:textId="64ACE70A" w:rsidR="00362A53" w:rsidRPr="000E368E" w:rsidRDefault="00362A53" w:rsidP="00362A53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368E">
              <w:rPr>
                <w:rFonts w:ascii="Arial" w:hAnsi="Arial" w:cs="Arial"/>
                <w:b/>
                <w:sz w:val="20"/>
                <w:szCs w:val="20"/>
              </w:rPr>
              <w:t>sytuacji ekonomicznej lub finansowej:</w:t>
            </w:r>
          </w:p>
          <w:p w14:paraId="0BD7330D" w14:textId="77777777" w:rsidR="00362A53" w:rsidRPr="00426065" w:rsidRDefault="00362A53" w:rsidP="00362A53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6065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426065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426065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4335C07B" w14:textId="77777777" w:rsidR="00362A53" w:rsidRPr="00C25600" w:rsidRDefault="00362A53" w:rsidP="00362A53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025F738" w14:textId="58286956" w:rsidR="00362A53" w:rsidRPr="00426065" w:rsidRDefault="00362A53" w:rsidP="00362A53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6065">
              <w:rPr>
                <w:rFonts w:ascii="Arial" w:hAnsi="Arial" w:cs="Arial"/>
                <w:b/>
                <w:sz w:val="20"/>
                <w:szCs w:val="20"/>
              </w:rPr>
              <w:t>zdolności technicznej lub zawodowej:</w:t>
            </w:r>
          </w:p>
          <w:p w14:paraId="0FD36766" w14:textId="77777777" w:rsidR="00362A53" w:rsidRDefault="00362A53" w:rsidP="00362A53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6065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426065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426065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374F4CCC" w14:textId="5AD99116" w:rsidR="00362A53" w:rsidRPr="00362A53" w:rsidRDefault="00362A53" w:rsidP="00362A53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2A53" w:rsidRPr="000E368E" w14:paraId="1171392D" w14:textId="77777777" w:rsidTr="00C27098">
        <w:tc>
          <w:tcPr>
            <w:tcW w:w="2518" w:type="dxa"/>
            <w:shd w:val="clear" w:color="auto" w:fill="BFBFBF" w:themeFill="background1" w:themeFillShade="BF"/>
          </w:tcPr>
          <w:p w14:paraId="1737F276" w14:textId="491DAA24" w:rsidR="00362A53" w:rsidRPr="000E368E" w:rsidRDefault="00362A53" w:rsidP="00362A53">
            <w:pPr>
              <w:tabs>
                <w:tab w:val="left" w:pos="408"/>
              </w:tabs>
              <w:spacing w:before="2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Pkt 10.3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2049" w:type="dxa"/>
            <w:shd w:val="clear" w:color="auto" w:fill="BFBFBF" w:themeFill="background1" w:themeFillShade="BF"/>
          </w:tcPr>
          <w:p w14:paraId="585D6179" w14:textId="77777777" w:rsidR="00362A53" w:rsidRPr="000E368E" w:rsidRDefault="00362A53" w:rsidP="00362A53">
            <w:pPr>
              <w:rPr>
                <w:b/>
                <w:sz w:val="24"/>
                <w:szCs w:val="24"/>
              </w:rPr>
            </w:pPr>
            <w:r w:rsidRPr="004C13DA">
              <w:rPr>
                <w:b/>
                <w:sz w:val="24"/>
                <w:szCs w:val="24"/>
              </w:rPr>
              <w:t>Oświadczenia i dokumenty, jakie zobowiązani są dostarczyć wykonawcy w celu potwierdzenia spełniania warunków udziału w postępowaniu oraz wykazania braku podstaw wykluczenia (podmiotowe środki dowodowe)</w:t>
            </w:r>
          </w:p>
        </w:tc>
      </w:tr>
      <w:tr w:rsidR="00362A53" w:rsidRPr="000E368E" w14:paraId="6F5B374F" w14:textId="77777777" w:rsidTr="00C27098"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14:paraId="3FAB1B23" w14:textId="77777777" w:rsidR="00362A53" w:rsidRPr="000E368E" w:rsidRDefault="00362A53" w:rsidP="00362A53">
            <w:pPr>
              <w:tabs>
                <w:tab w:val="left" w:pos="408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49" w:type="dxa"/>
            <w:tcBorders>
              <w:bottom w:val="single" w:sz="4" w:space="0" w:color="auto"/>
            </w:tcBorders>
            <w:shd w:val="clear" w:color="auto" w:fill="auto"/>
          </w:tcPr>
          <w:p w14:paraId="06FECB84" w14:textId="77777777" w:rsidR="00362A53" w:rsidRPr="001129A2" w:rsidRDefault="00362A53" w:rsidP="00362A53">
            <w:pPr>
              <w:jc w:val="both"/>
              <w:rPr>
                <w:sz w:val="8"/>
                <w:szCs w:val="8"/>
              </w:rPr>
            </w:pPr>
          </w:p>
          <w:p w14:paraId="223CD280" w14:textId="4374EC99" w:rsidR="00362A53" w:rsidRPr="000E368E" w:rsidRDefault="00362A53" w:rsidP="00362A53">
            <w:pPr>
              <w:jc w:val="both"/>
            </w:pPr>
            <w:r w:rsidRPr="000E368E">
              <w:t xml:space="preserve">Na podstawie art. </w:t>
            </w:r>
            <w:r>
              <w:t xml:space="preserve">125 </w:t>
            </w:r>
            <w:r w:rsidRPr="000E368E">
              <w:t xml:space="preserve">ust. 1 </w:t>
            </w:r>
            <w:proofErr w:type="spellStart"/>
            <w:r w:rsidRPr="000E368E">
              <w:t>Pzp</w:t>
            </w:r>
            <w:proofErr w:type="spellEnd"/>
            <w:r w:rsidRPr="000E368E">
              <w:t xml:space="preserve"> Zamawiający w przedmiotowym postępowaniu o udzielenie zamówienia </w:t>
            </w:r>
            <w:r w:rsidRPr="005D18BA">
              <w:rPr>
                <w:b/>
                <w:u w:val="single"/>
              </w:rPr>
              <w:t>żąda</w:t>
            </w:r>
            <w:r w:rsidRPr="005D18BA">
              <w:rPr>
                <w:u w:val="single"/>
              </w:rPr>
              <w:t xml:space="preserve"> </w:t>
            </w:r>
            <w:r w:rsidRPr="000E368E">
              <w:t xml:space="preserve">złożenia następujących podmiotowych środków dowodowych na </w:t>
            </w:r>
            <w:r w:rsidRPr="000E368E">
              <w:rPr>
                <w:u w:val="single"/>
              </w:rPr>
              <w:t>potwierdzenie braku podstaw wykluczenia.</w:t>
            </w:r>
          </w:p>
          <w:p w14:paraId="1264489A" w14:textId="4C841FFA" w:rsidR="00362A53" w:rsidRPr="000E368E" w:rsidRDefault="00362A53" w:rsidP="00362A53">
            <w:pPr>
              <w:widowControl/>
              <w:autoSpaceDE/>
              <w:autoSpaceDN/>
              <w:adjustRightInd/>
              <w:spacing w:before="80"/>
              <w:jc w:val="both"/>
            </w:pPr>
            <w:r w:rsidRPr="000E368E">
              <w:t xml:space="preserve">- aktualne na dzień składania ofert oświadczenie o braku podstaw do wykluczenia z postępowania (art. </w:t>
            </w:r>
            <w:r>
              <w:t xml:space="preserve">125 </w:t>
            </w:r>
            <w:r w:rsidRPr="000E368E">
              <w:t>u</w:t>
            </w:r>
            <w:r>
              <w:t xml:space="preserve">st. 1 </w:t>
            </w:r>
            <w:proofErr w:type="spellStart"/>
            <w:r>
              <w:t>Pzp</w:t>
            </w:r>
            <w:proofErr w:type="spellEnd"/>
            <w:r>
              <w:t>)</w:t>
            </w:r>
            <w:r w:rsidRPr="000E368E">
              <w:t xml:space="preserve">– zgodnie z </w:t>
            </w:r>
            <w:r w:rsidRPr="000E368E">
              <w:rPr>
                <w:b/>
              </w:rPr>
              <w:t>Załącznikiem</w:t>
            </w:r>
            <w:r>
              <w:rPr>
                <w:b/>
              </w:rPr>
              <w:t xml:space="preserve"> do SWZ.</w:t>
            </w:r>
          </w:p>
          <w:p w14:paraId="0F0118B2" w14:textId="77777777" w:rsidR="00362A53" w:rsidRDefault="00362A53" w:rsidP="00362A53">
            <w:pPr>
              <w:jc w:val="both"/>
              <w:rPr>
                <w:b/>
              </w:rPr>
            </w:pPr>
          </w:p>
          <w:p w14:paraId="10B2A77B" w14:textId="77777777" w:rsidR="00362A53" w:rsidRDefault="00362A53" w:rsidP="00362A53">
            <w:pPr>
              <w:jc w:val="both"/>
            </w:pPr>
            <w:r>
              <w:lastRenderedPageBreak/>
              <w:t xml:space="preserve">Wzory wykazów i oświadczeń o których mowa powyżej znajdują się na stronie internetowej Zamawiającego pod adresem </w:t>
            </w:r>
            <w:hyperlink r:id="rId8" w:history="1">
              <w:r>
                <w:rPr>
                  <w:rStyle w:val="Hipercze"/>
                </w:rPr>
                <w:t>http://www.pzdw.pl/zamowienia-publiczne/inne-informacje</w:t>
              </w:r>
            </w:hyperlink>
          </w:p>
          <w:p w14:paraId="5170CC52" w14:textId="02C01461" w:rsidR="00362A53" w:rsidRPr="0040589A" w:rsidRDefault="00362A53" w:rsidP="00362A53">
            <w:pPr>
              <w:jc w:val="both"/>
              <w:rPr>
                <w:b/>
              </w:rPr>
            </w:pPr>
          </w:p>
        </w:tc>
      </w:tr>
      <w:tr w:rsidR="00362A53" w:rsidRPr="000E368E" w14:paraId="2B961039" w14:textId="77777777" w:rsidTr="00C27098">
        <w:tc>
          <w:tcPr>
            <w:tcW w:w="2518" w:type="dxa"/>
            <w:shd w:val="clear" w:color="auto" w:fill="BFBFBF" w:themeFill="background1" w:themeFillShade="BF"/>
          </w:tcPr>
          <w:p w14:paraId="1965C385" w14:textId="77777777" w:rsidR="00362A53" w:rsidRPr="004530E7" w:rsidRDefault="00362A53" w:rsidP="00362A53">
            <w:pPr>
              <w:tabs>
                <w:tab w:val="left" w:pos="408"/>
              </w:tabs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4530E7">
              <w:rPr>
                <w:b/>
                <w:sz w:val="24"/>
                <w:szCs w:val="24"/>
              </w:rPr>
              <w:lastRenderedPageBreak/>
              <w:t>Pkt 11.1 IDW</w:t>
            </w:r>
          </w:p>
        </w:tc>
        <w:tc>
          <w:tcPr>
            <w:tcW w:w="12049" w:type="dxa"/>
            <w:shd w:val="clear" w:color="auto" w:fill="BFBFBF" w:themeFill="background1" w:themeFillShade="BF"/>
          </w:tcPr>
          <w:p w14:paraId="5C4A5B1B" w14:textId="013F7879" w:rsidR="00362A53" w:rsidRPr="00B71C90" w:rsidRDefault="00362A53" w:rsidP="00362A53">
            <w:pPr>
              <w:spacing w:before="40" w:after="40"/>
              <w:rPr>
                <w:b/>
                <w:bCs/>
                <w:color w:val="000000"/>
                <w:sz w:val="24"/>
                <w:szCs w:val="24"/>
              </w:rPr>
            </w:pPr>
            <w:r w:rsidRPr="004530E7">
              <w:rPr>
                <w:b/>
                <w:sz w:val="24"/>
                <w:szCs w:val="24"/>
              </w:rPr>
              <w:t>Przedmiotowe środki dowodowe</w:t>
            </w:r>
          </w:p>
        </w:tc>
      </w:tr>
      <w:tr w:rsidR="003D6B0E" w:rsidRPr="000E368E" w14:paraId="26BD9609" w14:textId="77777777" w:rsidTr="007F523A"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14:paraId="36F92663" w14:textId="77777777" w:rsidR="003D6B0E" w:rsidRPr="000E368E" w:rsidRDefault="003D6B0E" w:rsidP="003D6B0E">
            <w:pPr>
              <w:tabs>
                <w:tab w:val="left" w:pos="408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DC21" w14:textId="363076DF" w:rsidR="003D6B0E" w:rsidRPr="003D6B0E" w:rsidRDefault="003D6B0E" w:rsidP="003D6B0E">
            <w:pPr>
              <w:spacing w:before="80" w:after="80"/>
              <w:jc w:val="both"/>
              <w:rPr>
                <w:sz w:val="12"/>
                <w:szCs w:val="12"/>
              </w:rPr>
            </w:pPr>
            <w:r>
              <w:rPr>
                <w:lang w:eastAsia="en-US"/>
              </w:rPr>
              <w:t xml:space="preserve">Zamawiający </w:t>
            </w:r>
            <w:r>
              <w:rPr>
                <w:b/>
                <w:u w:val="single"/>
                <w:lang w:eastAsia="en-US"/>
              </w:rPr>
              <w:t>nie przewiduje</w:t>
            </w:r>
            <w:r>
              <w:rPr>
                <w:lang w:eastAsia="en-US"/>
              </w:rPr>
              <w:t xml:space="preserve"> wprowadzenia przedmiotowych środków dowodowych.</w:t>
            </w:r>
          </w:p>
        </w:tc>
      </w:tr>
      <w:tr w:rsidR="003D6B0E" w:rsidRPr="000E368E" w14:paraId="773C9F96" w14:textId="77777777" w:rsidTr="00C27098">
        <w:tc>
          <w:tcPr>
            <w:tcW w:w="2518" w:type="dxa"/>
            <w:shd w:val="clear" w:color="auto" w:fill="BFBFBF" w:themeFill="background1" w:themeFillShade="BF"/>
          </w:tcPr>
          <w:p w14:paraId="5231AC04" w14:textId="77777777" w:rsidR="003D6B0E" w:rsidRPr="000E368E" w:rsidRDefault="003D6B0E" w:rsidP="003D6B0E">
            <w:pPr>
              <w:tabs>
                <w:tab w:val="left" w:pos="408"/>
              </w:tabs>
              <w:spacing w:before="120" w:after="60"/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 xml:space="preserve">Pkt </w:t>
            </w:r>
            <w:r>
              <w:rPr>
                <w:b/>
                <w:sz w:val="24"/>
                <w:szCs w:val="24"/>
              </w:rPr>
              <w:t>15.6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2049" w:type="dxa"/>
            <w:shd w:val="clear" w:color="auto" w:fill="BFBFBF" w:themeFill="background1" w:themeFillShade="BF"/>
          </w:tcPr>
          <w:p w14:paraId="56A0F0A4" w14:textId="77777777" w:rsidR="003D6B0E" w:rsidRDefault="003D6B0E" w:rsidP="003D6B0E">
            <w:pPr>
              <w:tabs>
                <w:tab w:val="left" w:pos="408"/>
              </w:tabs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</w:t>
            </w:r>
            <w:r w:rsidRPr="007A3225">
              <w:rPr>
                <w:b/>
                <w:sz w:val="24"/>
                <w:szCs w:val="24"/>
              </w:rPr>
              <w:t>pis sposobu przygotowania ofert oraz wymagania formalne dotyczące składanych oświadczeń i dokumentów</w:t>
            </w:r>
          </w:p>
        </w:tc>
      </w:tr>
      <w:tr w:rsidR="003D6B0E" w:rsidRPr="000E368E" w14:paraId="1FDBEECD" w14:textId="77777777" w:rsidTr="00C27098"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14:paraId="6BC33FCA" w14:textId="77777777" w:rsidR="003D6B0E" w:rsidRPr="000E368E" w:rsidRDefault="003D6B0E" w:rsidP="003D6B0E">
            <w:pPr>
              <w:tabs>
                <w:tab w:val="left" w:pos="408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49" w:type="dxa"/>
            <w:tcBorders>
              <w:bottom w:val="single" w:sz="4" w:space="0" w:color="auto"/>
            </w:tcBorders>
            <w:shd w:val="clear" w:color="auto" w:fill="auto"/>
          </w:tcPr>
          <w:p w14:paraId="2830DC85" w14:textId="49B09A9F" w:rsidR="003D6B0E" w:rsidRPr="00D65C56" w:rsidRDefault="003D6B0E" w:rsidP="003D6B0E">
            <w:pPr>
              <w:spacing w:before="100"/>
              <w:jc w:val="both"/>
              <w:rPr>
                <w:color w:val="000000"/>
              </w:rPr>
            </w:pPr>
            <w:r w:rsidRPr="005B5A84">
              <w:rPr>
                <w:b/>
                <w:bCs/>
                <w:color w:val="000000"/>
                <w:u w:val="single"/>
              </w:rPr>
              <w:t xml:space="preserve">Wykonawca wraz z ofertą złożoną na formularzu ofertowym jest zobowiązany złożyć </w:t>
            </w:r>
          </w:p>
          <w:p w14:paraId="60FE74B8" w14:textId="2A488BFF" w:rsidR="003D6B0E" w:rsidRDefault="003D6B0E" w:rsidP="003D6B0E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>
              <w:rPr>
                <w:color w:val="000000"/>
              </w:rPr>
              <w:t>formularz oferty</w:t>
            </w:r>
          </w:p>
          <w:p w14:paraId="5994F3AF" w14:textId="42556487" w:rsidR="003D6B0E" w:rsidRDefault="003D6B0E" w:rsidP="003D6B0E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>
              <w:rPr>
                <w:color w:val="000000"/>
              </w:rPr>
              <w:t>formularz cenowy</w:t>
            </w:r>
          </w:p>
          <w:p w14:paraId="06A5F83F" w14:textId="50A9C139" w:rsidR="003D6B0E" w:rsidRDefault="003D6B0E" w:rsidP="003D6B0E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>
              <w:rPr>
                <w:color w:val="000000"/>
              </w:rPr>
              <w:t>dowód wniesienia wadium</w:t>
            </w:r>
          </w:p>
          <w:p w14:paraId="12F69372" w14:textId="0E9355E4" w:rsidR="003D6B0E" w:rsidRPr="00DC3253" w:rsidRDefault="003D6B0E" w:rsidP="003D6B0E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7A3225">
              <w:rPr>
                <w:color w:val="000000"/>
              </w:rPr>
              <w:t>oświadczen</w:t>
            </w:r>
            <w:r>
              <w:rPr>
                <w:color w:val="000000"/>
              </w:rPr>
              <w:t xml:space="preserve">ie o niepodleganiu wykluczeniu </w:t>
            </w:r>
          </w:p>
          <w:p w14:paraId="337681CF" w14:textId="77777777" w:rsidR="003D6B0E" w:rsidRDefault="003D6B0E" w:rsidP="003D6B0E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7A3225">
              <w:rPr>
                <w:color w:val="000000"/>
              </w:rPr>
              <w:t>zobowiązanie innego podmiotu, o którym mowa w SWZ (jeżeli dotyczy);</w:t>
            </w:r>
          </w:p>
          <w:p w14:paraId="645EA110" w14:textId="77777777" w:rsidR="003D6B0E" w:rsidRDefault="003D6B0E" w:rsidP="003D6B0E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7A3225">
              <w:rPr>
                <w:color w:val="000000"/>
              </w:rPr>
              <w:t xml:space="preserve">dokumenty, z których wynika prawo do podpisania oferty; odpowiednie pełnomocnictwa (jeżeli dotyczy). </w:t>
            </w:r>
          </w:p>
          <w:p w14:paraId="55C458F9" w14:textId="77777777" w:rsidR="003D6B0E" w:rsidRDefault="003D6B0E" w:rsidP="003D6B0E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>
              <w:rPr>
                <w:color w:val="000000"/>
              </w:rPr>
              <w:t>oświadczenie na podstawie art. 117 ust. 4 (jeżeli dotyczy tj. Konsorcja, Spółki cywilne)</w:t>
            </w:r>
          </w:p>
          <w:p w14:paraId="7F7AAA15" w14:textId="386351C6" w:rsidR="003D6B0E" w:rsidRPr="00595887" w:rsidRDefault="003D6B0E" w:rsidP="003D6B0E">
            <w:pPr>
              <w:ind w:left="360"/>
              <w:jc w:val="both"/>
              <w:rPr>
                <w:color w:val="000000"/>
              </w:rPr>
            </w:pPr>
          </w:p>
        </w:tc>
      </w:tr>
      <w:tr w:rsidR="003D6B0E" w:rsidRPr="000E368E" w14:paraId="62B183E8" w14:textId="77777777" w:rsidTr="00C27098">
        <w:tc>
          <w:tcPr>
            <w:tcW w:w="2518" w:type="dxa"/>
            <w:shd w:val="clear" w:color="auto" w:fill="BFBFBF" w:themeFill="background1" w:themeFillShade="BF"/>
          </w:tcPr>
          <w:p w14:paraId="5364FC06" w14:textId="77777777" w:rsidR="003D6B0E" w:rsidRPr="000E368E" w:rsidRDefault="003D6B0E" w:rsidP="003D6B0E">
            <w:pPr>
              <w:tabs>
                <w:tab w:val="left" w:pos="408"/>
              </w:tabs>
              <w:spacing w:before="100" w:after="100"/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 xml:space="preserve">Pkt </w:t>
            </w:r>
            <w:r>
              <w:rPr>
                <w:b/>
                <w:sz w:val="24"/>
                <w:szCs w:val="24"/>
              </w:rPr>
              <w:t>17.1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2049" w:type="dxa"/>
            <w:shd w:val="clear" w:color="auto" w:fill="BFBFBF" w:themeFill="background1" w:themeFillShade="BF"/>
          </w:tcPr>
          <w:p w14:paraId="05DF4D9F" w14:textId="70FBCA70" w:rsidR="003D6B0E" w:rsidRDefault="003D6B0E" w:rsidP="003D6B0E">
            <w:pPr>
              <w:spacing w:before="100" w:after="100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>Wymagania dotyczące wadium</w:t>
            </w:r>
          </w:p>
        </w:tc>
      </w:tr>
      <w:tr w:rsidR="003D6B0E" w:rsidRPr="000E368E" w14:paraId="43ADAD82" w14:textId="77777777" w:rsidTr="00C27098"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14:paraId="4F1E4F7F" w14:textId="77777777" w:rsidR="003D6B0E" w:rsidRPr="000E368E" w:rsidRDefault="003D6B0E" w:rsidP="003D6B0E">
            <w:pPr>
              <w:tabs>
                <w:tab w:val="left" w:pos="408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49" w:type="dxa"/>
            <w:tcBorders>
              <w:bottom w:val="single" w:sz="4" w:space="0" w:color="auto"/>
            </w:tcBorders>
            <w:shd w:val="clear" w:color="auto" w:fill="auto"/>
          </w:tcPr>
          <w:p w14:paraId="1F46AF8C" w14:textId="77777777" w:rsidR="003D6B0E" w:rsidRPr="003D6B0E" w:rsidRDefault="003D6B0E" w:rsidP="003D6B0E">
            <w:pPr>
              <w:spacing w:before="100" w:after="100"/>
              <w:jc w:val="both"/>
            </w:pPr>
            <w:r w:rsidRPr="003D6B0E">
              <w:t xml:space="preserve">Zamawiający </w:t>
            </w:r>
            <w:r w:rsidRPr="003D6B0E">
              <w:rPr>
                <w:b/>
                <w:u w:val="single"/>
              </w:rPr>
              <w:t xml:space="preserve">przewiduje </w:t>
            </w:r>
            <w:r w:rsidRPr="003D6B0E">
              <w:t>obowiązek wniesienia wadium przed upływem terminu składania ofert w wysokości:</w:t>
            </w:r>
          </w:p>
          <w:p w14:paraId="45778AEE" w14:textId="0CBA632E" w:rsidR="003D6B0E" w:rsidRPr="003D6B0E" w:rsidRDefault="003D6B0E" w:rsidP="003D6B0E">
            <w:pPr>
              <w:spacing w:before="100" w:after="100"/>
              <w:jc w:val="both"/>
              <w:rPr>
                <w:b/>
              </w:rPr>
            </w:pPr>
            <w:r w:rsidRPr="003D6B0E">
              <w:rPr>
                <w:b/>
              </w:rPr>
              <w:t xml:space="preserve">Zadanie Nr 1 – </w:t>
            </w:r>
            <w:r>
              <w:rPr>
                <w:b/>
              </w:rPr>
              <w:t>2</w:t>
            </w:r>
            <w:r w:rsidRPr="003D6B0E">
              <w:rPr>
                <w:b/>
              </w:rPr>
              <w:t xml:space="preserve"> 000,00 zł</w:t>
            </w:r>
          </w:p>
          <w:p w14:paraId="1675E3B7" w14:textId="4C5C230A" w:rsidR="003D6B0E" w:rsidRPr="003D6B0E" w:rsidRDefault="003D6B0E" w:rsidP="003D6B0E">
            <w:pPr>
              <w:spacing w:before="100" w:after="100"/>
              <w:jc w:val="both"/>
              <w:rPr>
                <w:b/>
              </w:rPr>
            </w:pPr>
            <w:r w:rsidRPr="003D6B0E">
              <w:rPr>
                <w:b/>
              </w:rPr>
              <w:t xml:space="preserve">Zadanie Nr 2 – </w:t>
            </w:r>
            <w:r>
              <w:rPr>
                <w:b/>
              </w:rPr>
              <w:t>1</w:t>
            </w:r>
            <w:r w:rsidRPr="003D6B0E">
              <w:rPr>
                <w:b/>
              </w:rPr>
              <w:t> </w:t>
            </w:r>
            <w:r>
              <w:rPr>
                <w:b/>
              </w:rPr>
              <w:t>1</w:t>
            </w:r>
            <w:r w:rsidRPr="003D6B0E">
              <w:rPr>
                <w:b/>
              </w:rPr>
              <w:t>00,00 zł</w:t>
            </w:r>
          </w:p>
        </w:tc>
      </w:tr>
      <w:tr w:rsidR="003D6B0E" w:rsidRPr="000E368E" w14:paraId="0F29E392" w14:textId="77777777" w:rsidTr="00C27098">
        <w:tc>
          <w:tcPr>
            <w:tcW w:w="2518" w:type="dxa"/>
            <w:shd w:val="clear" w:color="auto" w:fill="BFBFBF" w:themeFill="background1" w:themeFillShade="BF"/>
          </w:tcPr>
          <w:p w14:paraId="78E63FBF" w14:textId="77777777" w:rsidR="003D6B0E" w:rsidRPr="000E368E" w:rsidRDefault="003D6B0E" w:rsidP="003D6B0E">
            <w:pPr>
              <w:tabs>
                <w:tab w:val="left" w:pos="408"/>
              </w:tabs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 xml:space="preserve">Pkt </w:t>
            </w:r>
            <w:r>
              <w:rPr>
                <w:b/>
                <w:sz w:val="24"/>
                <w:szCs w:val="24"/>
              </w:rPr>
              <w:t>18.1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2049" w:type="dxa"/>
            <w:shd w:val="clear" w:color="auto" w:fill="BFBFBF" w:themeFill="background1" w:themeFillShade="BF"/>
          </w:tcPr>
          <w:p w14:paraId="34287554" w14:textId="77777777" w:rsidR="003D6B0E" w:rsidRDefault="003D6B0E" w:rsidP="003D6B0E">
            <w:pPr>
              <w:tabs>
                <w:tab w:val="left" w:pos="408"/>
              </w:tabs>
              <w:spacing w:before="60" w:after="60"/>
              <w:rPr>
                <w:b/>
                <w:sz w:val="24"/>
                <w:szCs w:val="24"/>
              </w:rPr>
            </w:pPr>
            <w:r w:rsidRPr="00CB44F6">
              <w:rPr>
                <w:b/>
                <w:sz w:val="24"/>
                <w:szCs w:val="24"/>
              </w:rPr>
              <w:t>Termin związania ofertą</w:t>
            </w:r>
          </w:p>
        </w:tc>
      </w:tr>
      <w:tr w:rsidR="003D6B0E" w:rsidRPr="000E368E" w14:paraId="2C626DDD" w14:textId="77777777" w:rsidTr="00C27098"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14:paraId="550C1987" w14:textId="77777777" w:rsidR="003D6B0E" w:rsidRPr="000E368E" w:rsidRDefault="003D6B0E" w:rsidP="003D6B0E">
            <w:pPr>
              <w:tabs>
                <w:tab w:val="left" w:pos="408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49" w:type="dxa"/>
            <w:tcBorders>
              <w:bottom w:val="single" w:sz="4" w:space="0" w:color="auto"/>
            </w:tcBorders>
            <w:shd w:val="clear" w:color="auto" w:fill="auto"/>
          </w:tcPr>
          <w:p w14:paraId="51C92377" w14:textId="5D0D9CA9" w:rsidR="003D6B0E" w:rsidRPr="005D0184" w:rsidRDefault="003D6B0E" w:rsidP="003D6B0E">
            <w:pPr>
              <w:tabs>
                <w:tab w:val="left" w:pos="408"/>
              </w:tabs>
              <w:spacing w:before="120" w:after="120"/>
            </w:pPr>
            <w:r w:rsidRPr="005D0184">
              <w:t xml:space="preserve">Termin związania ofertą </w:t>
            </w:r>
            <w:r w:rsidR="009B5BD0">
              <w:rPr>
                <w:b/>
                <w:bCs/>
                <w:color w:val="FF0000"/>
              </w:rPr>
              <w:t>24</w:t>
            </w:r>
            <w:r w:rsidRPr="005D0184">
              <w:rPr>
                <w:b/>
                <w:bCs/>
                <w:color w:val="FF0000"/>
              </w:rPr>
              <w:t>.</w:t>
            </w:r>
            <w:r w:rsidR="00934F3C">
              <w:rPr>
                <w:b/>
                <w:bCs/>
                <w:color w:val="FF0000"/>
              </w:rPr>
              <w:t>11</w:t>
            </w:r>
            <w:r w:rsidRPr="005D0184">
              <w:rPr>
                <w:b/>
                <w:bCs/>
                <w:color w:val="FF0000"/>
              </w:rPr>
              <w:t>.2023r.</w:t>
            </w:r>
          </w:p>
        </w:tc>
      </w:tr>
      <w:tr w:rsidR="003D6B0E" w:rsidRPr="000E368E" w14:paraId="1330D9F1" w14:textId="77777777" w:rsidTr="00C27098">
        <w:tc>
          <w:tcPr>
            <w:tcW w:w="2518" w:type="dxa"/>
            <w:shd w:val="clear" w:color="auto" w:fill="BFBFBF" w:themeFill="background1" w:themeFillShade="BF"/>
          </w:tcPr>
          <w:p w14:paraId="571D84C3" w14:textId="77777777" w:rsidR="003D6B0E" w:rsidRDefault="003D6B0E" w:rsidP="003D6B0E">
            <w:pPr>
              <w:tabs>
                <w:tab w:val="left" w:pos="408"/>
              </w:tabs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lastRenderedPageBreak/>
              <w:t xml:space="preserve">Pkt </w:t>
            </w:r>
            <w:r>
              <w:rPr>
                <w:b/>
                <w:sz w:val="24"/>
                <w:szCs w:val="24"/>
              </w:rPr>
              <w:t>19.1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  <w:p w14:paraId="227AFFA3" w14:textId="77777777" w:rsidR="003D6B0E" w:rsidRPr="000E368E" w:rsidRDefault="003D6B0E" w:rsidP="003D6B0E">
            <w:pPr>
              <w:tabs>
                <w:tab w:val="left" w:pos="408"/>
              </w:tabs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 xml:space="preserve">Pkt </w:t>
            </w:r>
            <w:r>
              <w:rPr>
                <w:b/>
                <w:sz w:val="24"/>
                <w:szCs w:val="24"/>
              </w:rPr>
              <w:t>19.2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2049" w:type="dxa"/>
            <w:shd w:val="clear" w:color="auto" w:fill="BFBFBF" w:themeFill="background1" w:themeFillShade="BF"/>
          </w:tcPr>
          <w:p w14:paraId="20525FC5" w14:textId="0076AB11" w:rsidR="003D6B0E" w:rsidRPr="005D0184" w:rsidRDefault="003D6B0E" w:rsidP="003D6B0E">
            <w:pPr>
              <w:spacing w:before="100"/>
              <w:rPr>
                <w:b/>
                <w:bCs/>
                <w:color w:val="000000"/>
                <w:sz w:val="24"/>
                <w:szCs w:val="24"/>
              </w:rPr>
            </w:pPr>
            <w:r w:rsidRPr="005D0184">
              <w:rPr>
                <w:b/>
                <w:bCs/>
                <w:color w:val="000000"/>
                <w:sz w:val="24"/>
                <w:szCs w:val="24"/>
              </w:rPr>
              <w:t>Termin składania i otwarcia ofert</w:t>
            </w:r>
          </w:p>
        </w:tc>
      </w:tr>
      <w:tr w:rsidR="003D6B0E" w:rsidRPr="000E368E" w14:paraId="6F7292B0" w14:textId="77777777" w:rsidTr="00C27098"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14:paraId="5425B011" w14:textId="77777777" w:rsidR="003D6B0E" w:rsidRPr="000E368E" w:rsidRDefault="003D6B0E" w:rsidP="003D6B0E">
            <w:pPr>
              <w:tabs>
                <w:tab w:val="left" w:pos="408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49" w:type="dxa"/>
            <w:tcBorders>
              <w:bottom w:val="single" w:sz="4" w:space="0" w:color="auto"/>
            </w:tcBorders>
            <w:shd w:val="clear" w:color="auto" w:fill="auto"/>
          </w:tcPr>
          <w:p w14:paraId="4FB7A79D" w14:textId="77777777" w:rsidR="003D6B0E" w:rsidRPr="008613B2" w:rsidRDefault="003D6B0E" w:rsidP="003D6B0E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10"/>
                <w:szCs w:val="10"/>
              </w:rPr>
            </w:pPr>
          </w:p>
          <w:p w14:paraId="6E0B80B7" w14:textId="7FCCA733" w:rsidR="003D6B0E" w:rsidRPr="005D0184" w:rsidRDefault="003D6B0E" w:rsidP="008613B2">
            <w:pPr>
              <w:widowControl/>
              <w:autoSpaceDE/>
              <w:autoSpaceDN/>
              <w:adjustRightInd/>
              <w:spacing w:after="120"/>
              <w:jc w:val="both"/>
              <w:rPr>
                <w:b/>
              </w:rPr>
            </w:pPr>
            <w:r w:rsidRPr="005D0184">
              <w:rPr>
                <w:rFonts w:eastAsia="Calibri"/>
              </w:rPr>
              <w:t xml:space="preserve">Termin składania ofert </w:t>
            </w:r>
            <w:r w:rsidR="007C5B46">
              <w:rPr>
                <w:b/>
                <w:color w:val="FF0000"/>
              </w:rPr>
              <w:t>26</w:t>
            </w:r>
            <w:r w:rsidRPr="005D0184">
              <w:rPr>
                <w:b/>
                <w:color w:val="FF0000"/>
              </w:rPr>
              <w:t>.</w:t>
            </w:r>
            <w:r w:rsidR="00934F3C">
              <w:rPr>
                <w:b/>
                <w:color w:val="FF0000"/>
              </w:rPr>
              <w:t>10</w:t>
            </w:r>
            <w:r w:rsidRPr="005D0184">
              <w:rPr>
                <w:b/>
                <w:color w:val="FF0000"/>
              </w:rPr>
              <w:t xml:space="preserve">.2023 r. </w:t>
            </w:r>
            <w:r w:rsidRPr="005D0184">
              <w:rPr>
                <w:b/>
              </w:rPr>
              <w:t xml:space="preserve">do godziny </w:t>
            </w:r>
            <w:r w:rsidRPr="005D0184">
              <w:rPr>
                <w:b/>
                <w:color w:val="FF0000"/>
              </w:rPr>
              <w:t>09:00</w:t>
            </w:r>
          </w:p>
          <w:p w14:paraId="4A55ECE8" w14:textId="15EA7187" w:rsidR="003D6B0E" w:rsidRPr="005D0184" w:rsidRDefault="003D6B0E" w:rsidP="003D6B0E">
            <w:pPr>
              <w:jc w:val="both"/>
            </w:pPr>
            <w:r w:rsidRPr="005D0184">
              <w:rPr>
                <w:rFonts w:eastAsia="Calibri"/>
              </w:rPr>
              <w:t xml:space="preserve">Termin otwarcia ofert </w:t>
            </w:r>
            <w:r w:rsidR="007C5B46">
              <w:rPr>
                <w:b/>
                <w:color w:val="FF0000"/>
              </w:rPr>
              <w:t>26</w:t>
            </w:r>
            <w:r w:rsidRPr="005D0184">
              <w:rPr>
                <w:b/>
                <w:color w:val="FF0000"/>
              </w:rPr>
              <w:t>.</w:t>
            </w:r>
            <w:r w:rsidR="00934F3C">
              <w:rPr>
                <w:b/>
                <w:color w:val="FF0000"/>
              </w:rPr>
              <w:t>10</w:t>
            </w:r>
            <w:r w:rsidRPr="005D0184">
              <w:rPr>
                <w:b/>
                <w:color w:val="FF0000"/>
              </w:rPr>
              <w:t xml:space="preserve">.2023 r. </w:t>
            </w:r>
            <w:r w:rsidRPr="005D0184">
              <w:rPr>
                <w:b/>
              </w:rPr>
              <w:t xml:space="preserve">godzina </w:t>
            </w:r>
            <w:r w:rsidRPr="005D0184">
              <w:rPr>
                <w:b/>
                <w:color w:val="FF0000"/>
              </w:rPr>
              <w:t>09:</w:t>
            </w:r>
            <w:r w:rsidR="00934F3C">
              <w:rPr>
                <w:b/>
                <w:color w:val="FF0000"/>
              </w:rPr>
              <w:t>15</w:t>
            </w:r>
          </w:p>
          <w:p w14:paraId="739BA6D8" w14:textId="77777777" w:rsidR="003D6B0E" w:rsidRPr="005D0184" w:rsidRDefault="003D6B0E" w:rsidP="008613B2">
            <w:pPr>
              <w:widowControl/>
              <w:autoSpaceDE/>
              <w:autoSpaceDN/>
              <w:adjustRightInd/>
              <w:spacing w:before="120"/>
              <w:jc w:val="both"/>
            </w:pPr>
            <w:r w:rsidRPr="005D0184">
              <w:t xml:space="preserve">Ofertę należy złożyć na zasadach określonych w </w:t>
            </w:r>
            <w:proofErr w:type="spellStart"/>
            <w:r w:rsidRPr="005D0184">
              <w:t>Pzp</w:t>
            </w:r>
            <w:proofErr w:type="spellEnd"/>
            <w:r w:rsidRPr="005D0184">
              <w:t xml:space="preserve"> i SWZ.</w:t>
            </w:r>
          </w:p>
          <w:p w14:paraId="5D6E6702" w14:textId="6F736771" w:rsidR="003D6B0E" w:rsidRPr="008613B2" w:rsidRDefault="003D6B0E" w:rsidP="003D6B0E">
            <w:pPr>
              <w:widowControl/>
              <w:autoSpaceDE/>
              <w:autoSpaceDN/>
              <w:adjustRightInd/>
              <w:jc w:val="both"/>
              <w:rPr>
                <w:sz w:val="12"/>
                <w:szCs w:val="12"/>
              </w:rPr>
            </w:pPr>
          </w:p>
        </w:tc>
      </w:tr>
      <w:tr w:rsidR="003D6B0E" w:rsidRPr="000E368E" w14:paraId="19C18581" w14:textId="77777777" w:rsidTr="00C27098">
        <w:tc>
          <w:tcPr>
            <w:tcW w:w="2518" w:type="dxa"/>
            <w:shd w:val="clear" w:color="auto" w:fill="BFBFBF" w:themeFill="background1" w:themeFillShade="BF"/>
          </w:tcPr>
          <w:p w14:paraId="19725769" w14:textId="77777777" w:rsidR="003D6B0E" w:rsidRPr="000E368E" w:rsidRDefault="003D6B0E" w:rsidP="003D6B0E">
            <w:pPr>
              <w:tabs>
                <w:tab w:val="left" w:pos="408"/>
              </w:tabs>
              <w:spacing w:before="100" w:after="100"/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 xml:space="preserve">Pkt </w:t>
            </w:r>
            <w:r>
              <w:rPr>
                <w:b/>
                <w:sz w:val="24"/>
                <w:szCs w:val="24"/>
              </w:rPr>
              <w:t>20.2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2049" w:type="dxa"/>
            <w:shd w:val="clear" w:color="auto" w:fill="BFBFBF" w:themeFill="background1" w:themeFillShade="BF"/>
          </w:tcPr>
          <w:p w14:paraId="7D21EE57" w14:textId="1B97F9B0" w:rsidR="003D6B0E" w:rsidRPr="003F5A3A" w:rsidRDefault="003D6B0E" w:rsidP="003D6B0E">
            <w:pPr>
              <w:spacing w:before="100" w:after="100"/>
              <w:ind w:left="36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O</w:t>
            </w:r>
            <w:r w:rsidRPr="00D836FF">
              <w:rPr>
                <w:b/>
                <w:bCs/>
                <w:color w:val="000000"/>
                <w:sz w:val="24"/>
                <w:szCs w:val="24"/>
              </w:rPr>
              <w:t>pis kryteriów oceny ofert, wraz z podaniem wag tych kryteriów i sposobu oceny ofert</w:t>
            </w:r>
          </w:p>
        </w:tc>
      </w:tr>
      <w:tr w:rsidR="003D6B0E" w:rsidRPr="000E368E" w14:paraId="5716D869" w14:textId="77777777" w:rsidTr="00C27098"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14:paraId="302B701E" w14:textId="77777777" w:rsidR="003D6B0E" w:rsidRPr="000E368E" w:rsidRDefault="003D6B0E" w:rsidP="003D6B0E">
            <w:pPr>
              <w:tabs>
                <w:tab w:val="left" w:pos="408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49" w:type="dxa"/>
            <w:tcBorders>
              <w:bottom w:val="single" w:sz="4" w:space="0" w:color="auto"/>
            </w:tcBorders>
            <w:shd w:val="clear" w:color="auto" w:fill="auto"/>
          </w:tcPr>
          <w:p w14:paraId="671F88EC" w14:textId="1AF9BD5A" w:rsidR="00A97124" w:rsidRDefault="00A97124" w:rsidP="000D3EA1">
            <w:pPr>
              <w:spacing w:before="80"/>
              <w:jc w:val="both"/>
              <w:rPr>
                <w:b/>
              </w:rPr>
            </w:pPr>
            <w:r>
              <w:rPr>
                <w:b/>
              </w:rPr>
              <w:t>Przy zakupie oleju opałowego Zamawiający za każdy zakup zapłaci cenę, która wynikać będzie z faktycznie dostarczonego oleju opałowego pomniejszonej o upust.</w:t>
            </w:r>
          </w:p>
          <w:p w14:paraId="3FD4B3CE" w14:textId="77777777" w:rsidR="00A97124" w:rsidRPr="000D3EA1" w:rsidRDefault="00A97124" w:rsidP="00A97124">
            <w:pPr>
              <w:jc w:val="both"/>
              <w:rPr>
                <w:b/>
                <w:sz w:val="4"/>
                <w:szCs w:val="4"/>
              </w:rPr>
            </w:pPr>
          </w:p>
          <w:p w14:paraId="5E02B928" w14:textId="77777777" w:rsidR="00A97124" w:rsidRDefault="00A97124" w:rsidP="000D3EA1">
            <w:pPr>
              <w:pStyle w:val="Akapitzlist"/>
              <w:widowControl/>
              <w:numPr>
                <w:ilvl w:val="0"/>
                <w:numId w:val="37"/>
              </w:numPr>
              <w:autoSpaceDE/>
              <w:adjustRightInd/>
              <w:spacing w:before="80"/>
              <w:jc w:val="both"/>
            </w:pPr>
            <w:r>
              <w:t>Przy wyborze najkorzystniejszej oferty Zamawiający będzie się kierował następującymi kryteriami oceny ofert:</w:t>
            </w:r>
          </w:p>
          <w:p w14:paraId="29860CC6" w14:textId="77777777" w:rsidR="00A97124" w:rsidRDefault="00A97124" w:rsidP="00A97124">
            <w:pPr>
              <w:pStyle w:val="Akapitzlist"/>
              <w:widowControl/>
              <w:numPr>
                <w:ilvl w:val="0"/>
                <w:numId w:val="38"/>
              </w:numPr>
              <w:autoSpaceDE/>
              <w:adjustRightInd/>
            </w:pPr>
            <w:r>
              <w:rPr>
                <w:b/>
              </w:rPr>
              <w:t>Cena (C)</w:t>
            </w:r>
            <w:r>
              <w:t xml:space="preserve"> – waga kryterium </w:t>
            </w:r>
            <w:r>
              <w:rPr>
                <w:b/>
                <w:bCs/>
              </w:rPr>
              <w:t>50 %,</w:t>
            </w:r>
            <w:r>
              <w:t xml:space="preserve"> w tym:</w:t>
            </w:r>
          </w:p>
          <w:p w14:paraId="16A4C839" w14:textId="77777777" w:rsidR="00A97124" w:rsidRDefault="00A97124" w:rsidP="00A97124">
            <w:pPr>
              <w:pStyle w:val="Akapitzlist"/>
              <w:widowControl/>
              <w:numPr>
                <w:ilvl w:val="0"/>
                <w:numId w:val="39"/>
              </w:numPr>
              <w:autoSpaceDE/>
              <w:adjustRightInd/>
              <w:ind w:left="1314" w:hanging="218"/>
              <w:rPr>
                <w:b/>
              </w:rPr>
            </w:pPr>
            <w:r>
              <w:rPr>
                <w:b/>
              </w:rPr>
              <w:t>Cena zamówienia podstawowego (CZP) – 25%</w:t>
            </w:r>
          </w:p>
          <w:p w14:paraId="4AA1E057" w14:textId="77777777" w:rsidR="00A97124" w:rsidRDefault="00A97124" w:rsidP="00A97124">
            <w:pPr>
              <w:pStyle w:val="Akapitzlist"/>
              <w:widowControl/>
              <w:numPr>
                <w:ilvl w:val="0"/>
                <w:numId w:val="39"/>
              </w:numPr>
              <w:autoSpaceDE/>
              <w:adjustRightInd/>
              <w:ind w:left="1314" w:hanging="218"/>
              <w:rPr>
                <w:b/>
              </w:rPr>
            </w:pPr>
            <w:r>
              <w:rPr>
                <w:b/>
              </w:rPr>
              <w:t>Cena zamówienia w ramach prawa opcji (CZO) – 25%</w:t>
            </w:r>
          </w:p>
          <w:p w14:paraId="3F2834D5" w14:textId="77777777" w:rsidR="00A97124" w:rsidRDefault="00A97124" w:rsidP="00A97124">
            <w:pPr>
              <w:pStyle w:val="ZTIRPKTzmpkttiret"/>
              <w:numPr>
                <w:ilvl w:val="0"/>
                <w:numId w:val="38"/>
              </w:numPr>
              <w:spacing w:line="276" w:lineRule="auto"/>
              <w:jc w:val="left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Kryterium jakościowe –  </w:t>
            </w:r>
            <w:r>
              <w:rPr>
                <w:rFonts w:ascii="Arial" w:hAnsi="Arial"/>
                <w:b/>
                <w:color w:val="000000"/>
                <w:sz w:val="20"/>
              </w:rPr>
              <w:t xml:space="preserve">Upust </w:t>
            </w:r>
            <w:r>
              <w:rPr>
                <w:rFonts w:ascii="Arial" w:hAnsi="Arial"/>
                <w:b/>
                <w:sz w:val="20"/>
              </w:rPr>
              <w:t xml:space="preserve">– </w:t>
            </w:r>
            <w:r>
              <w:rPr>
                <w:rFonts w:ascii="Arial" w:hAnsi="Arial"/>
                <w:bCs w:val="0"/>
                <w:sz w:val="20"/>
              </w:rPr>
              <w:t>waga kryterium</w:t>
            </w:r>
            <w:r>
              <w:rPr>
                <w:rFonts w:ascii="Arial" w:hAnsi="Arial"/>
                <w:b/>
                <w:sz w:val="20"/>
              </w:rPr>
              <w:t xml:space="preserve"> 50 %</w:t>
            </w:r>
          </w:p>
          <w:p w14:paraId="32A802B4" w14:textId="77777777" w:rsidR="00A97124" w:rsidRDefault="00A97124" w:rsidP="00A97124">
            <w:pPr>
              <w:jc w:val="both"/>
              <w:rPr>
                <w:color w:val="000000"/>
              </w:rPr>
            </w:pPr>
          </w:p>
          <w:p w14:paraId="727C8549" w14:textId="77777777" w:rsidR="00A97124" w:rsidRDefault="00A97124" w:rsidP="00A97124">
            <w:pPr>
              <w:pStyle w:val="Akapitzlist"/>
              <w:widowControl/>
              <w:numPr>
                <w:ilvl w:val="0"/>
                <w:numId w:val="40"/>
              </w:numPr>
              <w:autoSpaceDE/>
              <w:adjustRightInd/>
              <w:jc w:val="both"/>
            </w:pPr>
            <w:r>
              <w:t>Zasady oceny ofert w poszczególnych kryteriach:</w:t>
            </w:r>
          </w:p>
          <w:p w14:paraId="2E122FD1" w14:textId="77777777" w:rsidR="00A97124" w:rsidRPr="000D3EA1" w:rsidRDefault="00A97124" w:rsidP="00A97124">
            <w:pPr>
              <w:pStyle w:val="Akapitzlist"/>
              <w:widowControl/>
              <w:autoSpaceDE/>
              <w:adjustRightInd/>
              <w:ind w:left="180"/>
              <w:contextualSpacing/>
              <w:jc w:val="both"/>
              <w:rPr>
                <w:b/>
                <w:iCs/>
                <w:sz w:val="6"/>
                <w:szCs w:val="6"/>
                <w:u w:val="single"/>
              </w:rPr>
            </w:pPr>
          </w:p>
          <w:p w14:paraId="0AC126CB" w14:textId="77777777" w:rsidR="00A97124" w:rsidRDefault="00A97124" w:rsidP="00A97124">
            <w:pPr>
              <w:pStyle w:val="Akapitzlist"/>
              <w:widowControl/>
              <w:autoSpaceDE/>
              <w:adjustRightInd/>
              <w:spacing w:before="240"/>
              <w:ind w:left="180"/>
              <w:contextualSpacing/>
              <w:jc w:val="both"/>
              <w:rPr>
                <w:b/>
                <w:u w:val="single"/>
              </w:rPr>
            </w:pPr>
            <w:r>
              <w:rPr>
                <w:b/>
                <w:iCs/>
                <w:u w:val="single"/>
              </w:rPr>
              <w:t xml:space="preserve">P.I. </w:t>
            </w:r>
            <w:r>
              <w:rPr>
                <w:b/>
                <w:u w:val="single"/>
              </w:rPr>
              <w:t>Cena (C) (CZP + CZO) – waga kryterium 50 %</w:t>
            </w:r>
          </w:p>
          <w:p w14:paraId="2EF9E043" w14:textId="77777777" w:rsidR="00A97124" w:rsidRDefault="00A97124" w:rsidP="00A97124">
            <w:pPr>
              <w:pStyle w:val="ZTIRPKTzmpkttiret"/>
              <w:spacing w:line="276" w:lineRule="auto"/>
              <w:ind w:left="360" w:firstLin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Opis sposobu obliczenia punktów:</w:t>
            </w:r>
          </w:p>
          <w:p w14:paraId="431D2BC1" w14:textId="77777777" w:rsidR="00A97124" w:rsidRPr="00CA4F49" w:rsidRDefault="00A97124" w:rsidP="00A97124">
            <w:pPr>
              <w:pStyle w:val="ZTIRPKTzmpkttiret"/>
              <w:spacing w:line="276" w:lineRule="auto"/>
              <w:ind w:left="360" w:firstLine="0"/>
              <w:rPr>
                <w:rFonts w:ascii="Arial" w:hAnsi="Arial"/>
                <w:b/>
                <w:sz w:val="6"/>
                <w:szCs w:val="6"/>
              </w:rPr>
            </w:pPr>
          </w:p>
          <w:p w14:paraId="5124548B" w14:textId="77777777" w:rsidR="00A97124" w:rsidRDefault="00A97124" w:rsidP="00A97124">
            <w:pPr>
              <w:pStyle w:val="ZTIRPKTzmpkttiret"/>
              <w:spacing w:line="276" w:lineRule="auto"/>
              <w:ind w:left="360" w:firstLine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Cena zamówienia podstawowego (CZP):</w:t>
            </w:r>
          </w:p>
          <w:p w14:paraId="79CC32A2" w14:textId="77777777" w:rsidR="00A97124" w:rsidRDefault="00A97124" w:rsidP="00A97124">
            <w:pPr>
              <w:pStyle w:val="Akapitzlist"/>
              <w:spacing w:before="100"/>
              <w:ind w:left="1452"/>
              <w:rPr>
                <w:b/>
              </w:rPr>
            </w:pPr>
            <w:r>
              <w:rPr>
                <w:b/>
              </w:rPr>
              <w:t>cena najniższa brutto zamówienia podstawowego</w:t>
            </w:r>
            <w:r>
              <w:rPr>
                <w:b/>
              </w:rPr>
              <w:br/>
              <w:t xml:space="preserve">spośród wszystkich złożonych ofert </w:t>
            </w:r>
            <w:r>
              <w:rPr>
                <w:b/>
              </w:rPr>
              <w:br/>
              <w:t>niepodlegających odrzuceniu</w:t>
            </w:r>
          </w:p>
          <w:p w14:paraId="29BF5E66" w14:textId="77777777" w:rsidR="00A97124" w:rsidRDefault="00A97124" w:rsidP="00A97124">
            <w:pPr>
              <w:pStyle w:val="Akapitzlist"/>
              <w:ind w:left="1080"/>
              <w:jc w:val="both"/>
            </w:pPr>
            <w:r>
              <w:rPr>
                <w:b/>
              </w:rPr>
              <w:t>CZP =</w:t>
            </w:r>
            <w:r>
              <w:t xml:space="preserve"> </w:t>
            </w:r>
            <w:r>
              <w:rPr>
                <w:strike/>
              </w:rPr>
              <w:t xml:space="preserve">------------------------------------------------ </w:t>
            </w:r>
            <w:r>
              <w:t xml:space="preserve">  </w:t>
            </w:r>
            <w:r>
              <w:rPr>
                <w:b/>
              </w:rPr>
              <w:t>x 100 pkt x 25 %</w:t>
            </w:r>
          </w:p>
          <w:p w14:paraId="2D95381C" w14:textId="77777777" w:rsidR="00A97124" w:rsidRDefault="00A97124" w:rsidP="00A97124">
            <w:pPr>
              <w:pStyle w:val="Akapitzlist"/>
              <w:ind w:left="1452"/>
              <w:jc w:val="both"/>
              <w:rPr>
                <w:b/>
              </w:rPr>
            </w:pPr>
            <w:r>
              <w:rPr>
                <w:b/>
              </w:rPr>
              <w:t>cena oferty ocenianej zamówienia podstawowego brutto</w:t>
            </w:r>
          </w:p>
          <w:p w14:paraId="509667D5" w14:textId="77777777" w:rsidR="00A97124" w:rsidRDefault="00A97124" w:rsidP="00A97124">
            <w:pPr>
              <w:pStyle w:val="Akapitzlist"/>
              <w:ind w:left="1452"/>
              <w:jc w:val="both"/>
              <w:rPr>
                <w:b/>
                <w:sz w:val="12"/>
                <w:szCs w:val="12"/>
              </w:rPr>
            </w:pPr>
          </w:p>
          <w:p w14:paraId="7368CEE7" w14:textId="77777777" w:rsidR="00814FD0" w:rsidRPr="001A1B3A" w:rsidRDefault="00814FD0" w:rsidP="00A97124">
            <w:pPr>
              <w:jc w:val="both"/>
              <w:rPr>
                <w:b/>
                <w:sz w:val="10"/>
                <w:szCs w:val="10"/>
              </w:rPr>
            </w:pPr>
          </w:p>
          <w:p w14:paraId="13721403" w14:textId="77777777" w:rsidR="00A97124" w:rsidRDefault="00A97124" w:rsidP="00A97124">
            <w:pPr>
              <w:pStyle w:val="Akapitzlist"/>
              <w:ind w:left="357"/>
              <w:jc w:val="both"/>
              <w:rPr>
                <w:b/>
              </w:rPr>
            </w:pPr>
            <w:r>
              <w:rPr>
                <w:b/>
              </w:rPr>
              <w:t>Cena zamówienia w ramach prawa opcji (CZO):</w:t>
            </w:r>
          </w:p>
          <w:p w14:paraId="1A76846B" w14:textId="77777777" w:rsidR="00A97124" w:rsidRDefault="00A97124" w:rsidP="00A97124">
            <w:pPr>
              <w:pStyle w:val="Akapitzlist"/>
              <w:spacing w:before="100"/>
              <w:ind w:left="1452"/>
              <w:rPr>
                <w:b/>
              </w:rPr>
            </w:pPr>
            <w:r>
              <w:rPr>
                <w:b/>
              </w:rPr>
              <w:t>cena najniższa brutto zamówienia w ramach prawa opcji</w:t>
            </w:r>
            <w:r>
              <w:rPr>
                <w:b/>
              </w:rPr>
              <w:br/>
              <w:t xml:space="preserve">spośród wszystkich złożonych ofert </w:t>
            </w:r>
            <w:r>
              <w:rPr>
                <w:b/>
              </w:rPr>
              <w:br/>
              <w:t>niepodlegających odrzuceniu</w:t>
            </w:r>
          </w:p>
          <w:p w14:paraId="4FC2C1BB" w14:textId="77777777" w:rsidR="00A97124" w:rsidRDefault="00A97124" w:rsidP="00A97124">
            <w:pPr>
              <w:pStyle w:val="Akapitzlist"/>
              <w:ind w:left="1080"/>
              <w:jc w:val="both"/>
            </w:pPr>
            <w:r>
              <w:rPr>
                <w:b/>
              </w:rPr>
              <w:t>CZO =</w:t>
            </w:r>
            <w:r>
              <w:t xml:space="preserve"> </w:t>
            </w:r>
            <w:r>
              <w:rPr>
                <w:strike/>
              </w:rPr>
              <w:t xml:space="preserve">------------------------------------------------ </w:t>
            </w:r>
            <w:r>
              <w:t xml:space="preserve">  </w:t>
            </w:r>
            <w:r>
              <w:rPr>
                <w:b/>
              </w:rPr>
              <w:t>x 100 pkt x 25 %</w:t>
            </w:r>
          </w:p>
          <w:p w14:paraId="7D8EF9FF" w14:textId="77777777" w:rsidR="00A97124" w:rsidRDefault="00A97124" w:rsidP="00A97124">
            <w:pPr>
              <w:pStyle w:val="Akapitzlist"/>
              <w:ind w:left="1452"/>
              <w:jc w:val="both"/>
              <w:rPr>
                <w:b/>
              </w:rPr>
            </w:pPr>
            <w:r>
              <w:rPr>
                <w:b/>
              </w:rPr>
              <w:t>cena oferty ocenianej w ramach prawa opcji brutto</w:t>
            </w:r>
          </w:p>
          <w:p w14:paraId="7119AE62" w14:textId="77777777" w:rsidR="00A97124" w:rsidRPr="00F25EC9" w:rsidRDefault="00A97124" w:rsidP="00A97124">
            <w:pPr>
              <w:pStyle w:val="Akapitzlist"/>
              <w:ind w:left="0"/>
              <w:jc w:val="both"/>
              <w:rPr>
                <w:b/>
                <w:sz w:val="12"/>
                <w:szCs w:val="12"/>
              </w:rPr>
            </w:pPr>
          </w:p>
          <w:p w14:paraId="0143E476" w14:textId="77777777" w:rsidR="00A97124" w:rsidRDefault="00A97124" w:rsidP="00A97124">
            <w:pPr>
              <w:widowControl/>
              <w:autoSpaceDE/>
              <w:adjustRightInd/>
              <w:jc w:val="both"/>
            </w:pPr>
            <w:r>
              <w:t>Podstawą przyznania punktów w kryterium „cena” będzie cena ofertowa brutto podana przez Wykonawcę w Formularzu cenowym.</w:t>
            </w:r>
          </w:p>
          <w:p w14:paraId="24A023EA" w14:textId="77777777" w:rsidR="00A97124" w:rsidRDefault="00A97124" w:rsidP="00A97124">
            <w:pPr>
              <w:widowControl/>
              <w:autoSpaceDE/>
              <w:adjustRightInd/>
              <w:jc w:val="both"/>
            </w:pPr>
            <w:r>
              <w:t>Cena ofertowa brutto musi uwzględniać wszelkie koszty jakie Wykonawca poniesie w związku z realizacją przedmiotu zamówienia.</w:t>
            </w:r>
          </w:p>
          <w:p w14:paraId="2E8E7F75" w14:textId="77777777" w:rsidR="00A97124" w:rsidRDefault="00A97124" w:rsidP="00A97124">
            <w:pPr>
              <w:widowControl/>
              <w:autoSpaceDE/>
              <w:adjustRightInd/>
              <w:jc w:val="both"/>
            </w:pPr>
            <w:r>
              <w:t xml:space="preserve">Zamawiający odrzuci ofertę jako niezgodną z SWZ w przypadku nie wskazania przez Wykonawcę ceny za zamówienie w ramach prawa opcji. </w:t>
            </w:r>
          </w:p>
          <w:p w14:paraId="62D1E166" w14:textId="77777777" w:rsidR="0041647B" w:rsidRDefault="0041647B" w:rsidP="00A97124">
            <w:pPr>
              <w:pStyle w:val="ZTIRPKTzmpkttiret"/>
              <w:spacing w:line="276" w:lineRule="auto"/>
              <w:ind w:left="0" w:firstLine="0"/>
              <w:jc w:val="left"/>
              <w:rPr>
                <w:rFonts w:ascii="Arial" w:hAnsi="Arial"/>
                <w:b/>
                <w:iCs/>
                <w:sz w:val="20"/>
                <w:u w:val="single"/>
              </w:rPr>
            </w:pPr>
          </w:p>
          <w:p w14:paraId="5D64B0B9" w14:textId="77777777" w:rsidR="00A97124" w:rsidRDefault="00A97124" w:rsidP="00A97124">
            <w:pPr>
              <w:pStyle w:val="ZTIRPKTzmpkttiret"/>
              <w:spacing w:line="276" w:lineRule="auto"/>
              <w:ind w:left="0" w:firstLine="0"/>
              <w:jc w:val="left"/>
              <w:rPr>
                <w:rFonts w:ascii="Arial" w:hAnsi="Arial"/>
                <w:b/>
                <w:color w:val="000000"/>
                <w:sz w:val="20"/>
                <w:u w:val="single"/>
              </w:rPr>
            </w:pPr>
            <w:r>
              <w:rPr>
                <w:rFonts w:ascii="Arial" w:hAnsi="Arial"/>
                <w:b/>
                <w:iCs/>
                <w:sz w:val="20"/>
                <w:u w:val="single"/>
              </w:rPr>
              <w:t xml:space="preserve">P.II. </w:t>
            </w:r>
            <w:r>
              <w:rPr>
                <w:rFonts w:ascii="Arial" w:hAnsi="Arial"/>
                <w:b/>
                <w:sz w:val="20"/>
                <w:u w:val="single"/>
              </w:rPr>
              <w:t xml:space="preserve">Kryterium jakościowe –  </w:t>
            </w:r>
            <w:r>
              <w:rPr>
                <w:rFonts w:ascii="Arial" w:hAnsi="Arial"/>
                <w:b/>
                <w:color w:val="000000"/>
                <w:sz w:val="20"/>
                <w:u w:val="single"/>
              </w:rPr>
              <w:t xml:space="preserve">Upust </w:t>
            </w:r>
            <w:r>
              <w:rPr>
                <w:rFonts w:ascii="Arial" w:hAnsi="Arial"/>
                <w:b/>
                <w:sz w:val="20"/>
                <w:u w:val="single"/>
              </w:rPr>
              <w:t xml:space="preserve">– </w:t>
            </w:r>
            <w:r>
              <w:rPr>
                <w:rFonts w:ascii="Arial" w:hAnsi="Arial"/>
                <w:bCs w:val="0"/>
                <w:sz w:val="20"/>
                <w:u w:val="single"/>
              </w:rPr>
              <w:t>waga kryterium</w:t>
            </w:r>
            <w:r>
              <w:rPr>
                <w:rFonts w:ascii="Arial" w:hAnsi="Arial"/>
                <w:b/>
                <w:sz w:val="20"/>
                <w:u w:val="single"/>
              </w:rPr>
              <w:t xml:space="preserve"> 50 %</w:t>
            </w:r>
          </w:p>
          <w:p w14:paraId="7ADCA3DD" w14:textId="77777777" w:rsidR="00A97124" w:rsidRPr="00F25EC9" w:rsidRDefault="00A97124" w:rsidP="00A97124">
            <w:pPr>
              <w:jc w:val="both"/>
              <w:rPr>
                <w:b/>
                <w:iCs/>
                <w:sz w:val="8"/>
                <w:szCs w:val="8"/>
                <w:u w:val="single"/>
              </w:rPr>
            </w:pPr>
          </w:p>
          <w:p w14:paraId="7D873C62" w14:textId="77777777" w:rsidR="00A97124" w:rsidRDefault="00A97124" w:rsidP="00A97124">
            <w:pPr>
              <w:ind w:left="720"/>
              <w:jc w:val="both"/>
              <w:rPr>
                <w:iCs/>
              </w:rPr>
            </w:pPr>
            <w:r>
              <w:rPr>
                <w:iCs/>
              </w:rPr>
              <w:t xml:space="preserve">W kryterium „upust” Zamawiający ocenia stosunek wartości ceny produktu paliwowego w ujęciu procentowym „upust” do zaoferowanej w formularzu cenowym ceny danego produktu paliwowego: </w:t>
            </w:r>
          </w:p>
          <w:p w14:paraId="48247968" w14:textId="77777777" w:rsidR="00A97124" w:rsidRPr="00FE68FA" w:rsidRDefault="00A97124" w:rsidP="00A97124">
            <w:pPr>
              <w:ind w:left="720"/>
              <w:jc w:val="both"/>
              <w:rPr>
                <w:iCs/>
                <w:sz w:val="8"/>
                <w:szCs w:val="8"/>
              </w:rPr>
            </w:pPr>
          </w:p>
          <w:p w14:paraId="3A5263B9" w14:textId="77777777" w:rsidR="00A97124" w:rsidRDefault="00A97124" w:rsidP="00A97124">
            <w:pPr>
              <w:pStyle w:val="ZTIRPKTzmpkttiret"/>
              <w:spacing w:line="276" w:lineRule="auto"/>
              <w:ind w:left="0" w:firstLin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Opis sposobu obliczenia punktów:</w:t>
            </w:r>
          </w:p>
          <w:p w14:paraId="05C87AFD" w14:textId="77777777" w:rsidR="00A97124" w:rsidRDefault="00A97124" w:rsidP="00A97124">
            <w:pPr>
              <w:jc w:val="both"/>
            </w:pPr>
            <w:r>
              <w:t>W tym kryterium zostanie przyznana następująca liczba punktów:</w:t>
            </w:r>
          </w:p>
          <w:p w14:paraId="7722FA06" w14:textId="77777777" w:rsidR="00A97124" w:rsidRPr="00C83596" w:rsidRDefault="00A97124" w:rsidP="00A97124">
            <w:pPr>
              <w:jc w:val="both"/>
              <w:rPr>
                <w:b/>
                <w:iCs/>
                <w:sz w:val="8"/>
                <w:szCs w:val="8"/>
              </w:rPr>
            </w:pPr>
          </w:p>
          <w:tbl>
            <w:tblPr>
              <w:tblW w:w="6052" w:type="dxa"/>
              <w:tblInd w:w="77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51"/>
              <w:gridCol w:w="3063"/>
              <w:gridCol w:w="2138"/>
            </w:tblGrid>
            <w:tr w:rsidR="00A97124" w14:paraId="5183645F" w14:textId="77777777" w:rsidTr="00222018">
              <w:trPr>
                <w:trHeight w:val="477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FEA5514" w14:textId="77777777" w:rsidR="00A97124" w:rsidRDefault="00A97124" w:rsidP="00906403">
                  <w:pPr>
                    <w:framePr w:hSpace="141" w:wrap="around" w:vAnchor="text" w:hAnchor="text" w:x="74" w:y="1"/>
                    <w:spacing w:line="276" w:lineRule="auto"/>
                    <w:suppressOverlap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Lp.</w:t>
                  </w:r>
                </w:p>
              </w:tc>
              <w:tc>
                <w:tcPr>
                  <w:tcW w:w="3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BCEBD54" w14:textId="77777777" w:rsidR="00A97124" w:rsidRDefault="00A97124" w:rsidP="00906403">
                  <w:pPr>
                    <w:framePr w:hSpace="141" w:wrap="around" w:vAnchor="text" w:hAnchor="text" w:x="74" w:y="1"/>
                    <w:spacing w:line="276" w:lineRule="auto"/>
                    <w:suppressOverlap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color w:val="000000"/>
                      <w:lang w:eastAsia="en-US"/>
                    </w:rPr>
                    <w:t>Upust</w:t>
                  </w:r>
                </w:p>
              </w:tc>
              <w:tc>
                <w:tcPr>
                  <w:tcW w:w="21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54209EC" w14:textId="77777777" w:rsidR="00A97124" w:rsidRDefault="00A97124" w:rsidP="00906403">
                  <w:pPr>
                    <w:framePr w:hSpace="141" w:wrap="around" w:vAnchor="text" w:hAnchor="text" w:x="74" w:y="1"/>
                    <w:spacing w:line="276" w:lineRule="auto"/>
                    <w:suppressOverlap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Liczba punktów</w:t>
                  </w:r>
                </w:p>
              </w:tc>
            </w:tr>
            <w:tr w:rsidR="00A97124" w14:paraId="5ABC6B86" w14:textId="77777777" w:rsidTr="00222018">
              <w:trPr>
                <w:trHeight w:val="340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8AE6ED9" w14:textId="77777777" w:rsidR="00A97124" w:rsidRDefault="00A97124" w:rsidP="00F25EC9">
                  <w:pPr>
                    <w:framePr w:hSpace="141" w:wrap="around" w:vAnchor="text" w:hAnchor="text" w:x="74" w:y="1"/>
                    <w:suppressOverlap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1.</w:t>
                  </w:r>
                </w:p>
              </w:tc>
              <w:tc>
                <w:tcPr>
                  <w:tcW w:w="3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6DF489C" w14:textId="77777777" w:rsidR="00A97124" w:rsidRDefault="00A97124" w:rsidP="00F25EC9">
                  <w:pPr>
                    <w:framePr w:hSpace="141" w:wrap="around" w:vAnchor="text" w:hAnchor="text" w:x="74" w:y="1"/>
                    <w:suppressOverlap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 xml:space="preserve">Wariant I </w:t>
                  </w:r>
                  <w:r>
                    <w:rPr>
                      <w:b/>
                      <w:iCs/>
                      <w:lang w:eastAsia="en-US"/>
                    </w:rPr>
                    <w:t xml:space="preserve">– 0,5% - 1%          </w:t>
                  </w:r>
                </w:p>
              </w:tc>
              <w:tc>
                <w:tcPr>
                  <w:tcW w:w="21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EF150FB" w14:textId="77777777" w:rsidR="00A97124" w:rsidRDefault="00A97124" w:rsidP="00F25EC9">
                  <w:pPr>
                    <w:framePr w:hSpace="141" w:wrap="around" w:vAnchor="text" w:hAnchor="text" w:x="74" w:y="1"/>
                    <w:suppressOverlap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0 pkt.</w:t>
                  </w:r>
                </w:p>
              </w:tc>
            </w:tr>
            <w:tr w:rsidR="00A97124" w14:paraId="01BD342E" w14:textId="77777777" w:rsidTr="00222018">
              <w:trPr>
                <w:trHeight w:val="340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975D251" w14:textId="77777777" w:rsidR="00A97124" w:rsidRDefault="00A97124" w:rsidP="00F25EC9">
                  <w:pPr>
                    <w:framePr w:hSpace="141" w:wrap="around" w:vAnchor="text" w:hAnchor="text" w:x="74" w:y="1"/>
                    <w:suppressOverlap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2.</w:t>
                  </w:r>
                </w:p>
              </w:tc>
              <w:tc>
                <w:tcPr>
                  <w:tcW w:w="3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81230B7" w14:textId="77777777" w:rsidR="00A97124" w:rsidRDefault="00A97124" w:rsidP="00F25EC9">
                  <w:pPr>
                    <w:framePr w:hSpace="141" w:wrap="around" w:vAnchor="text" w:hAnchor="text" w:x="74" w:y="1"/>
                    <w:suppressOverlap/>
                    <w:jc w:val="center"/>
                    <w:rPr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 xml:space="preserve">Wariant II </w:t>
                  </w:r>
                  <w:r>
                    <w:rPr>
                      <w:b/>
                      <w:bCs/>
                      <w:iCs/>
                      <w:lang w:eastAsia="en-US"/>
                    </w:rPr>
                    <w:t>– 1,01% - 2%</w:t>
                  </w:r>
                </w:p>
              </w:tc>
              <w:tc>
                <w:tcPr>
                  <w:tcW w:w="21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CE3944D" w14:textId="77777777" w:rsidR="00A97124" w:rsidRDefault="00A97124" w:rsidP="00F25EC9">
                  <w:pPr>
                    <w:framePr w:hSpace="141" w:wrap="around" w:vAnchor="text" w:hAnchor="text" w:x="74" w:y="1"/>
                    <w:suppressOverlap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 pkt.</w:t>
                  </w:r>
                </w:p>
              </w:tc>
            </w:tr>
            <w:tr w:rsidR="00A97124" w14:paraId="51E3C7B1" w14:textId="77777777" w:rsidTr="00222018">
              <w:trPr>
                <w:trHeight w:val="340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28772E5" w14:textId="77777777" w:rsidR="00A97124" w:rsidRDefault="00A97124" w:rsidP="00F25EC9">
                  <w:pPr>
                    <w:framePr w:hSpace="141" w:wrap="around" w:vAnchor="text" w:hAnchor="text" w:x="74" w:y="1"/>
                    <w:suppressOverlap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3.</w:t>
                  </w:r>
                </w:p>
              </w:tc>
              <w:tc>
                <w:tcPr>
                  <w:tcW w:w="3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14F9F26" w14:textId="77777777" w:rsidR="00A97124" w:rsidRDefault="00A97124" w:rsidP="00F25EC9">
                  <w:pPr>
                    <w:framePr w:hSpace="141" w:wrap="around" w:vAnchor="text" w:hAnchor="text" w:x="74" w:y="1"/>
                    <w:suppressOverlap/>
                    <w:jc w:val="center"/>
                    <w:rPr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 xml:space="preserve">Wariant III </w:t>
                  </w:r>
                  <w:r>
                    <w:rPr>
                      <w:b/>
                      <w:iCs/>
                      <w:lang w:eastAsia="en-US"/>
                    </w:rPr>
                    <w:t>– 2,01% - 3%</w:t>
                  </w:r>
                </w:p>
              </w:tc>
              <w:tc>
                <w:tcPr>
                  <w:tcW w:w="21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6994B1F" w14:textId="77777777" w:rsidR="00A97124" w:rsidRDefault="00A97124" w:rsidP="00F25EC9">
                  <w:pPr>
                    <w:framePr w:hSpace="141" w:wrap="around" w:vAnchor="text" w:hAnchor="text" w:x="74" w:y="1"/>
                    <w:suppressOverlap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30 pkt.</w:t>
                  </w:r>
                </w:p>
              </w:tc>
            </w:tr>
            <w:tr w:rsidR="00A97124" w14:paraId="2D6AA728" w14:textId="77777777" w:rsidTr="00222018">
              <w:trPr>
                <w:trHeight w:val="340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A70AC91" w14:textId="77777777" w:rsidR="00A97124" w:rsidRDefault="00A97124" w:rsidP="00F25EC9">
                  <w:pPr>
                    <w:framePr w:hSpace="141" w:wrap="around" w:vAnchor="text" w:hAnchor="text" w:x="74" w:y="1"/>
                    <w:suppressOverlap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4.</w:t>
                  </w:r>
                </w:p>
              </w:tc>
              <w:tc>
                <w:tcPr>
                  <w:tcW w:w="3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F98F34B" w14:textId="77777777" w:rsidR="00A97124" w:rsidRDefault="00A97124" w:rsidP="00F25EC9">
                  <w:pPr>
                    <w:framePr w:hSpace="141" w:wrap="around" w:vAnchor="text" w:hAnchor="text" w:x="74" w:y="1"/>
                    <w:suppressOverlap/>
                    <w:jc w:val="center"/>
                    <w:rPr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 xml:space="preserve">Wariant IV </w:t>
                  </w:r>
                  <w:r>
                    <w:rPr>
                      <w:b/>
                      <w:iCs/>
                      <w:lang w:eastAsia="en-US"/>
                    </w:rPr>
                    <w:t xml:space="preserve">– 3,01 % - 4% </w:t>
                  </w:r>
                </w:p>
              </w:tc>
              <w:tc>
                <w:tcPr>
                  <w:tcW w:w="21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9BA5C0F" w14:textId="77777777" w:rsidR="00A97124" w:rsidRDefault="00A97124" w:rsidP="00F25EC9">
                  <w:pPr>
                    <w:framePr w:hSpace="141" w:wrap="around" w:vAnchor="text" w:hAnchor="text" w:x="74" w:y="1"/>
                    <w:suppressOverlap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40 pkt.</w:t>
                  </w:r>
                </w:p>
              </w:tc>
            </w:tr>
            <w:tr w:rsidR="00A97124" w14:paraId="022B08C6" w14:textId="77777777" w:rsidTr="00222018">
              <w:trPr>
                <w:trHeight w:val="340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F9B7F19" w14:textId="77777777" w:rsidR="00A97124" w:rsidRDefault="00A97124" w:rsidP="00F25EC9">
                  <w:pPr>
                    <w:framePr w:hSpace="141" w:wrap="around" w:vAnchor="text" w:hAnchor="text" w:x="74" w:y="1"/>
                    <w:suppressOverlap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5.</w:t>
                  </w:r>
                </w:p>
              </w:tc>
              <w:tc>
                <w:tcPr>
                  <w:tcW w:w="3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B67CC8E" w14:textId="77777777" w:rsidR="00A97124" w:rsidRDefault="00A97124" w:rsidP="00F25EC9">
                  <w:pPr>
                    <w:framePr w:hSpace="141" w:wrap="around" w:vAnchor="text" w:hAnchor="text" w:x="74" w:y="1"/>
                    <w:suppressOverlap/>
                    <w:jc w:val="center"/>
                    <w:rPr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 xml:space="preserve">Wariant V </w:t>
                  </w:r>
                  <w:r>
                    <w:rPr>
                      <w:b/>
                      <w:iCs/>
                      <w:lang w:eastAsia="en-US"/>
                    </w:rPr>
                    <w:t xml:space="preserve">– </w:t>
                  </w:r>
                  <w:r>
                    <w:rPr>
                      <w:b/>
                      <w:bCs/>
                      <w:iCs/>
                      <w:lang w:eastAsia="en-US"/>
                    </w:rPr>
                    <w:t xml:space="preserve">powyżej 4% </w:t>
                  </w:r>
                </w:p>
              </w:tc>
              <w:tc>
                <w:tcPr>
                  <w:tcW w:w="21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81F41C6" w14:textId="77777777" w:rsidR="00A97124" w:rsidRDefault="00A97124" w:rsidP="00F25EC9">
                  <w:pPr>
                    <w:framePr w:hSpace="141" w:wrap="around" w:vAnchor="text" w:hAnchor="text" w:x="74" w:y="1"/>
                    <w:suppressOverlap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50 pkt.</w:t>
                  </w:r>
                </w:p>
              </w:tc>
            </w:tr>
          </w:tbl>
          <w:p w14:paraId="42F8B92C" w14:textId="77777777" w:rsidR="00F25EC9" w:rsidRDefault="00F25EC9" w:rsidP="00A97124">
            <w:pPr>
              <w:spacing w:line="360" w:lineRule="auto"/>
              <w:jc w:val="both"/>
              <w:rPr>
                <w:color w:val="000000"/>
              </w:rPr>
            </w:pPr>
            <w:bookmarkStart w:id="5" w:name="_Hlk143512786"/>
            <w:bookmarkStart w:id="6" w:name="_Hlk143512646"/>
          </w:p>
          <w:p w14:paraId="47FC3E1D" w14:textId="795B69DA" w:rsidR="00A97124" w:rsidRDefault="00A97124" w:rsidP="00A97124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W przypadku nie określenia żadnego z wariantów lub wybrania kilku wariantów Zamawiający przyjmuje, że wykonawca oferuje upust zgodnie z  wariantem nr </w:t>
            </w:r>
            <w:bookmarkEnd w:id="5"/>
            <w:r>
              <w:rPr>
                <w:color w:val="000000"/>
              </w:rPr>
              <w:t>I.</w:t>
            </w:r>
          </w:p>
          <w:bookmarkEnd w:id="6"/>
          <w:p w14:paraId="32E7C27E" w14:textId="77777777" w:rsidR="00A97124" w:rsidRDefault="00A97124" w:rsidP="00A97124">
            <w:pPr>
              <w:jc w:val="both"/>
              <w:rPr>
                <w:color w:val="000000"/>
                <w:sz w:val="14"/>
                <w:szCs w:val="14"/>
              </w:rPr>
            </w:pPr>
          </w:p>
          <w:p w14:paraId="001D3218" w14:textId="77777777" w:rsidR="00A97124" w:rsidRDefault="00A97124" w:rsidP="00A97124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RAZEM ilość punktów: P = P.I.  + P.II.</w:t>
            </w:r>
          </w:p>
          <w:p w14:paraId="5A24FCF9" w14:textId="2397C5D6" w:rsidR="003D6B0E" w:rsidRPr="003427F2" w:rsidRDefault="00A97124" w:rsidP="00A97124">
            <w:pPr>
              <w:jc w:val="both"/>
            </w:pPr>
            <w:r>
              <w:rPr>
                <w:color w:val="000000"/>
              </w:rPr>
              <w:t xml:space="preserve">      Zamawiający przyzna zamówienie wykonawcy, który otrzyma największą liczbę punktów. </w:t>
            </w:r>
            <w:r w:rsidR="003D6B0E" w:rsidRPr="003427F2">
              <w:t>Wykonawca uzyska w postępowaniu ilość punktów stanowiącą sumę punktów uzyskanych w poszczególnych kryteriach oceny ofert.</w:t>
            </w:r>
          </w:p>
          <w:p w14:paraId="0AEAAD86" w14:textId="77777777" w:rsidR="003D6B0E" w:rsidRPr="008521C3" w:rsidRDefault="003D6B0E" w:rsidP="003D6B0E">
            <w:pPr>
              <w:tabs>
                <w:tab w:val="left" w:pos="408"/>
              </w:tabs>
              <w:rPr>
                <w:sz w:val="14"/>
                <w:szCs w:val="14"/>
              </w:rPr>
            </w:pPr>
          </w:p>
          <w:p w14:paraId="3AF124C0" w14:textId="77777777" w:rsidR="003D6B0E" w:rsidRDefault="003D6B0E" w:rsidP="003D6B0E">
            <w:pPr>
              <w:tabs>
                <w:tab w:val="left" w:pos="408"/>
              </w:tabs>
              <w:jc w:val="both"/>
            </w:pPr>
            <w:r w:rsidRPr="003427F2">
              <w:t>Jeżeli nie będzie można dokonać wyboru oferty najkorzystniejszej ze względu na to, że dwie lub więcej ofert przedstawiać będzie taki sam bilans ceny i innych kryteriów oceny ofert, Zamawiający spośród tych ofert wybierze ofertę z najniższą ceną a jeżeli zostały złożone oferty o takiej samej cenie, Zamawiający wzywa Wykonawców, którzy złożyli te oferty, do złożenia w terminie określonym przez Zamawiającego ofert dodatkowych.</w:t>
            </w:r>
          </w:p>
          <w:p w14:paraId="0F700259" w14:textId="5C714E83" w:rsidR="003D6B0E" w:rsidRPr="00AB43BC" w:rsidRDefault="003D6B0E" w:rsidP="003D6B0E">
            <w:pPr>
              <w:tabs>
                <w:tab w:val="left" w:pos="408"/>
              </w:tabs>
              <w:jc w:val="both"/>
            </w:pPr>
          </w:p>
        </w:tc>
      </w:tr>
      <w:tr w:rsidR="003D6B0E" w:rsidRPr="000E368E" w14:paraId="4AD9CE2B" w14:textId="77777777" w:rsidTr="00C27098">
        <w:tc>
          <w:tcPr>
            <w:tcW w:w="2518" w:type="dxa"/>
            <w:shd w:val="clear" w:color="auto" w:fill="BFBFBF" w:themeFill="background1" w:themeFillShade="BF"/>
          </w:tcPr>
          <w:p w14:paraId="22792A4F" w14:textId="77777777" w:rsidR="003D6B0E" w:rsidRPr="000E368E" w:rsidRDefault="003D6B0E" w:rsidP="003D6B0E">
            <w:pPr>
              <w:tabs>
                <w:tab w:val="left" w:pos="408"/>
              </w:tabs>
              <w:spacing w:before="100" w:after="100"/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lastRenderedPageBreak/>
              <w:t xml:space="preserve">Pkt </w:t>
            </w:r>
            <w:r>
              <w:rPr>
                <w:b/>
                <w:sz w:val="24"/>
                <w:szCs w:val="24"/>
              </w:rPr>
              <w:t>22.1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2049" w:type="dxa"/>
            <w:shd w:val="clear" w:color="auto" w:fill="BFBFBF" w:themeFill="background1" w:themeFillShade="BF"/>
          </w:tcPr>
          <w:p w14:paraId="752FEE67" w14:textId="601D41E4" w:rsidR="003D6B0E" w:rsidRPr="003F5A3A" w:rsidRDefault="003D6B0E" w:rsidP="003D6B0E">
            <w:pPr>
              <w:spacing w:before="100" w:after="100"/>
              <w:rPr>
                <w:b/>
                <w:color w:val="000000"/>
                <w:sz w:val="24"/>
                <w:szCs w:val="24"/>
              </w:rPr>
            </w:pPr>
            <w:r w:rsidRPr="000E6CEC">
              <w:rPr>
                <w:b/>
                <w:color w:val="000000"/>
                <w:sz w:val="24"/>
                <w:szCs w:val="24"/>
              </w:rPr>
              <w:t>Zabezpieczenie należytego wykonania umowy</w:t>
            </w:r>
          </w:p>
        </w:tc>
      </w:tr>
      <w:tr w:rsidR="003D6B0E" w:rsidRPr="000E368E" w14:paraId="3E502C15" w14:textId="77777777" w:rsidTr="00C27098"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14:paraId="20C71F11" w14:textId="77777777" w:rsidR="003D6B0E" w:rsidRPr="000E368E" w:rsidRDefault="003D6B0E" w:rsidP="003D6B0E">
            <w:pPr>
              <w:tabs>
                <w:tab w:val="left" w:pos="408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49" w:type="dxa"/>
            <w:tcBorders>
              <w:bottom w:val="single" w:sz="4" w:space="0" w:color="auto"/>
            </w:tcBorders>
            <w:shd w:val="clear" w:color="auto" w:fill="auto"/>
          </w:tcPr>
          <w:p w14:paraId="6FEBA61A" w14:textId="02F64844" w:rsidR="003D6B0E" w:rsidRPr="0099732E" w:rsidRDefault="003D6B0E" w:rsidP="003D6B0E">
            <w:pPr>
              <w:spacing w:before="120" w:after="120"/>
              <w:jc w:val="both"/>
            </w:pPr>
            <w:r w:rsidRPr="006B1DF3">
              <w:t xml:space="preserve">Zamawiający </w:t>
            </w:r>
            <w:r w:rsidRPr="006B1DF3">
              <w:rPr>
                <w:b/>
                <w:u w:val="single"/>
              </w:rPr>
              <w:t>nie przewiduje obowiązku wniesienia zabezpieczenia</w:t>
            </w:r>
            <w:r w:rsidRPr="006B1DF3">
              <w:t xml:space="preserve"> należytego wykonania umowy:</w:t>
            </w:r>
          </w:p>
        </w:tc>
      </w:tr>
      <w:tr w:rsidR="003D6B0E" w:rsidRPr="000E368E" w14:paraId="0579EB5D" w14:textId="77777777" w:rsidTr="00C27098">
        <w:tc>
          <w:tcPr>
            <w:tcW w:w="2518" w:type="dxa"/>
            <w:shd w:val="clear" w:color="auto" w:fill="BFBFBF" w:themeFill="background1" w:themeFillShade="BF"/>
          </w:tcPr>
          <w:p w14:paraId="24B7E631" w14:textId="77777777" w:rsidR="003D6B0E" w:rsidRPr="000E368E" w:rsidRDefault="003D6B0E" w:rsidP="003D6B0E">
            <w:pPr>
              <w:tabs>
                <w:tab w:val="left" w:pos="408"/>
              </w:tabs>
              <w:spacing w:before="80" w:after="40"/>
              <w:jc w:val="center"/>
              <w:rPr>
                <w:b/>
                <w:sz w:val="24"/>
                <w:szCs w:val="24"/>
              </w:rPr>
            </w:pPr>
            <w:r w:rsidRPr="000E368E">
              <w:rPr>
                <w:b/>
                <w:sz w:val="24"/>
                <w:szCs w:val="24"/>
              </w:rPr>
              <w:t xml:space="preserve">Pkt </w:t>
            </w:r>
            <w:r>
              <w:rPr>
                <w:b/>
                <w:sz w:val="24"/>
                <w:szCs w:val="24"/>
              </w:rPr>
              <w:t>23.3</w:t>
            </w:r>
            <w:r w:rsidRPr="000E368E">
              <w:rPr>
                <w:b/>
                <w:sz w:val="24"/>
                <w:szCs w:val="24"/>
              </w:rPr>
              <w:t xml:space="preserve"> IDW</w:t>
            </w:r>
          </w:p>
        </w:tc>
        <w:tc>
          <w:tcPr>
            <w:tcW w:w="12049" w:type="dxa"/>
            <w:shd w:val="clear" w:color="auto" w:fill="BFBFBF" w:themeFill="background1" w:themeFillShade="BF"/>
          </w:tcPr>
          <w:p w14:paraId="1F5B1D26" w14:textId="27E8E538" w:rsidR="003D6B0E" w:rsidRPr="004A6BC6" w:rsidRDefault="003D6B0E" w:rsidP="003D6B0E">
            <w:pPr>
              <w:spacing w:before="100" w:after="100"/>
              <w:rPr>
                <w:b/>
                <w:color w:val="000000"/>
                <w:sz w:val="24"/>
                <w:szCs w:val="24"/>
              </w:rPr>
            </w:pPr>
            <w:r w:rsidRPr="00495B15">
              <w:rPr>
                <w:b/>
                <w:color w:val="000000"/>
                <w:sz w:val="24"/>
                <w:szCs w:val="24"/>
              </w:rPr>
              <w:t>Informacje o treści zawieranej umowy oraz możliwości jej zmiany</w:t>
            </w:r>
          </w:p>
        </w:tc>
      </w:tr>
      <w:tr w:rsidR="003D6B0E" w:rsidRPr="000E368E" w14:paraId="523E0016" w14:textId="77777777" w:rsidTr="00C27098">
        <w:tc>
          <w:tcPr>
            <w:tcW w:w="2518" w:type="dxa"/>
            <w:shd w:val="clear" w:color="auto" w:fill="auto"/>
          </w:tcPr>
          <w:p w14:paraId="3146F6DF" w14:textId="77777777" w:rsidR="003D6B0E" w:rsidRPr="000E368E" w:rsidRDefault="003D6B0E" w:rsidP="003D6B0E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12049" w:type="dxa"/>
            <w:shd w:val="clear" w:color="auto" w:fill="auto"/>
          </w:tcPr>
          <w:p w14:paraId="0F0DE236" w14:textId="77777777" w:rsidR="003D6B0E" w:rsidRDefault="003D6B0E" w:rsidP="003D6B0E">
            <w:pPr>
              <w:tabs>
                <w:tab w:val="left" w:pos="408"/>
              </w:tabs>
            </w:pPr>
            <w:r w:rsidRPr="0055145E">
              <w:t xml:space="preserve">Zamawiający przewiduje możliwość zmiany zawartej umowy w stosunku do treści wybranej oferty w zakresie uregulowanym w art. 454-455 </w:t>
            </w:r>
            <w:proofErr w:type="spellStart"/>
            <w:r w:rsidRPr="0055145E">
              <w:t>Pzp</w:t>
            </w:r>
            <w:proofErr w:type="spellEnd"/>
            <w:r w:rsidRPr="0055145E">
              <w:t xml:space="preserve">. Zamawiający wymaga od wykonawcy którego oferta zostanie wybrana, aby zawarł z nim umowę w sprawie zamówienia publicznego na warunkach określonych we wzorze umowy stanowiącym Rozdział SWZ. SWZ stanowi załącznik do umowy w sprawie zamówienia publicznego. Zakres świadczenia wykonawcy wynikający z umowy jest tożsamy z jego zobowiązaniem zawartym w ofercie. Zgodnie z art. 455. ust. 1. </w:t>
            </w:r>
            <w:proofErr w:type="spellStart"/>
            <w:r w:rsidRPr="0055145E">
              <w:t>Pzp</w:t>
            </w:r>
            <w:proofErr w:type="spellEnd"/>
            <w:r w:rsidRPr="0055145E">
              <w:t xml:space="preserve"> Zamawiający przewiduje w niniejszej SWZ (dokumentach zamówienia) możliwość dokonania zmiany umowy bez przeprowadzenia nowego postępowania o udzielenie zamówienia niezależnie od wartości tej zmiany. Zamawiający w Projektowanych  postanowieniach umowy w sprawie zamów</w:t>
            </w:r>
            <w:r>
              <w:t>ienia publicznego -  ROZDZIAŁ IV</w:t>
            </w:r>
            <w:r w:rsidRPr="0055145E">
              <w:t xml:space="preserve"> SWZ umieszcza jasne, precyzyjne i jednoznaczne postanowienia umowne, które obejmują postanowienia dotyczące zasad wprowadzania zmian.</w:t>
            </w:r>
          </w:p>
          <w:p w14:paraId="786EEB18" w14:textId="692F66C2" w:rsidR="003D6B0E" w:rsidRPr="005F5680" w:rsidRDefault="00222018" w:rsidP="003D6B0E">
            <w:pPr>
              <w:tabs>
                <w:tab w:val="left" w:pos="408"/>
              </w:tabs>
              <w:rPr>
                <w:b/>
              </w:rPr>
            </w:pPr>
            <w:r>
              <w:pict w14:anchorId="64AD58A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0pt;height:7.5pt" o:hrpct="0" o:hralign="center" o:hr="t">
                  <v:imagedata r:id="rId9" o:title="BD10290_"/>
                </v:shape>
              </w:pict>
            </w:r>
          </w:p>
        </w:tc>
      </w:tr>
    </w:tbl>
    <w:p w14:paraId="1D7F26FD" w14:textId="348CA089" w:rsidR="00304FB8" w:rsidRPr="000E368E" w:rsidRDefault="00BD2B22" w:rsidP="00304FB8">
      <w:r>
        <w:br w:type="textWrapping" w:clear="all"/>
      </w:r>
    </w:p>
    <w:sectPr w:rsidR="00304FB8" w:rsidRPr="000E368E" w:rsidSect="001A1707">
      <w:headerReference w:type="default" r:id="rId10"/>
      <w:footerReference w:type="default" r:id="rId11"/>
      <w:pgSz w:w="16838" w:h="11906" w:orient="landscape" w:code="9"/>
      <w:pgMar w:top="1304" w:right="1304" w:bottom="1304" w:left="136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19C49" w14:textId="77777777" w:rsidR="00D13E8D" w:rsidRDefault="00D13E8D" w:rsidP="00235CCF">
      <w:r>
        <w:separator/>
      </w:r>
    </w:p>
  </w:endnote>
  <w:endnote w:type="continuationSeparator" w:id="0">
    <w:p w14:paraId="7DF95092" w14:textId="77777777" w:rsidR="00D13E8D" w:rsidRDefault="00D13E8D" w:rsidP="0023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21647948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A58BB6F" w14:textId="7206B5A6" w:rsidR="007137B3" w:rsidRPr="008517C7" w:rsidRDefault="007137B3">
        <w:pPr>
          <w:pStyle w:val="Stopka"/>
          <w:jc w:val="right"/>
          <w:rPr>
            <w:rFonts w:eastAsiaTheme="majorEastAsia"/>
          </w:rPr>
        </w:pPr>
        <w:r w:rsidRPr="008517C7">
          <w:rPr>
            <w:rFonts w:eastAsiaTheme="majorEastAsia"/>
          </w:rPr>
          <w:t xml:space="preserve">str. </w:t>
        </w:r>
        <w:r w:rsidRPr="008517C7">
          <w:rPr>
            <w:rFonts w:eastAsiaTheme="minorEastAsia"/>
          </w:rPr>
          <w:fldChar w:fldCharType="begin"/>
        </w:r>
        <w:r w:rsidRPr="008517C7">
          <w:instrText>PAGE    \* MERGEFORMAT</w:instrText>
        </w:r>
        <w:r w:rsidRPr="008517C7">
          <w:rPr>
            <w:rFonts w:eastAsiaTheme="minorEastAsia"/>
          </w:rPr>
          <w:fldChar w:fldCharType="separate"/>
        </w:r>
        <w:r w:rsidR="00341A82" w:rsidRPr="00341A82">
          <w:rPr>
            <w:rFonts w:eastAsiaTheme="majorEastAsia"/>
            <w:noProof/>
          </w:rPr>
          <w:t>20</w:t>
        </w:r>
        <w:r w:rsidRPr="008517C7">
          <w:rPr>
            <w:rFonts w:eastAsiaTheme="majorEastAsia"/>
          </w:rPr>
          <w:fldChar w:fldCharType="end"/>
        </w:r>
      </w:p>
    </w:sdtContent>
  </w:sdt>
  <w:p w14:paraId="01792C6C" w14:textId="75F2B00C" w:rsidR="007137B3" w:rsidRDefault="007137B3" w:rsidP="005F5680">
    <w:pPr>
      <w:pStyle w:val="Stopka"/>
      <w:tabs>
        <w:tab w:val="clear" w:pos="4536"/>
        <w:tab w:val="clear" w:pos="9072"/>
        <w:tab w:val="left" w:pos="1267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4CA15" w14:textId="77777777" w:rsidR="00D13E8D" w:rsidRDefault="00D13E8D" w:rsidP="00235CCF">
      <w:r>
        <w:separator/>
      </w:r>
    </w:p>
  </w:footnote>
  <w:footnote w:type="continuationSeparator" w:id="0">
    <w:p w14:paraId="1F3DAC15" w14:textId="77777777" w:rsidR="00D13E8D" w:rsidRDefault="00D13E8D" w:rsidP="00235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15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897"/>
      <w:gridCol w:w="4506"/>
    </w:tblGrid>
    <w:tr w:rsidR="007137B3" w:rsidRPr="00F77F30" w14:paraId="7B5CEF48" w14:textId="77777777" w:rsidTr="00752C87">
      <w:trPr>
        <w:trHeight w:val="296"/>
      </w:trPr>
      <w:tc>
        <w:tcPr>
          <w:tcW w:w="9781" w:type="dxa"/>
          <w:shd w:val="clear" w:color="auto" w:fill="FFFFFF"/>
        </w:tcPr>
        <w:p w14:paraId="19C38818" w14:textId="77777777" w:rsidR="00EF4C34" w:rsidRPr="00F77F30" w:rsidRDefault="00EF4C34" w:rsidP="00EF4C34">
          <w:pPr>
            <w:pStyle w:val="Nagwek"/>
            <w:jc w:val="center"/>
            <w:rPr>
              <w:b/>
            </w:rPr>
          </w:pPr>
          <w:bookmarkStart w:id="7" w:name="_Hlk125444948"/>
          <w:r w:rsidRPr="00F77F30">
            <w:rPr>
              <w:b/>
            </w:rPr>
            <w:t>ROZDZIAŁ I</w:t>
          </w:r>
        </w:p>
        <w:p w14:paraId="10129954" w14:textId="77777777" w:rsidR="00387614" w:rsidRDefault="00EF4C34" w:rsidP="00387614">
          <w:pPr>
            <w:tabs>
              <w:tab w:val="left" w:pos="408"/>
            </w:tabs>
            <w:ind w:left="360"/>
            <w:jc w:val="center"/>
            <w:rPr>
              <w:b/>
              <w:sz w:val="22"/>
              <w:szCs w:val="22"/>
            </w:rPr>
          </w:pPr>
          <w:r w:rsidRPr="00F77F30">
            <w:rPr>
              <w:b/>
            </w:rPr>
            <w:t>-  INSTRUKCJA DLA WYKONAWCÓW</w:t>
          </w:r>
          <w:r w:rsidR="00387614">
            <w:rPr>
              <w:b/>
            </w:rPr>
            <w:br/>
          </w:r>
        </w:p>
        <w:p w14:paraId="451AF622" w14:textId="34AAC93D" w:rsidR="007137B3" w:rsidRPr="00F77F30" w:rsidRDefault="00387614" w:rsidP="00387614">
          <w:pPr>
            <w:tabs>
              <w:tab w:val="left" w:pos="408"/>
            </w:tabs>
            <w:ind w:left="360"/>
            <w:jc w:val="center"/>
            <w:rPr>
              <w:b/>
            </w:rPr>
          </w:pPr>
          <w:r w:rsidRPr="00387614">
            <w:rPr>
              <w:b/>
              <w:sz w:val="22"/>
              <w:szCs w:val="22"/>
            </w:rPr>
            <w:t xml:space="preserve">PODSTAWOWE INFORMACJE DOTYCZĄCE POSTĘPOWANIA </w:t>
          </w:r>
        </w:p>
      </w:tc>
      <w:tc>
        <w:tcPr>
          <w:tcW w:w="4453" w:type="dxa"/>
          <w:shd w:val="clear" w:color="auto" w:fill="FFFFFF"/>
          <w:vAlign w:val="center"/>
        </w:tcPr>
        <w:p w14:paraId="76D8EF30" w14:textId="0321BCCF" w:rsidR="0087222F" w:rsidRPr="00F77F30" w:rsidRDefault="00EF4C34" w:rsidP="0018419A">
          <w:pPr>
            <w:pStyle w:val="Nagwek"/>
            <w:jc w:val="center"/>
            <w:rPr>
              <w:bCs/>
            </w:rPr>
          </w:pPr>
          <w:r w:rsidRPr="00F51D06">
            <w:rPr>
              <w:noProof/>
            </w:rPr>
            <w:drawing>
              <wp:inline distT="0" distB="0" distL="0" distR="0" wp14:anchorId="526E9C91" wp14:editId="17814D4C">
                <wp:extent cx="1956391" cy="610520"/>
                <wp:effectExtent l="0" t="0" r="635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1"/>
                        <a:srcRect l="20424" t="32407" r="8223" b="39761"/>
                        <a:stretch/>
                      </pic:blipFill>
                      <pic:spPr bwMode="auto">
                        <a:xfrm>
                          <a:off x="0" y="0"/>
                          <a:ext cx="1974030" cy="6160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18419A">
            <w:rPr>
              <w:b/>
            </w:rPr>
            <w:t xml:space="preserve">   </w:t>
          </w:r>
          <w:r w:rsidR="0018419A">
            <w:rPr>
              <w:b/>
            </w:rPr>
            <w:br/>
          </w:r>
          <w:r w:rsidR="0087222F">
            <w:rPr>
              <w:b/>
            </w:rPr>
            <w:t xml:space="preserve">Wersja </w:t>
          </w:r>
          <w:r w:rsidR="0087222F" w:rsidRPr="00F77F30">
            <w:rPr>
              <w:b/>
            </w:rPr>
            <w:t>20</w:t>
          </w:r>
          <w:r w:rsidR="0087222F">
            <w:rPr>
              <w:b/>
            </w:rPr>
            <w:t>23</w:t>
          </w:r>
        </w:p>
      </w:tc>
    </w:tr>
    <w:tr w:rsidR="007137B3" w:rsidRPr="00F77F30" w14:paraId="240F3371" w14:textId="77777777" w:rsidTr="0016738F">
      <w:trPr>
        <w:trHeight w:val="1367"/>
      </w:trPr>
      <w:tc>
        <w:tcPr>
          <w:tcW w:w="14234" w:type="dxa"/>
          <w:gridSpan w:val="2"/>
          <w:shd w:val="clear" w:color="auto" w:fill="FFFFFF"/>
        </w:tcPr>
        <w:p w14:paraId="37549E42" w14:textId="3AE4675B" w:rsidR="007137B3" w:rsidRPr="00387614" w:rsidRDefault="007137B3" w:rsidP="00A47CCE">
          <w:pPr>
            <w:pStyle w:val="Tekstpodstawowy2"/>
            <w:spacing w:line="276" w:lineRule="auto"/>
            <w:jc w:val="center"/>
            <w:rPr>
              <w:b/>
              <w:sz w:val="22"/>
              <w:szCs w:val="22"/>
            </w:rPr>
          </w:pPr>
          <w:r w:rsidRPr="00387614">
            <w:rPr>
              <w:b/>
              <w:sz w:val="22"/>
              <w:szCs w:val="22"/>
            </w:rPr>
            <w:t xml:space="preserve">SPECYFIKACJA WARUNKÓW ZAMÓWIENIA </w:t>
          </w:r>
          <w:r w:rsidRPr="00387614">
            <w:rPr>
              <w:b/>
              <w:sz w:val="22"/>
              <w:szCs w:val="22"/>
            </w:rPr>
            <w:br/>
            <w:t>TRYB PODSTAWOWY -WARIANT BEZ NEGOCJACJI</w:t>
          </w:r>
          <w:r w:rsidRPr="00387614">
            <w:rPr>
              <w:b/>
              <w:sz w:val="22"/>
              <w:szCs w:val="22"/>
            </w:rPr>
            <w:br/>
            <w:t xml:space="preserve">(art. 275 ust 1 </w:t>
          </w:r>
          <w:proofErr w:type="spellStart"/>
          <w:r w:rsidRPr="00387614">
            <w:rPr>
              <w:b/>
              <w:sz w:val="22"/>
              <w:szCs w:val="22"/>
            </w:rPr>
            <w:t>Pzp</w:t>
          </w:r>
          <w:proofErr w:type="spellEnd"/>
          <w:r w:rsidR="00037244">
            <w:rPr>
              <w:b/>
              <w:sz w:val="22"/>
              <w:szCs w:val="22"/>
            </w:rPr>
            <w:t xml:space="preserve"> w związku z art. 30 ust. 4 </w:t>
          </w:r>
          <w:proofErr w:type="spellStart"/>
          <w:r w:rsidR="00037244">
            <w:rPr>
              <w:b/>
              <w:sz w:val="22"/>
              <w:szCs w:val="22"/>
            </w:rPr>
            <w:t>Pzp</w:t>
          </w:r>
          <w:proofErr w:type="spellEnd"/>
          <w:r w:rsidR="00037244">
            <w:rPr>
              <w:b/>
              <w:sz w:val="22"/>
              <w:szCs w:val="22"/>
            </w:rPr>
            <w:t xml:space="preserve"> </w:t>
          </w:r>
          <w:r w:rsidRPr="00387614">
            <w:rPr>
              <w:b/>
              <w:sz w:val="22"/>
              <w:szCs w:val="22"/>
            </w:rPr>
            <w:t>)</w:t>
          </w:r>
        </w:p>
        <w:p w14:paraId="1E725AB9" w14:textId="438FFA1A" w:rsidR="007137B3" w:rsidRPr="00F77F30" w:rsidRDefault="007137B3" w:rsidP="00387614">
          <w:pPr>
            <w:pStyle w:val="Tekstpodstawowy2"/>
            <w:spacing w:line="276" w:lineRule="auto"/>
            <w:jc w:val="center"/>
            <w:rPr>
              <w:b/>
            </w:rPr>
          </w:pPr>
          <w:r w:rsidRPr="00387614">
            <w:rPr>
              <w:bCs/>
              <w:sz w:val="22"/>
              <w:szCs w:val="22"/>
            </w:rPr>
            <w:t>Numer referencyjny:</w:t>
          </w:r>
          <w:r w:rsidRPr="00387614">
            <w:rPr>
              <w:b/>
              <w:bCs/>
              <w:sz w:val="22"/>
              <w:szCs w:val="22"/>
            </w:rPr>
            <w:t xml:space="preserve"> </w:t>
          </w:r>
          <w:bookmarkStart w:id="8" w:name="_Hlk135817091"/>
          <w:r w:rsidRPr="00387614">
            <w:rPr>
              <w:b/>
              <w:bCs/>
              <w:sz w:val="22"/>
              <w:szCs w:val="22"/>
            </w:rPr>
            <w:t>PZDW/WZP/243/</w:t>
          </w:r>
          <w:r w:rsidR="0068066A">
            <w:rPr>
              <w:b/>
              <w:bCs/>
              <w:sz w:val="22"/>
              <w:szCs w:val="22"/>
            </w:rPr>
            <w:t>W</w:t>
          </w:r>
          <w:r w:rsidR="00D51F6F">
            <w:rPr>
              <w:b/>
              <w:bCs/>
              <w:sz w:val="22"/>
              <w:szCs w:val="22"/>
            </w:rPr>
            <w:t>A</w:t>
          </w:r>
          <w:r w:rsidR="0068066A">
            <w:rPr>
              <w:b/>
              <w:bCs/>
              <w:sz w:val="22"/>
              <w:szCs w:val="22"/>
            </w:rPr>
            <w:t>/</w:t>
          </w:r>
          <w:r w:rsidR="00C20368">
            <w:rPr>
              <w:b/>
              <w:bCs/>
              <w:sz w:val="22"/>
              <w:szCs w:val="22"/>
            </w:rPr>
            <w:t>42</w:t>
          </w:r>
          <w:r w:rsidR="0068066A">
            <w:rPr>
              <w:b/>
              <w:bCs/>
              <w:sz w:val="22"/>
              <w:szCs w:val="22"/>
            </w:rPr>
            <w:t>/2023</w:t>
          </w:r>
          <w:bookmarkEnd w:id="8"/>
        </w:p>
      </w:tc>
    </w:tr>
    <w:bookmarkEnd w:id="7"/>
  </w:tbl>
  <w:p w14:paraId="76352D6B" w14:textId="77777777" w:rsidR="007137B3" w:rsidRPr="00B312AC" w:rsidRDefault="007137B3" w:rsidP="00235CCF">
    <w:pPr>
      <w:pStyle w:val="Nagwek"/>
      <w:rPr>
        <w:rFonts w:eastAsiaTheme="majorEastAsi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01743"/>
    <w:multiLevelType w:val="hybridMultilevel"/>
    <w:tmpl w:val="44E2F33A"/>
    <w:lvl w:ilvl="0" w:tplc="8FC62A44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B5B53D1"/>
    <w:multiLevelType w:val="hybridMultilevel"/>
    <w:tmpl w:val="96BC3AD8"/>
    <w:lvl w:ilvl="0" w:tplc="417EEE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043D8"/>
    <w:multiLevelType w:val="multilevel"/>
    <w:tmpl w:val="3E023DA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3" w15:restartNumberingAfterBreak="0">
    <w:nsid w:val="0F5140EA"/>
    <w:multiLevelType w:val="hybridMultilevel"/>
    <w:tmpl w:val="84E60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7E25D0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468E4"/>
    <w:multiLevelType w:val="hybridMultilevel"/>
    <w:tmpl w:val="5D54F46A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119C2"/>
    <w:multiLevelType w:val="hybridMultilevel"/>
    <w:tmpl w:val="B46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417DE"/>
    <w:multiLevelType w:val="hybridMultilevel"/>
    <w:tmpl w:val="900C8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0B6DB7"/>
    <w:multiLevelType w:val="hybridMultilevel"/>
    <w:tmpl w:val="3D0696FC"/>
    <w:lvl w:ilvl="0" w:tplc="B71C2E2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1" w15:restartNumberingAfterBreak="0">
    <w:nsid w:val="281B5113"/>
    <w:multiLevelType w:val="hybridMultilevel"/>
    <w:tmpl w:val="DC1EE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35ED4"/>
    <w:multiLevelType w:val="hybridMultilevel"/>
    <w:tmpl w:val="779E63B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6341A7"/>
    <w:multiLevelType w:val="hybridMultilevel"/>
    <w:tmpl w:val="EEDAA362"/>
    <w:lvl w:ilvl="0" w:tplc="0415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14" w15:restartNumberingAfterBreak="0">
    <w:nsid w:val="353F7F18"/>
    <w:multiLevelType w:val="hybridMultilevel"/>
    <w:tmpl w:val="B9601538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7C258CE"/>
    <w:multiLevelType w:val="hybridMultilevel"/>
    <w:tmpl w:val="51C8ED3A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DF5480"/>
    <w:multiLevelType w:val="hybridMultilevel"/>
    <w:tmpl w:val="E00A760C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60EA8"/>
    <w:multiLevelType w:val="hybridMultilevel"/>
    <w:tmpl w:val="8EC82650"/>
    <w:lvl w:ilvl="0" w:tplc="2B44556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E372A"/>
    <w:multiLevelType w:val="hybridMultilevel"/>
    <w:tmpl w:val="2ED63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3D7B35"/>
    <w:multiLevelType w:val="hybridMultilevel"/>
    <w:tmpl w:val="11449A48"/>
    <w:lvl w:ilvl="0" w:tplc="435ECE7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E6B2768"/>
    <w:multiLevelType w:val="hybridMultilevel"/>
    <w:tmpl w:val="44E2F33A"/>
    <w:lvl w:ilvl="0" w:tplc="8FC62A44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2" w15:restartNumberingAfterBreak="0">
    <w:nsid w:val="54685150"/>
    <w:multiLevelType w:val="hybridMultilevel"/>
    <w:tmpl w:val="95CC5E94"/>
    <w:lvl w:ilvl="0" w:tplc="D97CE8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4033B"/>
    <w:multiLevelType w:val="hybridMultilevel"/>
    <w:tmpl w:val="50F2D3DE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607E0CA9"/>
    <w:multiLevelType w:val="multilevel"/>
    <w:tmpl w:val="2000FF7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/>
        <w:color w:val="FF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b/>
        <w:color w:val="FF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b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b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b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b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b/>
        <w:color w:val="FF0000"/>
      </w:rPr>
    </w:lvl>
  </w:abstractNum>
  <w:abstractNum w:abstractNumId="26" w15:restartNumberingAfterBreak="0">
    <w:nsid w:val="63EB08DA"/>
    <w:multiLevelType w:val="hybridMultilevel"/>
    <w:tmpl w:val="A4F6D8FE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130048"/>
    <w:multiLevelType w:val="hybridMultilevel"/>
    <w:tmpl w:val="9906188C"/>
    <w:lvl w:ilvl="0" w:tplc="8B92042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43F13AE"/>
    <w:multiLevelType w:val="hybridMultilevel"/>
    <w:tmpl w:val="B8E8399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9" w15:restartNumberingAfterBreak="0">
    <w:nsid w:val="6A033FCA"/>
    <w:multiLevelType w:val="hybridMultilevel"/>
    <w:tmpl w:val="C406A0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C570DF5"/>
    <w:multiLevelType w:val="hybridMultilevel"/>
    <w:tmpl w:val="5268F6D2"/>
    <w:lvl w:ilvl="0" w:tplc="03CE4776">
      <w:start w:val="1"/>
      <w:numFmt w:val="decimal"/>
      <w:lvlText w:val="%1)"/>
      <w:lvlJc w:val="left"/>
      <w:pPr>
        <w:ind w:left="1083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7D11D9"/>
    <w:multiLevelType w:val="hybridMultilevel"/>
    <w:tmpl w:val="C596999A"/>
    <w:lvl w:ilvl="0" w:tplc="2A9060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EF62B87"/>
    <w:multiLevelType w:val="hybridMultilevel"/>
    <w:tmpl w:val="C3C4E6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E046D4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 w15:restartNumberingAfterBreak="0">
    <w:nsid w:val="718A0E6C"/>
    <w:multiLevelType w:val="hybridMultilevel"/>
    <w:tmpl w:val="3B8E0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BD45F1"/>
    <w:multiLevelType w:val="hybridMultilevel"/>
    <w:tmpl w:val="FCA87BB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5E566D"/>
    <w:multiLevelType w:val="multilevel"/>
    <w:tmpl w:val="13C241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7" w15:restartNumberingAfterBreak="0">
    <w:nsid w:val="7B6A577C"/>
    <w:multiLevelType w:val="hybridMultilevel"/>
    <w:tmpl w:val="DB469A56"/>
    <w:lvl w:ilvl="0" w:tplc="B71C2E2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AE7B9B"/>
    <w:multiLevelType w:val="hybridMultilevel"/>
    <w:tmpl w:val="6554AA1E"/>
    <w:lvl w:ilvl="0" w:tplc="6B4CABB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740327006">
    <w:abstractNumId w:val="16"/>
  </w:num>
  <w:num w:numId="2" w16cid:durableId="1912156747">
    <w:abstractNumId w:val="8"/>
  </w:num>
  <w:num w:numId="3" w16cid:durableId="342556789">
    <w:abstractNumId w:val="6"/>
  </w:num>
  <w:num w:numId="4" w16cid:durableId="37054322">
    <w:abstractNumId w:val="21"/>
  </w:num>
  <w:num w:numId="5" w16cid:durableId="1119494367">
    <w:abstractNumId w:val="14"/>
  </w:num>
  <w:num w:numId="6" w16cid:durableId="1747726194">
    <w:abstractNumId w:val="33"/>
  </w:num>
  <w:num w:numId="7" w16cid:durableId="1355694160">
    <w:abstractNumId w:val="24"/>
  </w:num>
  <w:num w:numId="8" w16cid:durableId="102068376">
    <w:abstractNumId w:val="10"/>
  </w:num>
  <w:num w:numId="9" w16cid:durableId="1778870820">
    <w:abstractNumId w:val="7"/>
  </w:num>
  <w:num w:numId="10" w16cid:durableId="1612860561">
    <w:abstractNumId w:val="9"/>
  </w:num>
  <w:num w:numId="11" w16cid:durableId="699284704">
    <w:abstractNumId w:val="29"/>
  </w:num>
  <w:num w:numId="12" w16cid:durableId="2112243467">
    <w:abstractNumId w:val="20"/>
  </w:num>
  <w:num w:numId="13" w16cid:durableId="1647470545">
    <w:abstractNumId w:val="38"/>
  </w:num>
  <w:num w:numId="14" w16cid:durableId="418716615">
    <w:abstractNumId w:val="34"/>
  </w:num>
  <w:num w:numId="15" w16cid:durableId="298220376">
    <w:abstractNumId w:val="18"/>
  </w:num>
  <w:num w:numId="16" w16cid:durableId="1442264728">
    <w:abstractNumId w:val="2"/>
  </w:num>
  <w:num w:numId="17" w16cid:durableId="1270964468">
    <w:abstractNumId w:val="36"/>
  </w:num>
  <w:num w:numId="18" w16cid:durableId="2144077877">
    <w:abstractNumId w:val="11"/>
  </w:num>
  <w:num w:numId="19" w16cid:durableId="829294271">
    <w:abstractNumId w:val="0"/>
  </w:num>
  <w:num w:numId="20" w16cid:durableId="144324482">
    <w:abstractNumId w:val="22"/>
  </w:num>
  <w:num w:numId="21" w16cid:durableId="1716612452">
    <w:abstractNumId w:val="1"/>
  </w:num>
  <w:num w:numId="22" w16cid:durableId="589001335">
    <w:abstractNumId w:val="3"/>
  </w:num>
  <w:num w:numId="23" w16cid:durableId="1802531956">
    <w:abstractNumId w:val="12"/>
  </w:num>
  <w:num w:numId="24" w16cid:durableId="1706980784">
    <w:abstractNumId w:val="27"/>
  </w:num>
  <w:num w:numId="25" w16cid:durableId="1329867645">
    <w:abstractNumId w:val="23"/>
  </w:num>
  <w:num w:numId="26" w16cid:durableId="936056308">
    <w:abstractNumId w:val="26"/>
  </w:num>
  <w:num w:numId="27" w16cid:durableId="249975029">
    <w:abstractNumId w:val="4"/>
  </w:num>
  <w:num w:numId="28" w16cid:durableId="92669537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1212728">
    <w:abstractNumId w:val="35"/>
  </w:num>
  <w:num w:numId="30" w16cid:durableId="1433940189">
    <w:abstractNumId w:val="15"/>
  </w:num>
  <w:num w:numId="31" w16cid:durableId="1917124894">
    <w:abstractNumId w:val="5"/>
  </w:num>
  <w:num w:numId="32" w16cid:durableId="3801748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972080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74372288">
    <w:abstractNumId w:val="31"/>
  </w:num>
  <w:num w:numId="35" w16cid:durableId="344137632">
    <w:abstractNumId w:val="32"/>
  </w:num>
  <w:num w:numId="36" w16cid:durableId="1133212577">
    <w:abstractNumId w:val="28"/>
  </w:num>
  <w:num w:numId="37" w16cid:durableId="10147213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2475997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45248057">
    <w:abstractNumId w:val="13"/>
  </w:num>
  <w:num w:numId="40" w16cid:durableId="1530407771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1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D03"/>
    <w:rsid w:val="000103C4"/>
    <w:rsid w:val="00010FC4"/>
    <w:rsid w:val="000133F7"/>
    <w:rsid w:val="0001388F"/>
    <w:rsid w:val="00014A37"/>
    <w:rsid w:val="00014DA3"/>
    <w:rsid w:val="00034973"/>
    <w:rsid w:val="00037244"/>
    <w:rsid w:val="00045E74"/>
    <w:rsid w:val="00065F58"/>
    <w:rsid w:val="00071195"/>
    <w:rsid w:val="00072D2C"/>
    <w:rsid w:val="000816BE"/>
    <w:rsid w:val="00084922"/>
    <w:rsid w:val="0008508B"/>
    <w:rsid w:val="000870BC"/>
    <w:rsid w:val="000A5B70"/>
    <w:rsid w:val="000A5CDB"/>
    <w:rsid w:val="000B4C05"/>
    <w:rsid w:val="000B4F9D"/>
    <w:rsid w:val="000C4078"/>
    <w:rsid w:val="000D1ED7"/>
    <w:rsid w:val="000D206E"/>
    <w:rsid w:val="000D26AD"/>
    <w:rsid w:val="000D3EA1"/>
    <w:rsid w:val="000D4DDC"/>
    <w:rsid w:val="000D7441"/>
    <w:rsid w:val="000D7EA9"/>
    <w:rsid w:val="000E2195"/>
    <w:rsid w:val="000E23EC"/>
    <w:rsid w:val="000E368E"/>
    <w:rsid w:val="000E530E"/>
    <w:rsid w:val="000E6CEC"/>
    <w:rsid w:val="000E7715"/>
    <w:rsid w:val="000F0CE7"/>
    <w:rsid w:val="000F162D"/>
    <w:rsid w:val="000F56F8"/>
    <w:rsid w:val="000F6CE6"/>
    <w:rsid w:val="00101EC8"/>
    <w:rsid w:val="00104E64"/>
    <w:rsid w:val="00111750"/>
    <w:rsid w:val="00111CEF"/>
    <w:rsid w:val="001129A2"/>
    <w:rsid w:val="001159E7"/>
    <w:rsid w:val="00123087"/>
    <w:rsid w:val="0012756B"/>
    <w:rsid w:val="001309B2"/>
    <w:rsid w:val="00136766"/>
    <w:rsid w:val="00143B08"/>
    <w:rsid w:val="00144954"/>
    <w:rsid w:val="00144D03"/>
    <w:rsid w:val="00146563"/>
    <w:rsid w:val="00146E98"/>
    <w:rsid w:val="00150796"/>
    <w:rsid w:val="001552AA"/>
    <w:rsid w:val="00155987"/>
    <w:rsid w:val="00156546"/>
    <w:rsid w:val="001579D9"/>
    <w:rsid w:val="00157D9E"/>
    <w:rsid w:val="001655FA"/>
    <w:rsid w:val="0016738F"/>
    <w:rsid w:val="00182F94"/>
    <w:rsid w:val="0018419A"/>
    <w:rsid w:val="001844C7"/>
    <w:rsid w:val="0018484C"/>
    <w:rsid w:val="00187645"/>
    <w:rsid w:val="001A1707"/>
    <w:rsid w:val="001A1B3A"/>
    <w:rsid w:val="001A6986"/>
    <w:rsid w:val="001A7B19"/>
    <w:rsid w:val="001A7BAA"/>
    <w:rsid w:val="001B0BC7"/>
    <w:rsid w:val="001B4E66"/>
    <w:rsid w:val="001C3B71"/>
    <w:rsid w:val="001C4751"/>
    <w:rsid w:val="001C7110"/>
    <w:rsid w:val="001D59B2"/>
    <w:rsid w:val="001D5EDC"/>
    <w:rsid w:val="001D6CF8"/>
    <w:rsid w:val="001D742C"/>
    <w:rsid w:val="001E2DD1"/>
    <w:rsid w:val="001F3677"/>
    <w:rsid w:val="00213EB6"/>
    <w:rsid w:val="00214F88"/>
    <w:rsid w:val="002204A9"/>
    <w:rsid w:val="002219CB"/>
    <w:rsid w:val="00222018"/>
    <w:rsid w:val="0022361E"/>
    <w:rsid w:val="002247AB"/>
    <w:rsid w:val="00225807"/>
    <w:rsid w:val="00226FE5"/>
    <w:rsid w:val="002275C7"/>
    <w:rsid w:val="00235716"/>
    <w:rsid w:val="00235CCF"/>
    <w:rsid w:val="00241AFF"/>
    <w:rsid w:val="00242D36"/>
    <w:rsid w:val="00244510"/>
    <w:rsid w:val="00250C58"/>
    <w:rsid w:val="00255583"/>
    <w:rsid w:val="0026125D"/>
    <w:rsid w:val="00261454"/>
    <w:rsid w:val="002632D6"/>
    <w:rsid w:val="002709B0"/>
    <w:rsid w:val="0027230C"/>
    <w:rsid w:val="002731E2"/>
    <w:rsid w:val="00274B1B"/>
    <w:rsid w:val="0027567A"/>
    <w:rsid w:val="0028200F"/>
    <w:rsid w:val="0028430E"/>
    <w:rsid w:val="0028668E"/>
    <w:rsid w:val="002878F2"/>
    <w:rsid w:val="002A31E4"/>
    <w:rsid w:val="002A34D3"/>
    <w:rsid w:val="002B1336"/>
    <w:rsid w:val="002B553F"/>
    <w:rsid w:val="002C03DD"/>
    <w:rsid w:val="002C2C0D"/>
    <w:rsid w:val="002C3426"/>
    <w:rsid w:val="002D3583"/>
    <w:rsid w:val="002D5360"/>
    <w:rsid w:val="002D6127"/>
    <w:rsid w:val="002D73FD"/>
    <w:rsid w:val="002E0079"/>
    <w:rsid w:val="002E0E10"/>
    <w:rsid w:val="00302324"/>
    <w:rsid w:val="00304FB8"/>
    <w:rsid w:val="003061D7"/>
    <w:rsid w:val="00306A7E"/>
    <w:rsid w:val="0031102F"/>
    <w:rsid w:val="0031167F"/>
    <w:rsid w:val="00322BF1"/>
    <w:rsid w:val="00325CB4"/>
    <w:rsid w:val="00336A07"/>
    <w:rsid w:val="00337503"/>
    <w:rsid w:val="00341A82"/>
    <w:rsid w:val="00342164"/>
    <w:rsid w:val="0034485C"/>
    <w:rsid w:val="00351738"/>
    <w:rsid w:val="003532A1"/>
    <w:rsid w:val="003544E6"/>
    <w:rsid w:val="00357737"/>
    <w:rsid w:val="00362A53"/>
    <w:rsid w:val="0036352D"/>
    <w:rsid w:val="003672FC"/>
    <w:rsid w:val="0037530F"/>
    <w:rsid w:val="00387614"/>
    <w:rsid w:val="00393CBA"/>
    <w:rsid w:val="00394375"/>
    <w:rsid w:val="00397114"/>
    <w:rsid w:val="003A3BB8"/>
    <w:rsid w:val="003A6CA4"/>
    <w:rsid w:val="003A7019"/>
    <w:rsid w:val="003B447D"/>
    <w:rsid w:val="003C0F1E"/>
    <w:rsid w:val="003C2AEE"/>
    <w:rsid w:val="003C46C7"/>
    <w:rsid w:val="003C56BD"/>
    <w:rsid w:val="003C5819"/>
    <w:rsid w:val="003C6953"/>
    <w:rsid w:val="003D020A"/>
    <w:rsid w:val="003D1D50"/>
    <w:rsid w:val="003D6B0E"/>
    <w:rsid w:val="003E38AA"/>
    <w:rsid w:val="003E3C90"/>
    <w:rsid w:val="003E5CE7"/>
    <w:rsid w:val="003F0E4F"/>
    <w:rsid w:val="003F13D2"/>
    <w:rsid w:val="003F1745"/>
    <w:rsid w:val="003F5A3A"/>
    <w:rsid w:val="0040172F"/>
    <w:rsid w:val="0040589A"/>
    <w:rsid w:val="00415327"/>
    <w:rsid w:val="0041647B"/>
    <w:rsid w:val="004169D9"/>
    <w:rsid w:val="00426065"/>
    <w:rsid w:val="00430759"/>
    <w:rsid w:val="0043294F"/>
    <w:rsid w:val="00435575"/>
    <w:rsid w:val="004370C5"/>
    <w:rsid w:val="00440A52"/>
    <w:rsid w:val="00443B1A"/>
    <w:rsid w:val="00444C22"/>
    <w:rsid w:val="00447C58"/>
    <w:rsid w:val="00450F04"/>
    <w:rsid w:val="004530E7"/>
    <w:rsid w:val="00453DE6"/>
    <w:rsid w:val="00456139"/>
    <w:rsid w:val="0045749E"/>
    <w:rsid w:val="004808FC"/>
    <w:rsid w:val="004919B6"/>
    <w:rsid w:val="00493B97"/>
    <w:rsid w:val="00493E2B"/>
    <w:rsid w:val="004959E6"/>
    <w:rsid w:val="00495ACA"/>
    <w:rsid w:val="00495B15"/>
    <w:rsid w:val="004A440C"/>
    <w:rsid w:val="004A6BC6"/>
    <w:rsid w:val="004A7A77"/>
    <w:rsid w:val="004B205A"/>
    <w:rsid w:val="004C13DA"/>
    <w:rsid w:val="004C554F"/>
    <w:rsid w:val="004C6385"/>
    <w:rsid w:val="004D0C3A"/>
    <w:rsid w:val="004D2272"/>
    <w:rsid w:val="004D402B"/>
    <w:rsid w:val="004E4A14"/>
    <w:rsid w:val="004E631D"/>
    <w:rsid w:val="004F679B"/>
    <w:rsid w:val="00500E86"/>
    <w:rsid w:val="00505683"/>
    <w:rsid w:val="00507F54"/>
    <w:rsid w:val="00510BFD"/>
    <w:rsid w:val="005208F3"/>
    <w:rsid w:val="0052349A"/>
    <w:rsid w:val="00532309"/>
    <w:rsid w:val="005411B1"/>
    <w:rsid w:val="00546118"/>
    <w:rsid w:val="0055496E"/>
    <w:rsid w:val="005569F5"/>
    <w:rsid w:val="005762DB"/>
    <w:rsid w:val="0058505A"/>
    <w:rsid w:val="00586363"/>
    <w:rsid w:val="00591F11"/>
    <w:rsid w:val="005926B6"/>
    <w:rsid w:val="00595887"/>
    <w:rsid w:val="005A3B04"/>
    <w:rsid w:val="005B231D"/>
    <w:rsid w:val="005B5A84"/>
    <w:rsid w:val="005D0184"/>
    <w:rsid w:val="005D0F64"/>
    <w:rsid w:val="005D18BA"/>
    <w:rsid w:val="005D6002"/>
    <w:rsid w:val="005D698C"/>
    <w:rsid w:val="005E58F2"/>
    <w:rsid w:val="005E7210"/>
    <w:rsid w:val="005F0726"/>
    <w:rsid w:val="005F3B4B"/>
    <w:rsid w:val="005F5680"/>
    <w:rsid w:val="005F6497"/>
    <w:rsid w:val="00601A19"/>
    <w:rsid w:val="006020D6"/>
    <w:rsid w:val="00607781"/>
    <w:rsid w:val="00610172"/>
    <w:rsid w:val="00610D3D"/>
    <w:rsid w:val="00613614"/>
    <w:rsid w:val="0061385E"/>
    <w:rsid w:val="0061673C"/>
    <w:rsid w:val="00622270"/>
    <w:rsid w:val="0062767B"/>
    <w:rsid w:val="00630025"/>
    <w:rsid w:val="00630FB6"/>
    <w:rsid w:val="00633019"/>
    <w:rsid w:val="00643475"/>
    <w:rsid w:val="00647472"/>
    <w:rsid w:val="00660E1B"/>
    <w:rsid w:val="0068066A"/>
    <w:rsid w:val="00691CEC"/>
    <w:rsid w:val="00692728"/>
    <w:rsid w:val="00695ECC"/>
    <w:rsid w:val="00696580"/>
    <w:rsid w:val="006A586A"/>
    <w:rsid w:val="006B1DF3"/>
    <w:rsid w:val="006C2AC7"/>
    <w:rsid w:val="006C3181"/>
    <w:rsid w:val="006C451B"/>
    <w:rsid w:val="006D0499"/>
    <w:rsid w:val="006D112A"/>
    <w:rsid w:val="006D4580"/>
    <w:rsid w:val="006D59DE"/>
    <w:rsid w:val="006D73AC"/>
    <w:rsid w:val="006E2D53"/>
    <w:rsid w:val="006E2E75"/>
    <w:rsid w:val="006E4B8D"/>
    <w:rsid w:val="006F26E0"/>
    <w:rsid w:val="006F276B"/>
    <w:rsid w:val="006F2CF3"/>
    <w:rsid w:val="006F3BCE"/>
    <w:rsid w:val="006F6586"/>
    <w:rsid w:val="00707C70"/>
    <w:rsid w:val="00710546"/>
    <w:rsid w:val="00711EA9"/>
    <w:rsid w:val="00712189"/>
    <w:rsid w:val="007137B3"/>
    <w:rsid w:val="00715C52"/>
    <w:rsid w:val="00724EDB"/>
    <w:rsid w:val="00725114"/>
    <w:rsid w:val="00727219"/>
    <w:rsid w:val="00732BA2"/>
    <w:rsid w:val="00741189"/>
    <w:rsid w:val="007413C9"/>
    <w:rsid w:val="007505EA"/>
    <w:rsid w:val="00750BDD"/>
    <w:rsid w:val="00750BE5"/>
    <w:rsid w:val="00752C87"/>
    <w:rsid w:val="00753D3B"/>
    <w:rsid w:val="007549EE"/>
    <w:rsid w:val="0075535C"/>
    <w:rsid w:val="00756FEC"/>
    <w:rsid w:val="00761644"/>
    <w:rsid w:val="00764E22"/>
    <w:rsid w:val="00765CD1"/>
    <w:rsid w:val="00770862"/>
    <w:rsid w:val="007720E9"/>
    <w:rsid w:val="00772622"/>
    <w:rsid w:val="00776E02"/>
    <w:rsid w:val="00781724"/>
    <w:rsid w:val="007847A4"/>
    <w:rsid w:val="00791570"/>
    <w:rsid w:val="0079311F"/>
    <w:rsid w:val="007A0804"/>
    <w:rsid w:val="007A3225"/>
    <w:rsid w:val="007A419A"/>
    <w:rsid w:val="007B5970"/>
    <w:rsid w:val="007B6D41"/>
    <w:rsid w:val="007B7294"/>
    <w:rsid w:val="007B7325"/>
    <w:rsid w:val="007B75D4"/>
    <w:rsid w:val="007C515C"/>
    <w:rsid w:val="007C5B46"/>
    <w:rsid w:val="007C7726"/>
    <w:rsid w:val="007D0FA9"/>
    <w:rsid w:val="007E0508"/>
    <w:rsid w:val="007E1A08"/>
    <w:rsid w:val="007E61D1"/>
    <w:rsid w:val="007E625C"/>
    <w:rsid w:val="007F18D9"/>
    <w:rsid w:val="007F6F4E"/>
    <w:rsid w:val="00803B03"/>
    <w:rsid w:val="00803B2B"/>
    <w:rsid w:val="00805709"/>
    <w:rsid w:val="00805ADD"/>
    <w:rsid w:val="00807B52"/>
    <w:rsid w:val="008142B1"/>
    <w:rsid w:val="00814FD0"/>
    <w:rsid w:val="00824583"/>
    <w:rsid w:val="00825994"/>
    <w:rsid w:val="0082654E"/>
    <w:rsid w:val="00830F51"/>
    <w:rsid w:val="00833FE6"/>
    <w:rsid w:val="008360BC"/>
    <w:rsid w:val="00841BEA"/>
    <w:rsid w:val="008467CF"/>
    <w:rsid w:val="008501B7"/>
    <w:rsid w:val="00851164"/>
    <w:rsid w:val="00851676"/>
    <w:rsid w:val="008517C7"/>
    <w:rsid w:val="008537C3"/>
    <w:rsid w:val="008613B2"/>
    <w:rsid w:val="00864869"/>
    <w:rsid w:val="0087222F"/>
    <w:rsid w:val="0087418E"/>
    <w:rsid w:val="00875739"/>
    <w:rsid w:val="00875872"/>
    <w:rsid w:val="00882C1C"/>
    <w:rsid w:val="00882E7B"/>
    <w:rsid w:val="00887E45"/>
    <w:rsid w:val="00890C36"/>
    <w:rsid w:val="008A0A43"/>
    <w:rsid w:val="008A62FE"/>
    <w:rsid w:val="008B11D8"/>
    <w:rsid w:val="008C45F0"/>
    <w:rsid w:val="008D17A1"/>
    <w:rsid w:val="008D64CB"/>
    <w:rsid w:val="008D7044"/>
    <w:rsid w:val="008E0C69"/>
    <w:rsid w:val="008E0D4F"/>
    <w:rsid w:val="008E65F2"/>
    <w:rsid w:val="00900331"/>
    <w:rsid w:val="009008C0"/>
    <w:rsid w:val="009021D4"/>
    <w:rsid w:val="00903BE3"/>
    <w:rsid w:val="00906403"/>
    <w:rsid w:val="00914D9F"/>
    <w:rsid w:val="00920050"/>
    <w:rsid w:val="00920B21"/>
    <w:rsid w:val="0093019C"/>
    <w:rsid w:val="00931EBD"/>
    <w:rsid w:val="00934F3C"/>
    <w:rsid w:val="00936769"/>
    <w:rsid w:val="009367F5"/>
    <w:rsid w:val="0094133F"/>
    <w:rsid w:val="00944AEE"/>
    <w:rsid w:val="0094602A"/>
    <w:rsid w:val="009619B4"/>
    <w:rsid w:val="00963CA8"/>
    <w:rsid w:val="00967E45"/>
    <w:rsid w:val="00987E31"/>
    <w:rsid w:val="0099406A"/>
    <w:rsid w:val="0099732E"/>
    <w:rsid w:val="009A2D45"/>
    <w:rsid w:val="009B5BD0"/>
    <w:rsid w:val="009C520F"/>
    <w:rsid w:val="009C59C3"/>
    <w:rsid w:val="009E17C5"/>
    <w:rsid w:val="009E2DF6"/>
    <w:rsid w:val="009E7B3F"/>
    <w:rsid w:val="009F7ED2"/>
    <w:rsid w:val="00A06ABD"/>
    <w:rsid w:val="00A12832"/>
    <w:rsid w:val="00A13178"/>
    <w:rsid w:val="00A13C3E"/>
    <w:rsid w:val="00A312CD"/>
    <w:rsid w:val="00A3373E"/>
    <w:rsid w:val="00A3636A"/>
    <w:rsid w:val="00A37420"/>
    <w:rsid w:val="00A42AA6"/>
    <w:rsid w:val="00A464F6"/>
    <w:rsid w:val="00A47CCE"/>
    <w:rsid w:val="00A56D35"/>
    <w:rsid w:val="00A6454D"/>
    <w:rsid w:val="00A7088C"/>
    <w:rsid w:val="00A71098"/>
    <w:rsid w:val="00A82165"/>
    <w:rsid w:val="00A825EE"/>
    <w:rsid w:val="00A91EB5"/>
    <w:rsid w:val="00A91F26"/>
    <w:rsid w:val="00A926DE"/>
    <w:rsid w:val="00A94552"/>
    <w:rsid w:val="00A9568F"/>
    <w:rsid w:val="00A97124"/>
    <w:rsid w:val="00A9741D"/>
    <w:rsid w:val="00AA0169"/>
    <w:rsid w:val="00AA30C3"/>
    <w:rsid w:val="00AA39A4"/>
    <w:rsid w:val="00AA5048"/>
    <w:rsid w:val="00AA6102"/>
    <w:rsid w:val="00AB436A"/>
    <w:rsid w:val="00AB43BC"/>
    <w:rsid w:val="00AB5590"/>
    <w:rsid w:val="00AC6605"/>
    <w:rsid w:val="00AC79C6"/>
    <w:rsid w:val="00AD141F"/>
    <w:rsid w:val="00AE49B9"/>
    <w:rsid w:val="00AE5642"/>
    <w:rsid w:val="00AF0167"/>
    <w:rsid w:val="00AF097F"/>
    <w:rsid w:val="00AF1C8F"/>
    <w:rsid w:val="00AF2F53"/>
    <w:rsid w:val="00B02DEE"/>
    <w:rsid w:val="00B03D3D"/>
    <w:rsid w:val="00B06F90"/>
    <w:rsid w:val="00B0725C"/>
    <w:rsid w:val="00B10C20"/>
    <w:rsid w:val="00B1334C"/>
    <w:rsid w:val="00B13A24"/>
    <w:rsid w:val="00B27A94"/>
    <w:rsid w:val="00B32CA0"/>
    <w:rsid w:val="00B352AD"/>
    <w:rsid w:val="00B44041"/>
    <w:rsid w:val="00B52ADA"/>
    <w:rsid w:val="00B64B7F"/>
    <w:rsid w:val="00B65B7A"/>
    <w:rsid w:val="00B67FD1"/>
    <w:rsid w:val="00B71C90"/>
    <w:rsid w:val="00B72965"/>
    <w:rsid w:val="00B74602"/>
    <w:rsid w:val="00B7708D"/>
    <w:rsid w:val="00B77728"/>
    <w:rsid w:val="00B80D33"/>
    <w:rsid w:val="00B83680"/>
    <w:rsid w:val="00B837EF"/>
    <w:rsid w:val="00B8507F"/>
    <w:rsid w:val="00B96456"/>
    <w:rsid w:val="00BA4922"/>
    <w:rsid w:val="00BA4DD4"/>
    <w:rsid w:val="00BA7B93"/>
    <w:rsid w:val="00BB13EA"/>
    <w:rsid w:val="00BC2677"/>
    <w:rsid w:val="00BD2AE4"/>
    <w:rsid w:val="00BD2B22"/>
    <w:rsid w:val="00BE50F4"/>
    <w:rsid w:val="00BE7884"/>
    <w:rsid w:val="00C11DC2"/>
    <w:rsid w:val="00C12399"/>
    <w:rsid w:val="00C152B8"/>
    <w:rsid w:val="00C15AB7"/>
    <w:rsid w:val="00C16536"/>
    <w:rsid w:val="00C178B9"/>
    <w:rsid w:val="00C202C9"/>
    <w:rsid w:val="00C20368"/>
    <w:rsid w:val="00C25600"/>
    <w:rsid w:val="00C27098"/>
    <w:rsid w:val="00C30CF6"/>
    <w:rsid w:val="00C30F39"/>
    <w:rsid w:val="00C368B6"/>
    <w:rsid w:val="00C46C0A"/>
    <w:rsid w:val="00C47FE9"/>
    <w:rsid w:val="00C50BF1"/>
    <w:rsid w:val="00C5504B"/>
    <w:rsid w:val="00C72982"/>
    <w:rsid w:val="00C754D6"/>
    <w:rsid w:val="00C8096C"/>
    <w:rsid w:val="00C83596"/>
    <w:rsid w:val="00C87D25"/>
    <w:rsid w:val="00CA2755"/>
    <w:rsid w:val="00CA4F49"/>
    <w:rsid w:val="00CA5F17"/>
    <w:rsid w:val="00CB1FEE"/>
    <w:rsid w:val="00CB44F6"/>
    <w:rsid w:val="00CB5219"/>
    <w:rsid w:val="00CB52EB"/>
    <w:rsid w:val="00CB6F73"/>
    <w:rsid w:val="00CB72EF"/>
    <w:rsid w:val="00CD12EF"/>
    <w:rsid w:val="00CD2200"/>
    <w:rsid w:val="00CD55EA"/>
    <w:rsid w:val="00CF257B"/>
    <w:rsid w:val="00CF3C0C"/>
    <w:rsid w:val="00CF5590"/>
    <w:rsid w:val="00CF579B"/>
    <w:rsid w:val="00D120E2"/>
    <w:rsid w:val="00D13E8D"/>
    <w:rsid w:val="00D262FC"/>
    <w:rsid w:val="00D32FC9"/>
    <w:rsid w:val="00D33DFF"/>
    <w:rsid w:val="00D34BD4"/>
    <w:rsid w:val="00D44056"/>
    <w:rsid w:val="00D457B9"/>
    <w:rsid w:val="00D45B6A"/>
    <w:rsid w:val="00D4706C"/>
    <w:rsid w:val="00D51F6F"/>
    <w:rsid w:val="00D632E7"/>
    <w:rsid w:val="00D664EC"/>
    <w:rsid w:val="00D74B4E"/>
    <w:rsid w:val="00D836FF"/>
    <w:rsid w:val="00D9147C"/>
    <w:rsid w:val="00D92581"/>
    <w:rsid w:val="00DA2BA0"/>
    <w:rsid w:val="00DA3A45"/>
    <w:rsid w:val="00DB4B29"/>
    <w:rsid w:val="00DC3253"/>
    <w:rsid w:val="00DC3B64"/>
    <w:rsid w:val="00DC6A53"/>
    <w:rsid w:val="00DD0FE7"/>
    <w:rsid w:val="00DD2CDF"/>
    <w:rsid w:val="00DD3C2E"/>
    <w:rsid w:val="00DD4849"/>
    <w:rsid w:val="00DE23D4"/>
    <w:rsid w:val="00DF091C"/>
    <w:rsid w:val="00DF1A17"/>
    <w:rsid w:val="00DF23C9"/>
    <w:rsid w:val="00DF2F32"/>
    <w:rsid w:val="00DF5007"/>
    <w:rsid w:val="00DF6068"/>
    <w:rsid w:val="00E101C9"/>
    <w:rsid w:val="00E13462"/>
    <w:rsid w:val="00E14E37"/>
    <w:rsid w:val="00E15A75"/>
    <w:rsid w:val="00E21E0F"/>
    <w:rsid w:val="00E220AB"/>
    <w:rsid w:val="00E22DAE"/>
    <w:rsid w:val="00E246FD"/>
    <w:rsid w:val="00E261AA"/>
    <w:rsid w:val="00E30967"/>
    <w:rsid w:val="00E3598B"/>
    <w:rsid w:val="00E36E12"/>
    <w:rsid w:val="00E37622"/>
    <w:rsid w:val="00E4287A"/>
    <w:rsid w:val="00E51FB6"/>
    <w:rsid w:val="00E64F31"/>
    <w:rsid w:val="00E663E1"/>
    <w:rsid w:val="00E7136F"/>
    <w:rsid w:val="00E75174"/>
    <w:rsid w:val="00E82CD6"/>
    <w:rsid w:val="00E93F87"/>
    <w:rsid w:val="00EA6DEE"/>
    <w:rsid w:val="00EB6695"/>
    <w:rsid w:val="00EC30DE"/>
    <w:rsid w:val="00EC5274"/>
    <w:rsid w:val="00ED0780"/>
    <w:rsid w:val="00ED2406"/>
    <w:rsid w:val="00ED48C8"/>
    <w:rsid w:val="00ED4C77"/>
    <w:rsid w:val="00EE6B70"/>
    <w:rsid w:val="00EF4C34"/>
    <w:rsid w:val="00F03300"/>
    <w:rsid w:val="00F04755"/>
    <w:rsid w:val="00F0644D"/>
    <w:rsid w:val="00F06819"/>
    <w:rsid w:val="00F21635"/>
    <w:rsid w:val="00F25EC9"/>
    <w:rsid w:val="00F34662"/>
    <w:rsid w:val="00F36E9D"/>
    <w:rsid w:val="00F37912"/>
    <w:rsid w:val="00F403CE"/>
    <w:rsid w:val="00F4236A"/>
    <w:rsid w:val="00F45ED1"/>
    <w:rsid w:val="00F45F54"/>
    <w:rsid w:val="00F50499"/>
    <w:rsid w:val="00F51249"/>
    <w:rsid w:val="00F5199E"/>
    <w:rsid w:val="00F53556"/>
    <w:rsid w:val="00F6231D"/>
    <w:rsid w:val="00F626BE"/>
    <w:rsid w:val="00F7793D"/>
    <w:rsid w:val="00F8218A"/>
    <w:rsid w:val="00FA18C3"/>
    <w:rsid w:val="00FA49C7"/>
    <w:rsid w:val="00FA5E35"/>
    <w:rsid w:val="00FC2423"/>
    <w:rsid w:val="00FC549A"/>
    <w:rsid w:val="00FC60BC"/>
    <w:rsid w:val="00FD6C27"/>
    <w:rsid w:val="00FE0510"/>
    <w:rsid w:val="00FE43F5"/>
    <w:rsid w:val="00FE68FA"/>
    <w:rsid w:val="00FF2F85"/>
    <w:rsid w:val="00FF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enu v:ext="edit" fillcolor="none"/>
    </o:shapedefaults>
    <o:shapelayout v:ext="edit">
      <o:idmap v:ext="edit" data="2"/>
    </o:shapelayout>
  </w:shapeDefaults>
  <w:decimalSymbol w:val=","/>
  <w:listSeparator w:val=";"/>
  <w14:docId w14:val="6EF49D73"/>
  <w15:docId w15:val="{353E72F8-FCF4-4722-B8E6-CD3A85F34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F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,BulletC,Obiekt,List Paragraph,Wyliczanie,Wypunktowanie,Nagłowek 3,lp1"/>
    <w:basedOn w:val="Normalny"/>
    <w:link w:val="AkapitzlistZnak"/>
    <w:uiPriority w:val="34"/>
    <w:qFormat/>
    <w:rsid w:val="00304FB8"/>
    <w:pPr>
      <w:ind w:left="708"/>
    </w:pPr>
  </w:style>
  <w:style w:type="paragraph" w:customStyle="1" w:styleId="Default">
    <w:name w:val="Default"/>
    <w:rsid w:val="00304F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34"/>
    <w:qFormat/>
    <w:locked/>
    <w:rsid w:val="00304FB8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1"/>
    <w:rsid w:val="00235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35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5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C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CC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7B6D41"/>
    <w:pPr>
      <w:widowControl/>
      <w:autoSpaceDE/>
      <w:autoSpaceDN/>
      <w:adjustRightInd/>
      <w:spacing w:line="360" w:lineRule="auto"/>
      <w:ind w:left="1497" w:hanging="510"/>
      <w:jc w:val="both"/>
    </w:pPr>
    <w:rPr>
      <w:rFonts w:ascii="Times" w:hAnsi="Times"/>
      <w:bCs/>
      <w:sz w:val="24"/>
    </w:rPr>
  </w:style>
  <w:style w:type="paragraph" w:styleId="Zwykytekst">
    <w:name w:val="Plain Text"/>
    <w:basedOn w:val="Normalny"/>
    <w:link w:val="ZwykytekstZnak"/>
    <w:rsid w:val="00155987"/>
    <w:pPr>
      <w:widowControl/>
      <w:adjustRightInd/>
      <w:spacing w:before="90" w:line="380" w:lineRule="atLeast"/>
      <w:jc w:val="both"/>
    </w:pPr>
    <w:rPr>
      <w:rFonts w:ascii="Courier New" w:hAnsi="Courier New" w:cs="Times New Roman"/>
      <w:w w:val="89"/>
      <w:sz w:val="25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155987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622270"/>
    <w:pPr>
      <w:widowControl/>
      <w:autoSpaceDE/>
      <w:autoSpaceDN/>
      <w:adjustRightInd/>
      <w:spacing w:line="360" w:lineRule="auto"/>
      <w:ind w:left="1893" w:hanging="510"/>
      <w:jc w:val="both"/>
    </w:pPr>
    <w:rPr>
      <w:rFonts w:ascii="Times" w:hAnsi="Times"/>
      <w:bCs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2AC7"/>
    <w:pPr>
      <w:widowControl/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2AC7"/>
  </w:style>
  <w:style w:type="character" w:styleId="Pogrubienie">
    <w:name w:val="Strong"/>
    <w:basedOn w:val="Domylnaczcionkaakapitu"/>
    <w:uiPriority w:val="22"/>
    <w:qFormat/>
    <w:rsid w:val="00DB4B29"/>
    <w:rPr>
      <w:b/>
      <w:bCs/>
    </w:rPr>
  </w:style>
  <w:style w:type="paragraph" w:styleId="Tekstpodstawowy2">
    <w:name w:val="Body Text 2"/>
    <w:basedOn w:val="Normalny"/>
    <w:link w:val="Tekstpodstawowy2Znak"/>
    <w:uiPriority w:val="99"/>
    <w:unhideWhenUsed/>
    <w:rsid w:val="00E14E3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14E37"/>
    <w:rPr>
      <w:rFonts w:ascii="Arial" w:eastAsia="Times New Roman" w:hAnsi="Arial" w:cs="Arial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05ADD"/>
    <w:rPr>
      <w:color w:val="0000FF" w:themeColor="hyperlink"/>
      <w:u w:val="single"/>
    </w:rPr>
  </w:style>
  <w:style w:type="character" w:customStyle="1" w:styleId="NagwekZnak1">
    <w:name w:val="Nagłówek Znak1"/>
    <w:locked/>
    <w:rsid w:val="00E82CD6"/>
    <w:rPr>
      <w:rFonts w:ascii="Arial" w:hAnsi="Arial" w:cs="Aria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808FC"/>
    <w:pPr>
      <w:widowControl/>
      <w:autoSpaceDE/>
      <w:autoSpaceDN/>
      <w:adjustRightInd/>
    </w:pPr>
    <w:rPr>
      <w:rFonts w:ascii="Tahoma" w:hAnsi="Tahoma" w:cs="Times New Roma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808F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808FC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808FC"/>
    <w:pPr>
      <w:autoSpaceDE/>
      <w:autoSpaceDN/>
      <w:adjustRightInd/>
      <w:snapToGrid w:val="0"/>
      <w:spacing w:line="360" w:lineRule="auto"/>
    </w:pPr>
    <w:rPr>
      <w:rFonts w:ascii="Times New Roman" w:hAnsi="Times New Roman" w:cs="Times New Roman"/>
      <w:sz w:val="24"/>
      <w:lang w:val="en-US"/>
    </w:rPr>
  </w:style>
  <w:style w:type="character" w:customStyle="1" w:styleId="Teksttreci">
    <w:name w:val="Tekst treści_"/>
    <w:link w:val="Teksttreci0"/>
    <w:locked/>
    <w:rsid w:val="0022580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5807"/>
    <w:pPr>
      <w:widowControl/>
      <w:shd w:val="clear" w:color="auto" w:fill="FFFFFF"/>
      <w:autoSpaceDE/>
      <w:autoSpaceDN/>
      <w:adjustRightInd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Bezodstpw">
    <w:name w:val="No Spacing"/>
    <w:uiPriority w:val="1"/>
    <w:qFormat/>
    <w:rsid w:val="00B67F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2677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F60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6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zdw.pl/zamowienia-publiczne/inne-informacj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B67FD-E870-4B4F-B9A3-CD5816680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1861</TotalTime>
  <Pages>12</Pages>
  <Words>2527</Words>
  <Characters>15166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Piotr</cp:lastModifiedBy>
  <cp:revision>372</cp:revision>
  <cp:lastPrinted>2023-08-11T10:19:00Z</cp:lastPrinted>
  <dcterms:created xsi:type="dcterms:W3CDTF">2020-04-06T11:17:00Z</dcterms:created>
  <dcterms:modified xsi:type="dcterms:W3CDTF">2023-10-16T11:08:00Z</dcterms:modified>
</cp:coreProperties>
</file>