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67BB6" w14:textId="77777777" w:rsidR="009E1049" w:rsidRPr="009E1049" w:rsidRDefault="009E1049" w:rsidP="009E1049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9E10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</w:t>
      </w:r>
      <w:bookmarkStart w:id="0" w:name="_GoBack"/>
      <w:bookmarkEnd w:id="0"/>
      <w:r w:rsidRPr="009E10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nr 3 do SWZ. </w:t>
      </w:r>
    </w:p>
    <w:p w14:paraId="554505D5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 xml:space="preserve">Wykonawca / wykonawcy składający ofertę: </w:t>
      </w:r>
      <w:r w:rsidRPr="009E1049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53FD95EB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CEiDG</w:t>
      </w:r>
      <w:proofErr w:type="spellEnd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</w:p>
    <w:p w14:paraId="426D3488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9E1049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reprezentowany przez:</w:t>
      </w:r>
      <w:r w:rsidRPr="009E1049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9E104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</w:t>
      </w:r>
    </w:p>
    <w:p w14:paraId="72852F47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(imię, nazwisko, stanowisko/podstawa do  reprezentacji)</w:t>
      </w:r>
    </w:p>
    <w:p w14:paraId="6A15EEAF" w14:textId="77777777" w:rsidR="009E1049" w:rsidRPr="009E1049" w:rsidRDefault="009E1049" w:rsidP="009E1049">
      <w:pPr>
        <w:spacing w:after="0" w:line="240" w:lineRule="auto"/>
        <w:ind w:right="3685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6672AC54" w14:textId="77777777" w:rsidR="009E1049" w:rsidRPr="009E1049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9E1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Oświadczenie wykonawcy składane na podstawie art. 125 ust. 1 ustawy Pzp </w:t>
      </w:r>
    </w:p>
    <w:p w14:paraId="5849FCEA" w14:textId="77777777" w:rsidR="009E1049" w:rsidRPr="009E1049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DOTYCZĄCE BRAKU PODSTAW DO WYKLUCZENIA Z POSTĘPOWANIA</w:t>
      </w:r>
      <w:r w:rsidRPr="009E1049">
        <w:rPr>
          <w:rFonts w:ascii="Calibri" w:eastAsia="Times New Roman" w:hAnsi="Calibri" w:cs="Calibri"/>
          <w:b/>
          <w:bCs/>
          <w:lang w:eastAsia="pl-PL"/>
        </w:rPr>
        <w:t>.</w:t>
      </w:r>
      <w:r w:rsidRPr="009E1049">
        <w:rPr>
          <w:rFonts w:ascii="Calibri" w:eastAsia="Times New Roman" w:hAnsi="Calibri" w:cs="Calibri"/>
          <w:b/>
          <w:bCs/>
          <w:u w:val="single"/>
          <w:lang w:eastAsia="pl-PL"/>
        </w:rPr>
        <w:br/>
      </w:r>
    </w:p>
    <w:p w14:paraId="29787427" w14:textId="77777777" w:rsidR="009E1049" w:rsidRPr="009E1049" w:rsidRDefault="009E1049" w:rsidP="009E1049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9E1049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9E1049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9E1049">
        <w:rPr>
          <w:rFonts w:ascii="Calibri" w:eastAsia="Times New Roman" w:hAnsi="Calibri" w:cs="Calibri"/>
          <w:lang w:eastAsia="pl-PL"/>
        </w:rPr>
        <w:t>oświadczam, co następuje:</w:t>
      </w:r>
    </w:p>
    <w:p w14:paraId="0D0CB92A" w14:textId="77777777" w:rsidR="009E1049" w:rsidRPr="009E1049" w:rsidRDefault="009E1049" w:rsidP="009E1049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3C282E30" w14:textId="77777777" w:rsidR="009E1049" w:rsidRPr="009E1049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>INFORMACJA DOTYCZĄCA podmiotu składającego oświadczenie:</w:t>
      </w:r>
    </w:p>
    <w:p w14:paraId="6C80CE89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805B93" w14:textId="3B3779BA" w:rsidR="009E1049" w:rsidRPr="009E1049" w:rsidRDefault="009E1049" w:rsidP="009E1049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</w:rPr>
      </w:pPr>
      <w:r w:rsidRPr="009E1049">
        <w:rPr>
          <w:rFonts w:ascii="Calibri" w:eastAsia="Times New Roman" w:hAnsi="Calibri" w:cs="Calibri"/>
          <w:sz w:val="24"/>
          <w:szCs w:val="24"/>
        </w:rPr>
        <w:t xml:space="preserve">Oświadczam, że nie podlegam wykluczeniu z postępowania na podstawie art. 108 ust. 1 </w:t>
      </w:r>
      <w:r w:rsidRPr="00A86A08">
        <w:rPr>
          <w:rFonts w:ascii="Calibri" w:eastAsia="Times New Roman" w:hAnsi="Calibri" w:cs="Calibri"/>
          <w:sz w:val="24"/>
          <w:szCs w:val="24"/>
        </w:rPr>
        <w:t>oraz art. 109 ust. 1 pkt 1; pkt 4; pkt 5; pkt 7; pkt 8; pkt 10 ustawy Pzp.</w:t>
      </w:r>
    </w:p>
    <w:p w14:paraId="6B45EF57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CDBF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…………….……. 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9E1049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B10FD03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55C75A31" w14:textId="77777777" w:rsidR="009E1049" w:rsidRPr="009E1049" w:rsidRDefault="009E1049" w:rsidP="009E1049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5BDBFE9D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21C3ADB2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lang w:eastAsia="pl-PL"/>
        </w:rPr>
      </w:pPr>
      <w:r w:rsidRPr="009E1049">
        <w:rPr>
          <w:rFonts w:ascii="Calibri" w:eastAsia="Times New Roman" w:hAnsi="Calibri" w:cs="Calibri"/>
          <w:b/>
          <w:bCs/>
          <w:i/>
          <w:lang w:eastAsia="pl-PL"/>
        </w:rPr>
        <w:t>W przypadku złożenia oferty wspólnej:</w:t>
      </w:r>
      <w:r w:rsidRPr="009E1049">
        <w:rPr>
          <w:rFonts w:ascii="Calibri" w:eastAsia="Times New Roman" w:hAnsi="Calibri" w:cs="Calibri"/>
          <w:b/>
          <w:bCs/>
          <w:i/>
          <w:lang w:eastAsia="pl-PL"/>
        </w:rPr>
        <w:tab/>
      </w:r>
    </w:p>
    <w:p w14:paraId="6AEB4547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5ECD96CC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lang w:eastAsia="pl-PL"/>
        </w:rPr>
      </w:pPr>
      <w:r w:rsidRPr="009E1049">
        <w:rPr>
          <w:rFonts w:ascii="Calibri" w:eastAsia="Times New Roman" w:hAnsi="Calibri" w:cs="Calibri"/>
          <w:iCs/>
          <w:lang w:eastAsia="pl-PL"/>
        </w:rPr>
        <w:t>Oświadczenie o niepodleganiu wykluczeniu składa w ofercie każdy z wykonawców oferty wspólnej (art. 125 ust. 4 ustawy pzp)</w:t>
      </w:r>
    </w:p>
    <w:p w14:paraId="101F006E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7E0E75C8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BC966E8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487D7F76" w14:textId="77777777" w:rsidR="009E1049" w:rsidRPr="009E1049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118FC004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C60D61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12FC175C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18E515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2194D78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…………….……. 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9E1049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6FBDAB5D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640685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9E1049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F737D" w14:textId="77777777" w:rsidR="00715852" w:rsidRDefault="00715852" w:rsidP="00673E8C">
      <w:pPr>
        <w:spacing w:after="0" w:line="240" w:lineRule="auto"/>
      </w:pPr>
      <w:r>
        <w:separator/>
      </w:r>
    </w:p>
  </w:endnote>
  <w:endnote w:type="continuationSeparator" w:id="0">
    <w:p w14:paraId="6C713532" w14:textId="77777777" w:rsidR="00715852" w:rsidRDefault="00715852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31F3E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7CE4E" w14:textId="77777777" w:rsidR="00715852" w:rsidRDefault="00715852" w:rsidP="00673E8C">
      <w:pPr>
        <w:spacing w:after="0" w:line="240" w:lineRule="auto"/>
      </w:pPr>
      <w:r>
        <w:separator/>
      </w:r>
    </w:p>
  </w:footnote>
  <w:footnote w:type="continuationSeparator" w:id="0">
    <w:p w14:paraId="7B88CF50" w14:textId="77777777" w:rsidR="00715852" w:rsidRDefault="00715852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462C05B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531F3E">
      <w:rPr>
        <w:i/>
        <w:iCs/>
        <w:sz w:val="20"/>
        <w:szCs w:val="20"/>
      </w:rPr>
      <w:t>A-230-</w:t>
    </w:r>
    <w:r w:rsidR="00BE0679">
      <w:rPr>
        <w:i/>
        <w:iCs/>
        <w:sz w:val="20"/>
        <w:szCs w:val="20"/>
      </w:rPr>
      <w:t>136</w:t>
    </w:r>
    <w:r w:rsidR="001C6312">
      <w:rPr>
        <w:i/>
        <w:iCs/>
        <w:sz w:val="20"/>
        <w:szCs w:val="20"/>
      </w:rPr>
      <w:t>/23</w:t>
    </w:r>
    <w:r w:rsidR="007A1353">
      <w:rPr>
        <w:i/>
        <w:iCs/>
        <w:sz w:val="20"/>
        <w:szCs w:val="20"/>
      </w:rPr>
      <w:t xml:space="preserve"> </w:t>
    </w:r>
    <w:r w:rsidR="00F6010E">
      <w:rPr>
        <w:i/>
        <w:iCs/>
        <w:sz w:val="20"/>
        <w:szCs w:val="20"/>
      </w:rPr>
      <w:t xml:space="preserve">Kompleksowa dostawa gazu ziemnego dla </w:t>
    </w:r>
    <w:r w:rsidR="00F6010E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C6312"/>
    <w:rsid w:val="001D6CAE"/>
    <w:rsid w:val="001F3151"/>
    <w:rsid w:val="001F74A2"/>
    <w:rsid w:val="00203315"/>
    <w:rsid w:val="0026039A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31F3E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15852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A1353"/>
    <w:rsid w:val="007D3003"/>
    <w:rsid w:val="007F1328"/>
    <w:rsid w:val="007F5C67"/>
    <w:rsid w:val="008312F2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22F29"/>
    <w:rsid w:val="00A241B2"/>
    <w:rsid w:val="00A3038B"/>
    <w:rsid w:val="00A81665"/>
    <w:rsid w:val="00A86A08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E0679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57731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94E65"/>
    <w:rsid w:val="00EC71DD"/>
    <w:rsid w:val="00EC7A4B"/>
    <w:rsid w:val="00ED6FFE"/>
    <w:rsid w:val="00EF39FB"/>
    <w:rsid w:val="00F3274F"/>
    <w:rsid w:val="00F3417A"/>
    <w:rsid w:val="00F43734"/>
    <w:rsid w:val="00F6010E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4E9886-158A-4698-B832-BDDE42A1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11</cp:revision>
  <cp:lastPrinted>2021-05-09T14:11:00Z</cp:lastPrinted>
  <dcterms:created xsi:type="dcterms:W3CDTF">2021-10-12T03:46:00Z</dcterms:created>
  <dcterms:modified xsi:type="dcterms:W3CDTF">2023-10-13T12:30:00Z</dcterms:modified>
</cp:coreProperties>
</file>