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eastAsia="pl-PL"/>
        </w:rPr>
      </w:pPr>
      <w:r>
        <w:rPr>
          <w:lang w:eastAsia="pl-PL"/>
        </w:rPr>
      </w:r>
    </w:p>
    <w:p>
      <w:pPr>
        <w:pStyle w:val="Normal"/>
        <w:jc w:val="right"/>
        <w:rPr/>
      </w:pPr>
      <w:r>
        <w:rPr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/>
          <w:sz w:val="22"/>
          <w:szCs w:val="22"/>
        </w:rPr>
        <w:t>załącznik nr 2.</w:t>
      </w:r>
      <w:r>
        <w:rPr>
          <w:rFonts w:ascii="Times New Roman" w:hAnsi="Times New Roman"/>
          <w:sz w:val="22"/>
          <w:szCs w:val="22"/>
        </w:rPr>
        <w:t>1</w:t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1"/>
          <w:szCs w:val="21"/>
        </w:rPr>
        <w:t>Projekt:  "Zakup sprzętu  medycznego dla SP ZOZ Obornikach„</w:t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</w:r>
    </w:p>
    <w:p>
      <w:pPr>
        <w:pStyle w:val="Normal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cs="Times New Roman" w:ascii="Times New Roman" w:hAnsi="Times New Roman"/>
          <w:sz w:val="21"/>
          <w:szCs w:val="21"/>
        </w:rPr>
        <w:t xml:space="preserve">                    </w:t>
      </w:r>
    </w:p>
    <w:p>
      <w:pPr>
        <w:pStyle w:val="Normal"/>
        <w:spacing w:lineRule="auto" w:line="36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1"/>
          <w:szCs w:val="21"/>
        </w:rPr>
        <w:t xml:space="preserve">Opis i zestawienie warunków i parametrów technicznych </w:t>
      </w:r>
    </w:p>
    <w:p>
      <w:pPr>
        <w:pStyle w:val="Normal"/>
        <w:shd w:val="clear" w:color="auto" w:fill="FFFFFF"/>
        <w:spacing w:lineRule="auto" w:line="360"/>
        <w:jc w:val="center"/>
        <w:rPr>
          <w:rFonts w:ascii="Times New Roman" w:hAnsi="Times New Roman"/>
          <w:sz w:val="21"/>
          <w:szCs w:val="21"/>
        </w:rPr>
      </w:pPr>
      <w:r>
        <w:rPr>
          <w:rFonts w:cs="Calibri" w:ascii="Times New Roman" w:hAnsi="Times New Roman"/>
          <w:b/>
          <w:bCs/>
          <w:sz w:val="21"/>
          <w:szCs w:val="21"/>
        </w:rPr>
        <w:t>Nóż harmoniczny + akcesoria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rPr/>
      </w:pPr>
      <w:r>
        <w:rPr>
          <w:rFonts w:cs="Times New Roman" w:ascii="Times New Roman" w:hAnsi="Times New Roman"/>
          <w:b/>
        </w:rPr>
        <w:t xml:space="preserve">Pakiet nr </w:t>
      </w:r>
      <w:r>
        <w:rPr>
          <w:rFonts w:cs="Times New Roman" w:ascii="Times New Roman" w:hAnsi="Times New Roman"/>
          <w:b/>
        </w:rPr>
        <w:t>1</w:t>
      </w:r>
    </w:p>
    <w:tbl>
      <w:tblPr>
        <w:tblStyle w:val="Tabela-Siatka"/>
        <w:tblW w:w="10469" w:type="dxa"/>
        <w:jc w:val="left"/>
        <w:tblInd w:w="-722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30"/>
        <w:gridCol w:w="4707"/>
        <w:gridCol w:w="1646"/>
        <w:gridCol w:w="3385"/>
      </w:tblGrid>
      <w:tr>
        <w:trPr/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ind w:hanging="142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Lp.</w:t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Parametry techniczne / opis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Parametry wymagane</w:t>
            </w:r>
          </w:p>
        </w:tc>
        <w:tc>
          <w:tcPr>
            <w:tcW w:w="3385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 xml:space="preserve">Odpowiedź </w:t>
            </w:r>
          </w:p>
        </w:tc>
      </w:tr>
      <w:tr>
        <w:trPr/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ind w:left="-510" w:right="510" w:firstLine="85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/>
                <w:sz w:val="20"/>
                <w:szCs w:val="20"/>
              </w:rPr>
              <w:t xml:space="preserve">Nóż harmoniczny fabrycznie nowy,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en-US"/>
              </w:rPr>
              <w:t xml:space="preserve">wyprodukowany w 2023 roku, nie powystawowy ;                  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en-US"/>
              </w:rPr>
              <w:t xml:space="preserve">Nazwa ….....................................................                                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en-US"/>
              </w:rPr>
              <w:t xml:space="preserve">typ ...................……………………………..                       </w:t>
            </w:r>
          </w:p>
          <w:p>
            <w:pPr>
              <w:pStyle w:val="Normal"/>
              <w:spacing w:lineRule="auto" w:line="240" w:before="60" w:after="6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en-US"/>
              </w:rPr>
              <w:t>Producent.........................................................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_DdeLink__1151_506763198"/>
            <w:r>
              <w:rPr>
                <w:rFonts w:cs="Times New Roman" w:ascii="Times New Roman" w:hAnsi="Times New Roman"/>
                <w:color w:val="000000"/>
              </w:rPr>
              <w:t>TAK/podać</w:t>
            </w:r>
            <w:bookmarkEnd w:id="0"/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</w:tc>
        <w:tc>
          <w:tcPr>
            <w:tcW w:w="3385" w:type="dxa"/>
            <w:tcBorders/>
            <w:shd w:fill="auto" w:val="clea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683" w:hRule="atLeast"/>
        </w:trPr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Generator ultrad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źwiękowy działający na zasadzie ruchów torsyjnych (oscylacyjnych)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  <w:tr>
        <w:trPr>
          <w:trHeight w:val="556" w:hRule="atLeast"/>
        </w:trPr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Cz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ęstotliwość pracy aparatu nie większa niż 40kHz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444" w:hRule="atLeast"/>
        </w:trPr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Moc wyj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ściowa aparatu nie większa niż 100W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70" w:hRule="atLeast"/>
        </w:trPr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Panel czo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łowy aparatu z ekranem LED pozbawionym przycisków i pokręteł, łatwy do utrzymania w czystości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822" w:hRule="atLeast"/>
        </w:trPr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Mo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żliwość podłączenia wielorazowego przetwornika do gniazda zlokalizowanego na panelu czołowym aparatu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3" w:hRule="atLeast"/>
        </w:trPr>
        <w:tc>
          <w:tcPr>
            <w:tcW w:w="73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</w:r>
          </w:p>
        </w:tc>
        <w:tc>
          <w:tcPr>
            <w:tcW w:w="4707" w:type="dxa"/>
            <w:tcBorders/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Mo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żliwość odczytu aktualnej częstotliwości pracy z wyświetlacza na aparacie</w:t>
            </w:r>
          </w:p>
        </w:tc>
        <w:tc>
          <w:tcPr>
            <w:tcW w:w="16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3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center"/>
              <w:rPr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Mo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żliwość odczytu stopnia zużycia wielorazowego przetwornika z wyświetlacza na aparacie (w %)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bookmarkStart w:id="1" w:name="__DdeLink__7539_2030831664"/>
            <w:r>
              <w:rPr>
                <w:rFonts w:cs="Times New Roman" w:ascii="Times New Roman" w:hAnsi="Times New Roman"/>
                <w:color w:val="000000"/>
              </w:rPr>
              <w:t>TAK/podać</w:t>
            </w:r>
            <w:bookmarkEnd w:id="1"/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3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08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Sygnalizacja d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źwiękowa i wizualna nastawionych parametrów i dokonywanych zmian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3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08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Wy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świetlanie komunikatów i ostrzeżeń na ekranie aparatu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3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Mo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 xml:space="preserve">żliwość zmiany poziomu głośności dźwięków 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884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>
                <w:rStyle w:val="Wyrnienie"/>
                <w:rFonts w:cs="Calibri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Mo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żliwość wyboru jednego z trzech trybów pracy: HIGH (wysoki), LOW (niski), ULTRA LOW (ultra niski)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853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Mo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żliwość przełączania pomiędzy trybem HIGH a LOW lub HIGH a ULTRA LOW z uchwytu i włącznika nożnego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3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 xml:space="preserve">Automatyczne rozpoznawanie 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podłączonego modelu przetwornika i dobieranie parametrów jego pracy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963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Aktywacja instrumentu z r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ękojeści lub 2-przyciskowego włącznika nożnego podłączanego do gniazda zlokalizowanego na panelu tylnym aparatu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36" w:hRule="atLeast"/>
        </w:trPr>
        <w:tc>
          <w:tcPr>
            <w:tcW w:w="10468" w:type="dxa"/>
            <w:gridSpan w:val="4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numPr>
                <w:ilvl w:val="0"/>
                <w:numId w:val="0"/>
              </w:numPr>
              <w:suppressAutoHyphens w:val="true"/>
              <w:snapToGrid w:val="false"/>
              <w:ind w:left="720" w:right="0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WYPOSAŻENIE</w:t>
            </w:r>
          </w:p>
        </w:tc>
      </w:tr>
      <w:tr>
        <w:trPr>
          <w:trHeight w:val="1524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4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Przetwornik wielorazowego u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żytku w postaci nożyczek dysekcyjnych, zagiętych, do laparoskopii, dł. falowodu 349mm, falowód wykonany z tytanu, instrument automatycznie rozpoznawany przez generator, przeznaczony do min. 250 min. ciągłej aktywacji, z kablem dł. 3m / 2 szt.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1536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4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pacing w:val="-1"/>
                <w:sz w:val="20"/>
                <w:szCs w:val="20"/>
                <w:u w:val="none"/>
                <w:em w:val="none"/>
              </w:rPr>
              <w:t>Jednorazowy uchwyt z tub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 xml:space="preserve">ą 5,5mm do wielorazowego przetwornika ultradźwiękowego w postaci nożyczek dysekcyjnych, zagiętych, do laparoskopii, dł. tuby 349mm, uchwyt przeznaczony dla prawo- i leworęcznych, z możliwością aktywacji i zmiany trybu / 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2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0 szt.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1584" w:hRule="atLeast"/>
        </w:trPr>
        <w:tc>
          <w:tcPr>
            <w:tcW w:w="73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agwek1"/>
              <w:keepNext w:val="false"/>
              <w:numPr>
                <w:ilvl w:val="0"/>
                <w:numId w:val="4"/>
              </w:numPr>
              <w:suppressAutoHyphens w:val="true"/>
              <w:snapToGrid w:val="false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08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Przetwornik wielorazowego u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żytku w postaci nożyczek dysekcyjnych, zagiętych, do chirurgii otwartej, dł. falowodu 176mm, falowód wykonany z tytanu, instrument automatycznie rozpoznawany przez generator, przeznaczony do min. 250 min. ciągłej aktywacji, z kablem dł. 3m / 2 szt.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keepNext w:val="false"/>
              <w:widowControl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keepNext w:val="false"/>
              <w:widowControl w:val="false"/>
              <w:snapToGrid w:val="false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28" w:hRule="atLeast"/>
        </w:trPr>
        <w:tc>
          <w:tcPr>
            <w:tcW w:w="10468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1"/>
                <w:szCs w:val="21"/>
              </w:rPr>
              <w:t>GWARANCJA</w:t>
            </w:r>
          </w:p>
        </w:tc>
      </w:tr>
      <w:tr>
        <w:trPr>
          <w:trHeight w:val="607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686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1.          1.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1"/>
                <w:szCs w:val="21"/>
              </w:rPr>
              <w:t xml:space="preserve">Gwarancja i serwis min. 36-m-cy </w:t>
            </w:r>
            <w:r>
              <w:rPr>
                <w:rFonts w:eastAsia="Arial Unicode MS" w:cs="Times New Roman" w:ascii="Times New Roman" w:hAnsi="Times New Roman"/>
                <w:b w:val="false"/>
                <w:bCs w:val="false"/>
                <w:kern w:val="2"/>
                <w:sz w:val="21"/>
                <w:szCs w:val="21"/>
                <w:lang w:eastAsia="zh-CN" w:bidi="hi-IN"/>
              </w:rPr>
              <w:t>w tym 2 bezpłatne przeglądy w 2 i 3 roku eksploatacji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  <w:tr>
        <w:trPr>
          <w:trHeight w:val="1286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686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2.          2.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/>
            </w:pPr>
            <w:r>
              <w:rPr>
                <w:rFonts w:ascii="Times New Roman" w:hAnsi="Times New Roman"/>
                <w:sz w:val="21"/>
                <w:szCs w:val="21"/>
              </w:rPr>
              <w:t>Bezpłatne przeglądy sprzętu wraz z wymianą zestawów serwisowych zalecanych przez Producenta i wpisem do paszportu. Harmonogram przeglądów winien być ustalany na koniec każdego roku pracy sprzętu.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  <w:tr>
        <w:trPr>
          <w:trHeight w:val="5448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686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3.          3.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/>
            </w:pPr>
            <w:r>
              <w:rPr>
                <w:rFonts w:ascii="Times New Roman" w:hAnsi="Times New Roman"/>
                <w:sz w:val="21"/>
                <w:szCs w:val="21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  <w:tr>
        <w:trPr>
          <w:trHeight w:val="852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686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4           4. 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/>
            </w:pPr>
            <w:r>
              <w:rPr>
                <w:rFonts w:ascii="Times New Roman" w:hAnsi="Times New Roman"/>
                <w:sz w:val="21"/>
                <w:szCs w:val="21"/>
              </w:rPr>
              <w:t>Serwis pogwarancyjny, odpłatny przez okres min. 10 lat oraz gwarancja zapewnienia zakupu części zamiennych przez okres 10 lat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  <w:tr>
        <w:trPr>
          <w:trHeight w:val="396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686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5           5. 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/>
            </w:pPr>
            <w:r>
              <w:rPr>
                <w:rFonts w:ascii="Times New Roman" w:hAnsi="Times New Roman"/>
                <w:sz w:val="21"/>
                <w:szCs w:val="21"/>
              </w:rPr>
              <w:t>Punkty serwisowe</w:t>
            </w:r>
          </w:p>
          <w:p>
            <w:pPr>
              <w:pStyle w:val="Normal"/>
              <w:suppressAutoHyphens w:val="true"/>
              <w:snapToGrid w:val="false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/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  <w:tr>
        <w:trPr>
          <w:trHeight w:val="1128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0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textAlignment w:val="baseline"/>
              <w:rPr/>
            </w:pPr>
            <w:r>
              <w:rPr>
                <w:rFonts w:eastAsia="Arial Unicode MS" w:cs="Times New Roman" w:ascii="Times New Roman" w:hAnsi="Times New Roman"/>
                <w:kern w:val="2"/>
                <w:sz w:val="21"/>
                <w:szCs w:val="21"/>
                <w:lang w:eastAsia="zh-CN" w:bidi="hi-IN"/>
              </w:rPr>
              <w:t>Gwarancja aktualizacji oprogramowania do najnowszej dostępnej wersji na rynku przez okres 36 m-cy od dnia odbioru, podczas każdego wykonywanego przeglądu .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  <w:tr>
        <w:trPr>
          <w:trHeight w:val="576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686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7.          7.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/>
            </w:pPr>
            <w:r>
              <w:rPr>
                <w:rFonts w:ascii="Times New Roman" w:hAnsi="Times New Roman"/>
                <w:sz w:val="21"/>
                <w:szCs w:val="21"/>
              </w:rPr>
              <w:t>Dokumentacja techniczna, instrukcja obsługi, użytkowania w języku polskim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  <w:tr>
        <w:trPr>
          <w:trHeight w:val="336" w:hRule="atLeast"/>
        </w:trPr>
        <w:tc>
          <w:tcPr>
            <w:tcW w:w="730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LineNumbers/>
              <w:ind w:left="720" w:hanging="686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8           8. </w:t>
            </w:r>
          </w:p>
        </w:tc>
        <w:tc>
          <w:tcPr>
            <w:tcW w:w="4707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/>
            </w:pPr>
            <w:r>
              <w:rPr>
                <w:rFonts w:ascii="Times New Roman" w:hAnsi="Times New Roman"/>
                <w:sz w:val="21"/>
                <w:szCs w:val="21"/>
              </w:rPr>
              <w:t>Deklaracja zgodności CE dołączona do oferty</w:t>
            </w:r>
          </w:p>
        </w:tc>
        <w:tc>
          <w:tcPr>
            <w:tcW w:w="1646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385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lang w:eastAsia="ar-SA"/>
              </w:rPr>
            </w:r>
          </w:p>
        </w:tc>
      </w:tr>
    </w:tbl>
    <w:p>
      <w:pPr>
        <w:pStyle w:val="Nagwek1"/>
        <w:widowControl w:val="false"/>
        <w:rPr/>
      </w:pPr>
      <w:r>
        <w:rPr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  <w:bookmarkStart w:id="2" w:name="__DdeLink__6407_3590778256"/>
      <w:bookmarkStart w:id="3" w:name="__DdeLink__6407_3590778256"/>
      <w:bookmarkEnd w:id="3"/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lineRule="auto" w:line="276"/>
        <w:ind w:left="-283" w:right="0" w:hanging="0"/>
        <w:jc w:val="both"/>
        <w:rPr/>
      </w:pPr>
      <w:r>
        <w:rPr>
          <w:rFonts w:eastAsia="Times New Roman" w:cs="Times New Roman" w:ascii="Times New Roman" w:hAnsi="Times New Roman"/>
          <w:sz w:val="22"/>
          <w:lang w:eastAsia="ar-SA"/>
        </w:rPr>
        <w:t xml:space="preserve">W przypadku zastosowania w powyższej dokumentacji nazw dostawców, producentów, materiałów, </w:t>
      </w:r>
      <w:r>
        <w:rPr>
          <w:rFonts w:ascii="Times New Roman" w:hAnsi="Times New Roman"/>
          <w:sz w:val="22"/>
        </w:rPr>
        <w:t>urządzeń lub ich elementów, znaków towarowych, patentów lub pochodzenia, źródła lub szczególnego procesu, który charakteryzuje produkty lub usługi dostarczane przez konkretnego wykonawcę, Zamawiający traktuje takie użycia - zgodnie z art. 99 ust. 4 Pzp - jako określenie minimalnych wymaganych parametrów przedmiotu 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zamówienia, z których jednoznacznie będzie wynikać, iż stanowią one produkty równoważne do opisanych przez Zamawiającego.</w:t>
      </w:r>
    </w:p>
    <w:p>
      <w:pPr>
        <w:pStyle w:val="Normal"/>
        <w:spacing w:lineRule="auto" w:line="276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/>
        <w:numPr>
          <w:ilvl w:val="0"/>
          <w:numId w:val="1"/>
        </w:numPr>
        <w:overflowPunct w:val="true"/>
        <w:bidi w:val="0"/>
        <w:spacing w:lineRule="auto" w:line="276"/>
        <w:ind w:left="-227" w:right="0" w:hanging="0"/>
        <w:jc w:val="left"/>
        <w:rPr/>
      </w:pPr>
      <w:r>
        <w:rPr>
          <w:rFonts w:ascii="Times New Roman" w:hAnsi="Times New Roman"/>
          <w:sz w:val="22"/>
        </w:rPr>
        <w:t>W przypadku odniesienia w załączonej do SWZ dokumentacji do norm, ocen technicznych, aprobat, specyfikacji technicznych i systemów referencji technicznych Zamawiający dopuszcza - zgodnie z art. 101 ust. 4 Pzp. - rozwiązania równoważne opisywanym.</w:t>
      </w:r>
    </w:p>
    <w:p>
      <w:pPr>
        <w:pStyle w:val="Normal"/>
        <w:spacing w:lineRule="auto" w:line="276"/>
        <w:jc w:val="left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76"/>
        <w:jc w:val="left"/>
        <w:rPr>
          <w:sz w:val="22"/>
        </w:rPr>
      </w:pPr>
      <w:r>
        <w:rPr>
          <w:sz w:val="22"/>
        </w:rPr>
      </w:r>
    </w:p>
    <w:p>
      <w:pPr>
        <w:pStyle w:val="Normal"/>
        <w:widowControl/>
        <w:overflowPunct w:val="true"/>
        <w:bidi w:val="0"/>
        <w:spacing w:lineRule="auto" w:line="276"/>
        <w:ind w:left="-227" w:right="0" w:hanging="0"/>
        <w:jc w:val="left"/>
        <w:rPr/>
      </w:pPr>
      <w:r>
        <w:rPr>
          <w:rFonts w:ascii="Times New Roman" w:hAnsi="Times New Roman"/>
          <w:sz w:val="22"/>
          <w:u w:val="single"/>
        </w:rPr>
        <w:t>Oświadczenie Wykonawcy:</w:t>
      </w:r>
    </w:p>
    <w:p>
      <w:pPr>
        <w:pStyle w:val="Normal"/>
        <w:widowControl/>
        <w:numPr>
          <w:ilvl w:val="0"/>
          <w:numId w:val="2"/>
        </w:numPr>
        <w:overflowPunct w:val="true"/>
        <w:bidi w:val="0"/>
        <w:spacing w:lineRule="auto" w:line="276"/>
        <w:ind w:left="-227" w:right="0" w:hanging="0"/>
        <w:jc w:val="left"/>
        <w:rPr/>
      </w:pPr>
      <w:r>
        <w:rPr>
          <w:rFonts w:ascii="Times New Roman" w:hAnsi="Times New Roman"/>
          <w:sz w:val="22"/>
        </w:rPr>
        <w:t>Oświadczamy, że przedstawione powyżej dane są prawdziwe oraz zobowiązujemy się w przypadku wygrania przetargu do dostarczenia sprzętu spełniającego wyspecyfikowane parametry.</w:t>
      </w:r>
    </w:p>
    <w:p>
      <w:pPr>
        <w:pStyle w:val="Normal"/>
        <w:widowControl/>
        <w:numPr>
          <w:ilvl w:val="0"/>
          <w:numId w:val="2"/>
        </w:numPr>
        <w:overflowPunct w:val="true"/>
        <w:bidi w:val="0"/>
        <w:spacing w:lineRule="auto" w:line="276"/>
        <w:ind w:left="-283" w:right="0" w:hanging="0"/>
        <w:jc w:val="left"/>
        <w:rPr/>
      </w:pPr>
      <w:r>
        <w:rPr>
          <w:rFonts w:ascii="Times New Roman" w:hAnsi="Times New Roman"/>
          <w:sz w:val="22"/>
        </w:rP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rFonts w:eastAsia="Times New Roman" w:cs="Times New Roman" w:ascii="Times New Roman" w:hAnsi="Times New Roman"/>
          <w:sz w:val="22"/>
          <w:lang w:eastAsia="ar-SA"/>
        </w:rPr>
        <w:t>eksploatacyjnymi).</w:t>
      </w:r>
    </w:p>
    <w:p>
      <w:pPr>
        <w:pStyle w:val="Style35"/>
        <w:widowControl/>
        <w:suppressAutoHyphens w:val="true"/>
        <w:snapToGrid w:val="false"/>
        <w:spacing w:lineRule="auto" w:line="276"/>
        <w:ind w:right="58" w:hanging="0"/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  <w:r>
        <w:rPr>
          <w:rFonts w:cs="Times New Roman" w:ascii="Times New Roman" w:hAnsi="Times New Roman"/>
          <w:sz w:val="22"/>
          <w:szCs w:val="22"/>
          <w:highlight w:val="yellow"/>
        </w:rPr>
      </w:r>
    </w:p>
    <w:p>
      <w:pPr>
        <w:pStyle w:val="Normal"/>
        <w:rPr>
          <w:rFonts w:ascii="Calibri" w:hAnsi="Calibri" w:cs="Arial"/>
          <w:sz w:val="16"/>
          <w:szCs w:val="16"/>
        </w:rPr>
      </w:pPr>
      <w:r>
        <w:rPr>
          <w:rFonts w:cs="Arial"/>
          <w:sz w:val="16"/>
          <w:szCs w:val="16"/>
        </w:rPr>
      </w:r>
    </w:p>
    <w:p>
      <w:pPr>
        <w:pStyle w:val="Normal"/>
        <w:rPr>
          <w:rFonts w:ascii="Calibri" w:hAnsi="Calibri" w:cs="Arial"/>
          <w:sz w:val="16"/>
          <w:szCs w:val="16"/>
        </w:rPr>
      </w:pPr>
      <w:r>
        <w:rPr>
          <w:rFonts w:cs="Arial"/>
          <w:sz w:val="16"/>
          <w:szCs w:val="16"/>
        </w:rPr>
      </w:r>
    </w:p>
    <w:p>
      <w:pPr>
        <w:pStyle w:val="Normal"/>
        <w:rPr>
          <w:rFonts w:ascii="Calibri" w:hAnsi="Calibri" w:cs="Arial"/>
          <w:sz w:val="16"/>
          <w:szCs w:val="16"/>
        </w:rPr>
      </w:pPr>
      <w:r>
        <w:rPr>
          <w:rFonts w:cs="Arial"/>
          <w:sz w:val="16"/>
          <w:szCs w:val="16"/>
        </w:rPr>
      </w:r>
    </w:p>
    <w:p>
      <w:pPr>
        <w:pStyle w:val="Normal"/>
        <w:rPr>
          <w:rFonts w:ascii="Calibri" w:hAnsi="Calibri" w:cs="Arial"/>
          <w:sz w:val="16"/>
          <w:szCs w:val="16"/>
        </w:rPr>
      </w:pPr>
      <w:r>
        <w:rPr>
          <w:rFonts w:cs="Arial"/>
          <w:sz w:val="16"/>
          <w:szCs w:val="16"/>
        </w:rPr>
      </w:r>
    </w:p>
    <w:p>
      <w:pPr>
        <w:pStyle w:val="Normal"/>
        <w:rPr>
          <w:rFonts w:ascii="Calibri" w:hAnsi="Calibri" w:cs="Arial"/>
          <w:sz w:val="16"/>
          <w:szCs w:val="16"/>
        </w:rPr>
      </w:pPr>
      <w:r>
        <w:rPr>
          <w:rFonts w:cs="Arial"/>
          <w:sz w:val="16"/>
          <w:szCs w:val="16"/>
        </w:rPr>
      </w:r>
    </w:p>
    <w:p>
      <w:pPr>
        <w:pStyle w:val="Normal"/>
        <w:rPr/>
      </w:pPr>
      <w:r>
        <w:rPr>
          <w:rFonts w:cs="Arial"/>
          <w:sz w:val="16"/>
          <w:szCs w:val="16"/>
        </w:rPr>
        <w:tab/>
        <w:t xml:space="preserve">  </w:t>
        <w:tab/>
        <w:tab/>
        <w:t xml:space="preserve">  </w:t>
        <w:tab/>
        <w:tab/>
        <w:tab/>
        <w:tab/>
        <w:tab/>
        <w:tab/>
        <w:tab/>
        <w:tab/>
        <w:tab/>
        <w:t xml:space="preserve"> </w:t>
        <w:tab/>
      </w:r>
      <w:r>
        <w:rPr>
          <w:rFonts w:cs="Times New Roman" w:ascii="Times New Roman" w:hAnsi="Times New Roman"/>
        </w:rPr>
        <w:t>.........................................................................</w:t>
      </w:r>
    </w:p>
    <w:p>
      <w:pPr>
        <w:pStyle w:val="Normal"/>
        <w:ind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  <w:tab/>
        <w:tab/>
        <w:tab/>
        <w:tab/>
        <w:t xml:space="preserve">  Pieczęć i podpis osoby uprawnionej</w:t>
      </w:r>
    </w:p>
    <w:p>
      <w:pPr>
        <w:pStyle w:val="Normal"/>
        <w:ind w:left="5664" w:hanging="0"/>
        <w:rPr/>
      </w:pPr>
      <w:r>
        <w:rPr>
          <w:rFonts w:cs="Times New Roman" w:ascii="Times New Roman" w:hAnsi="Times New Roman"/>
          <w:b w:val="false"/>
          <w:bCs w:val="false"/>
        </w:rPr>
        <w:t xml:space="preserve">      </w:t>
      </w:r>
      <w:r>
        <w:rPr>
          <w:rFonts w:cs="Times New Roman" w:ascii="Times New Roman" w:hAnsi="Times New Roman"/>
          <w:b w:val="false"/>
          <w:bCs w:val="false"/>
        </w:rPr>
        <w:t>do reprezentowania Wykonawcy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  <w:bookmarkStart w:id="4" w:name="__DdeLink__6407_35907782561"/>
      <w:bookmarkStart w:id="5" w:name="__DdeLink__6407_35907782561"/>
      <w:bookmarkEnd w:id="5"/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8" w:right="707" w:header="709" w:top="766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Univers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6118860" cy="72390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8333f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444884"/>
    <w:pPr>
      <w:keepNext w:val="true"/>
      <w:outlineLvl w:val="0"/>
    </w:pPr>
    <w:rPr>
      <w:rFonts w:ascii="Times New Roman" w:hAnsi="Times New Roman" w:eastAsia="Times New Roman" w:cs="Times New Roman"/>
      <w:b/>
      <w:sz w:val="20"/>
      <w:szCs w:val="20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031449"/>
    <w:rPr>
      <w:rFonts w:ascii="Tahoma" w:hAnsi="Tahoma" w:cs="Tahoma"/>
      <w:sz w:val="16"/>
      <w:szCs w:val="16"/>
    </w:rPr>
  </w:style>
  <w:style w:type="character" w:styleId="Nagwek1Znak" w:customStyle="1">
    <w:name w:val="Nagłówek 1 Znak"/>
    <w:basedOn w:val="DefaultParagraphFont"/>
    <w:link w:val="Nagwek1"/>
    <w:qFormat/>
    <w:rsid w:val="00444884"/>
    <w:rPr>
      <w:rFonts w:ascii="Times New Roman" w:hAnsi="Times New Roman" w:eastAsia="Times New Roman" w:cs="Times New Roman"/>
      <w:b/>
      <w:sz w:val="20"/>
      <w:szCs w:val="20"/>
      <w:lang w:eastAsia="zh-CN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272696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72696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b w:val="false"/>
      <w:i w:val="false"/>
      <w:spacing w:val="0"/>
      <w:kern w:val="0"/>
      <w:sz w:val="22"/>
    </w:rPr>
  </w:style>
  <w:style w:type="character" w:styleId="ListLabel8">
    <w:name w:val="ListLabel 8"/>
    <w:qFormat/>
    <w:rPr>
      <w:b w:val="false"/>
      <w:i w:val="false"/>
      <w:spacing w:val="0"/>
      <w:kern w:val="0"/>
      <w:sz w:val="22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Znakinumeracji">
    <w:name w:val="Znaki numeracji"/>
    <w:qFormat/>
    <w:rPr/>
  </w:style>
  <w:style w:type="character" w:styleId="Wyrnienie">
    <w:name w:val="Wyróżnienie"/>
    <w:basedOn w:val="DefaultParagraphFont"/>
    <w:qFormat/>
    <w:rPr>
      <w:i/>
      <w:iCs/>
    </w:rPr>
  </w:style>
  <w:style w:type="character" w:styleId="St">
    <w:name w:val="st"/>
    <w:basedOn w:val="DefaultParagraph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WWTekstpodstawowy3" w:customStyle="1">
    <w:name w:val="WW-Tekst podstawowy 3"/>
    <w:basedOn w:val="Normal"/>
    <w:uiPriority w:val="99"/>
    <w:qFormat/>
    <w:rsid w:val="008877fb"/>
    <w:pPr>
      <w:suppressAutoHyphens w:val="true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35" w:customStyle="1">
    <w:name w:val="Style35"/>
    <w:basedOn w:val="Normal"/>
    <w:qFormat/>
    <w:rsid w:val="006d491e"/>
    <w:pPr>
      <w:widowControl w:val="false"/>
      <w:spacing w:lineRule="exact" w:line="254"/>
    </w:pPr>
    <w:rPr>
      <w:rFonts w:ascii="Arial Unicode MS" w:hAnsi="Arial Unicode MS" w:eastAsia="Arial Unicode MS" w:cs="Arial Unicode MS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31449"/>
    <w:pPr/>
    <w:rPr>
      <w:rFonts w:ascii="Tahoma" w:hAnsi="Tahoma" w:cs="Tahoma"/>
      <w:sz w:val="16"/>
      <w:szCs w:val="16"/>
    </w:rPr>
  </w:style>
  <w:style w:type="paragraph" w:styleId="Envelopereturn">
    <w:name w:val="envelope return"/>
    <w:basedOn w:val="Normal"/>
    <w:unhideWhenUsed/>
    <w:qFormat/>
    <w:rsid w:val="00444884"/>
    <w:pPr>
      <w:suppressAutoHyphens w:val="true"/>
    </w:pPr>
    <w:rPr>
      <w:rFonts w:ascii="Univers" w:hAnsi="Univers" w:eastAsia="Times New Roman" w:cs="Times New Roman"/>
      <w:sz w:val="24"/>
      <w:szCs w:val="20"/>
      <w:lang w:val="en-GB" w:eastAsia="ar-SA"/>
    </w:rPr>
  </w:style>
  <w:style w:type="paragraph" w:styleId="ListParagraph">
    <w:name w:val="List Paragraph"/>
    <w:basedOn w:val="Normal"/>
    <w:uiPriority w:val="34"/>
    <w:qFormat/>
    <w:rsid w:val="00444884"/>
    <w:pPr>
      <w:widowControl w:val="false"/>
      <w:spacing w:before="0" w:after="0"/>
      <w:ind w:left="720" w:hanging="0"/>
      <w:contextualSpacing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qFormat/>
    <w:rsid w:val="00444884"/>
    <w:pPr>
      <w:widowControl/>
      <w:bidi w:val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Gwka">
    <w:name w:val="Header"/>
    <w:basedOn w:val="Normal"/>
    <w:link w:val="NagwekZnak"/>
    <w:uiPriority w:val="99"/>
    <w:unhideWhenUsed/>
    <w:rsid w:val="00272696"/>
    <w:pPr>
      <w:tabs>
        <w:tab w:val="clear" w:pos="4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272696"/>
    <w:pPr>
      <w:tabs>
        <w:tab w:val="clear" w:pos="408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196861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4240-F313-4B07-8B93-DE4EDF9D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Application>LibreOffice/6.1.1.2$Windows_x86 LibreOffice_project/5d19a1bfa650b796764388cd8b33a5af1f5baa1b</Application>
  <Pages>3</Pages>
  <Words>818</Words>
  <Characters>5593</Characters>
  <CharactersWithSpaces>6538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2021-07-15T11:36:00Z</dcterms:created>
  <dc:creator>Maria Sak</dc:creator>
  <dc:description/>
  <dc:language>pl-PL</dc:language>
  <cp:lastModifiedBy/>
  <cp:lastPrinted>2023-03-09T07:28:00Z</cp:lastPrinted>
  <dcterms:modified xsi:type="dcterms:W3CDTF">2023-09-26T11:08:54Z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