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eastAsia="pl-PL"/>
        </w:rPr>
      </w:pPr>
      <w:r>
        <w:rPr>
          <w:lang w:eastAsia="pl-PL"/>
        </w:rPr>
      </w:r>
    </w:p>
    <w:p>
      <w:pPr>
        <w:pStyle w:val="Normal"/>
        <w:jc w:val="right"/>
        <w:rPr/>
      </w:pPr>
      <w:r>
        <w:rPr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/>
          <w:sz w:val="22"/>
          <w:szCs w:val="22"/>
        </w:rPr>
        <w:t>załącznik nr 2.</w:t>
      </w:r>
      <w:r>
        <w:rPr>
          <w:rFonts w:ascii="Times New Roman" w:hAnsi="Times New Roman"/>
          <w:sz w:val="22"/>
          <w:szCs w:val="22"/>
        </w:rPr>
        <w:t>2</w:t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sz w:val="22"/>
          <w:szCs w:val="22"/>
        </w:rPr>
        <w:t>Projekt:  " Zakup sprzętu  medycznego dla SP ZOZ Obornikach „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ab/>
      </w:r>
      <w:r>
        <w:rPr>
          <w:rFonts w:cs="Times New Roman" w:ascii="Times New Roman" w:hAnsi="Times New Roman"/>
          <w:sz w:val="24"/>
          <w:szCs w:val="24"/>
        </w:rPr>
        <w:t xml:space="preserve">                    </w:t>
      </w:r>
    </w:p>
    <w:p>
      <w:pPr>
        <w:pStyle w:val="Normal"/>
        <w:spacing w:lineRule="auto" w:line="36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Opis i zestawienie warunków i parametrów technicznych </w:t>
      </w:r>
    </w:p>
    <w:p>
      <w:pPr>
        <w:pStyle w:val="Normal"/>
        <w:shd w:val="clear" w:color="auto" w:fill="FFFFFF"/>
        <w:spacing w:lineRule="auto" w:line="360"/>
        <w:jc w:val="center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  <w:highlight w:val="white"/>
        </w:rPr>
        <w:t>Instrumentarium do artroskopii barku z narzędziami dedykowanymi do miękkich kotwic</w:t>
      </w:r>
      <w:r>
        <w:rPr>
          <w:rFonts w:cs="Calibri" w:ascii="Times New Roman" w:hAnsi="Times New Roman"/>
          <w:b/>
          <w:bCs/>
          <w:sz w:val="22"/>
          <w:szCs w:val="22"/>
        </w:rPr>
        <w:t xml:space="preserve"> 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rPr/>
      </w:pPr>
      <w:r>
        <w:rPr>
          <w:rFonts w:cs="Times New Roman" w:ascii="Times New Roman" w:hAnsi="Times New Roman"/>
          <w:b/>
        </w:rPr>
        <w:t xml:space="preserve">Pakiet nr </w:t>
      </w:r>
      <w:r>
        <w:rPr>
          <w:rFonts w:cs="Times New Roman" w:ascii="Times New Roman" w:hAnsi="Times New Roman"/>
          <w:b/>
        </w:rPr>
        <w:t>2</w:t>
      </w:r>
    </w:p>
    <w:tbl>
      <w:tblPr>
        <w:tblStyle w:val="Tabela-Siatka"/>
        <w:tblW w:w="10469" w:type="dxa"/>
        <w:jc w:val="left"/>
        <w:tblInd w:w="-722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30"/>
        <w:gridCol w:w="4707"/>
        <w:gridCol w:w="1646"/>
        <w:gridCol w:w="3385"/>
      </w:tblGrid>
      <w:tr>
        <w:trPr/>
        <w:tc>
          <w:tcPr>
            <w:tcW w:w="730" w:type="dxa"/>
            <w:tcBorders/>
            <w:shd w:fill="auto" w:val="clear"/>
            <w:vAlign w:val="center"/>
          </w:tcPr>
          <w:p>
            <w:pPr>
              <w:pStyle w:val="Normal"/>
              <w:ind w:hanging="142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Lp.</w:t>
            </w:r>
          </w:p>
        </w:tc>
        <w:tc>
          <w:tcPr>
            <w:tcW w:w="470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Parametry techniczne / opis</w:t>
            </w:r>
          </w:p>
        </w:tc>
        <w:tc>
          <w:tcPr>
            <w:tcW w:w="1646" w:type="dxa"/>
            <w:tcBorders/>
            <w:shd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Parametry wymagane</w:t>
            </w:r>
          </w:p>
        </w:tc>
        <w:tc>
          <w:tcPr>
            <w:tcW w:w="3385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 xml:space="preserve">Odpowiedź </w:t>
            </w:r>
          </w:p>
        </w:tc>
      </w:tr>
      <w:tr>
        <w:trPr/>
        <w:tc>
          <w:tcPr>
            <w:tcW w:w="7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numPr>
                <w:ilvl w:val="0"/>
                <w:numId w:val="3"/>
              </w:numPr>
              <w:bidi w:val="0"/>
              <w:ind w:left="-510" w:right="510" w:firstLine="85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47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jc w:val="both"/>
              <w:rPr/>
            </w:pPr>
            <w:r>
              <w:rPr>
                <w:rFonts w:cs="Tahoma" w:ascii="Times New Roman" w:hAnsi="Times New Roman"/>
                <w:color w:val="000000"/>
                <w:sz w:val="20"/>
                <w:szCs w:val="20"/>
              </w:rPr>
              <w:t xml:space="preserve">Sprzęt fabrycznie nowy, 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en-US"/>
              </w:rPr>
              <w:t xml:space="preserve">wyprodukowany w 2023 roku, nie powystawowy ;                  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en-US"/>
              </w:rPr>
              <w:t xml:space="preserve">Nazwa ….....................................................                                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en-US"/>
              </w:rPr>
              <w:t xml:space="preserve">typ ...................……………………………..                       </w:t>
            </w:r>
          </w:p>
          <w:p>
            <w:pPr>
              <w:pStyle w:val="Normal"/>
              <w:spacing w:lineRule="auto" w:line="240" w:before="60" w:after="6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en-US"/>
              </w:rPr>
              <w:t>Producent.........................................................</w:t>
            </w:r>
          </w:p>
        </w:tc>
        <w:tc>
          <w:tcPr>
            <w:tcW w:w="1646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0" w:name="__DdeLink__1151_506763198"/>
            <w:r>
              <w:rPr>
                <w:rFonts w:cs="Times New Roman" w:ascii="Times New Roman" w:hAnsi="Times New Roman"/>
                <w:color w:val="000000"/>
              </w:rPr>
              <w:t>TAK/podać</w:t>
            </w:r>
            <w:bookmarkEnd w:id="0"/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</w:tc>
        <w:tc>
          <w:tcPr>
            <w:tcW w:w="3385" w:type="dxa"/>
            <w:tcBorders/>
            <w:shd w:fill="auto" w:val="clea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67" w:hRule="exact"/>
        </w:trPr>
        <w:tc>
          <w:tcPr>
            <w:tcW w:w="73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4707" w:type="dxa"/>
            <w:tcBorders/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Switching Stick</w:t>
            </w:r>
          </w:p>
        </w:tc>
        <w:tc>
          <w:tcPr>
            <w:tcW w:w="1646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</w:tr>
      <w:tr>
        <w:trPr>
          <w:trHeight w:val="567" w:hRule="exact"/>
        </w:trPr>
        <w:tc>
          <w:tcPr>
            <w:tcW w:w="73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4707" w:type="dxa"/>
            <w:tcBorders/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Wprowadzacz kaniuli, 8.0mm</w:t>
            </w:r>
          </w:p>
        </w:tc>
        <w:tc>
          <w:tcPr>
            <w:tcW w:w="1646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567" w:hRule="exact"/>
        </w:trPr>
        <w:tc>
          <w:tcPr>
            <w:tcW w:w="73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4707" w:type="dxa"/>
            <w:tcBorders/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Wprowadzacz kaniuli, 5.5mm</w:t>
            </w:r>
          </w:p>
        </w:tc>
        <w:tc>
          <w:tcPr>
            <w:tcW w:w="1646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567" w:hRule="exact"/>
        </w:trPr>
        <w:tc>
          <w:tcPr>
            <w:tcW w:w="73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4707" w:type="dxa"/>
            <w:tcBorders/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Sonda do obr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1"/>
                <w:szCs w:val="21"/>
                <w:u w:val="none"/>
                <w:em w:val="none"/>
              </w:rPr>
              <w:t>ąbka</w:t>
            </w:r>
          </w:p>
        </w:tc>
        <w:tc>
          <w:tcPr>
            <w:tcW w:w="1646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567" w:hRule="exact"/>
        </w:trPr>
        <w:tc>
          <w:tcPr>
            <w:tcW w:w="73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4707" w:type="dxa"/>
            <w:tcBorders/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Szyde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1"/>
                <w:szCs w:val="21"/>
                <w:u w:val="none"/>
                <w:em w:val="none"/>
              </w:rPr>
              <w:t>łko</w:t>
            </w:r>
          </w:p>
        </w:tc>
        <w:tc>
          <w:tcPr>
            <w:tcW w:w="1646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567" w:hRule="exact"/>
        </w:trPr>
        <w:tc>
          <w:tcPr>
            <w:tcW w:w="73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</w:r>
          </w:p>
        </w:tc>
        <w:tc>
          <w:tcPr>
            <w:tcW w:w="4707" w:type="dxa"/>
            <w:tcBorders/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Popychacz do w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1"/>
                <w:szCs w:val="21"/>
                <w:u w:val="none"/>
                <w:em w:val="none"/>
              </w:rPr>
              <w:t>ęzłów</w:t>
            </w:r>
          </w:p>
        </w:tc>
        <w:tc>
          <w:tcPr>
            <w:tcW w:w="1646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567" w:hRule="exac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center"/>
              <w:rPr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Elewator 15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1"/>
                <w:szCs w:val="21"/>
                <w:u w:val="none"/>
                <w:em w:val="none"/>
              </w:rPr>
              <w:t>°- góra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bookmarkStart w:id="1" w:name="__DdeLink__7539_2030831664"/>
            <w:r>
              <w:rPr>
                <w:rFonts w:cs="Times New Roman" w:ascii="Times New Roman" w:hAnsi="Times New Roman"/>
                <w:color w:val="000000"/>
              </w:rPr>
              <w:t>TAK/podać</w:t>
            </w:r>
            <w:bookmarkEnd w:id="1"/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567" w:hRule="exac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408"/>
              </w:tabs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Elewator 15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1"/>
                <w:szCs w:val="21"/>
                <w:u w:val="none"/>
                <w:em w:val="none"/>
              </w:rPr>
              <w:t>°- dół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567" w:hRule="exac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408"/>
              </w:tabs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Skrobak do panewki zagi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1"/>
                <w:szCs w:val="21"/>
                <w:u w:val="none"/>
                <w:em w:val="none"/>
              </w:rPr>
              <w:t>ęty ku górze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567" w:hRule="exac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Skrobak do panewki zagi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1"/>
                <w:szCs w:val="21"/>
                <w:u w:val="none"/>
                <w:em w:val="none"/>
              </w:rPr>
              <w:t>ęty do dołu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567" w:hRule="exac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Kiureta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567" w:hRule="exac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Obcinak do nici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567" w:hRule="exac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Retriever do nici(Manipulator)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567" w:hRule="exac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Grasper z blokad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1"/>
                <w:szCs w:val="21"/>
                <w:u w:val="none"/>
                <w:em w:val="none"/>
              </w:rPr>
              <w:t>ą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567" w:hRule="exac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1"/>
                <w:szCs w:val="21"/>
                <w:u w:val="none"/>
                <w:em w:val="none"/>
              </w:rPr>
              <w:t>Przeszywacz do nici 45°, lewy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567" w:hRule="exac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1"/>
                <w:szCs w:val="21"/>
                <w:u w:val="none"/>
                <w:em w:val="none"/>
              </w:rPr>
              <w:t>Przeszywacz do nici  45°, prawy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567" w:hRule="exac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1"/>
                <w:szCs w:val="21"/>
                <w:u w:val="none"/>
                <w:em w:val="none"/>
              </w:rPr>
              <w:t>Przewlekacz do nici, półksiężyc, prosty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850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1"/>
                <w:szCs w:val="21"/>
                <w:u w:val="none"/>
                <w:em w:val="none"/>
              </w:rPr>
              <w:t>SHUTTLE FERRY® II Instrument do przeszywania mieśni i ściegien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850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Przeszywacz do nici zagięty w lewo Clever Hook (stożek)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850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Przeszywacz do nici zagięty w prawo Clever Hook (stożek)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27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Przeszywacz do nici zagięty w lewo Sixter (obrąbek)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792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Przeszywacz do nici zagięty w prawo Sixter (obrąbek)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84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 xml:space="preserve">Przeszywacz do nici prosty zagięty do góry 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1248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 xml:space="preserve">Narzędzia dedykowane do miękkich kotwic Fiberknot 1.5mm 1.8mm (6 elementów: prowadnica prosta i zagięta, 2 troakary, wiertło sztywne i wiertło nitinolowe). 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963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Narzędzia dedykowane do miękkich kotwic Fiberknot 2.9mm (2 elementy: prowadnica, troakar). Na zdjęciu troakar jest w prowadnicy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561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1"/>
                <w:szCs w:val="21"/>
                <w:u w:val="none"/>
                <w:em w:val="none"/>
              </w:rPr>
              <w:t>Pojemnik do instrumentów stawu barkowego (duże)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28" w:hRule="atLeast"/>
        </w:trPr>
        <w:tc>
          <w:tcPr>
            <w:tcW w:w="10468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1"/>
                <w:szCs w:val="21"/>
              </w:rPr>
              <w:t>GWARANCJA</w:t>
            </w:r>
          </w:p>
        </w:tc>
      </w:tr>
      <w:tr>
        <w:trPr>
          <w:trHeight w:val="607" w:hRule="atLeast"/>
        </w:trPr>
        <w:tc>
          <w:tcPr>
            <w:tcW w:w="730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LineNumbers/>
              <w:ind w:left="720" w:hanging="686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1.          1.</w:t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1"/>
                <w:szCs w:val="21"/>
              </w:rPr>
              <w:t xml:space="preserve">Gwarancja i serwis min. 36-m-cy </w:t>
            </w:r>
            <w:r>
              <w:rPr>
                <w:rFonts w:eastAsia="Arial Unicode MS" w:cs="Times New Roman" w:ascii="Times New Roman" w:hAnsi="Times New Roman"/>
                <w:b w:val="false"/>
                <w:bCs w:val="false"/>
                <w:kern w:val="2"/>
                <w:sz w:val="21"/>
                <w:szCs w:val="21"/>
                <w:lang w:eastAsia="zh-CN" w:bidi="hi-IN"/>
              </w:rPr>
              <w:t>w tym 2 bezpłatne przeglądy w 2 i 3 roku eksploatacji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lang w:eastAsia="ar-SA"/>
              </w:rPr>
            </w:r>
          </w:p>
        </w:tc>
      </w:tr>
      <w:tr>
        <w:trPr>
          <w:trHeight w:val="1286" w:hRule="atLeast"/>
        </w:trPr>
        <w:tc>
          <w:tcPr>
            <w:tcW w:w="730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LineNumbers/>
              <w:ind w:left="720" w:hanging="686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2.          2.</w:t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both"/>
              <w:rPr/>
            </w:pPr>
            <w:r>
              <w:rPr>
                <w:rFonts w:ascii="Times New Roman" w:hAnsi="Times New Roman"/>
                <w:sz w:val="21"/>
                <w:szCs w:val="21"/>
              </w:rPr>
              <w:t>Bezpłatne przeglądy sprzętu wraz z wymianą zestawów serwisowych zalecanych przez Producenta i wpisem do paszportu. Harmonogram przeglądów winien być ustalany na koniec każdego roku pracy sprzętu.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lang w:eastAsia="ar-SA"/>
              </w:rPr>
            </w:r>
          </w:p>
        </w:tc>
      </w:tr>
      <w:tr>
        <w:trPr>
          <w:trHeight w:val="5448" w:hRule="atLeast"/>
        </w:trPr>
        <w:tc>
          <w:tcPr>
            <w:tcW w:w="730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LineNumbers/>
              <w:ind w:left="720" w:hanging="686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3.          3.</w:t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both"/>
              <w:rPr/>
            </w:pPr>
            <w:r>
              <w:rPr>
                <w:rFonts w:ascii="Times New Roman" w:hAnsi="Times New Roman"/>
                <w:sz w:val="21"/>
                <w:szCs w:val="21"/>
              </w:rPr>
              <w:t>Zobowiązanie do bezpłatnej wymiany przedmiotu zamówienia na nowy w okresie gwarancji w przypadku wystąpienia trzech awarii tego samego elementu/podzespołu, których usunięcie związane będzie z wymianą części lub podzespołów. Wykonawca zobowiązuje się przystąpić do naprawy uszkodzonego elementu w czasie nie dłuższym niż 48 godziny od chwili zgłoszenia awarii w dni robocze od poniedziałku do piątku z wyłączeniem dni ustawowo wolnych od pracy. W przypadku konieczności sprowadzenia części zamiennych z zagranicy w terminie 7 dni roboczych (rozumianych jako dni od poniedziałku do piątku z wyłączeniem dni ustawowo wolnych od pracy) od momentu zgłoszenia awarii sprzętu przez Zamawiającego. Gwarancja ulega automatycznemu przedłużeniu o każdy kolejny dzień wyłączenia z użytku. Dokumentem potwierdzającym wyłączenie z użytku jest zgłoszenie awarii. Ponowne wprowadzenie przedmiotu zamówienia do użytku jest dokument odbioru naprawionego sprzętu podpisany przez Zamawiającego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lang w:eastAsia="ar-SA"/>
              </w:rPr>
            </w:r>
          </w:p>
        </w:tc>
      </w:tr>
      <w:tr>
        <w:trPr>
          <w:trHeight w:val="852" w:hRule="atLeast"/>
        </w:trPr>
        <w:tc>
          <w:tcPr>
            <w:tcW w:w="730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LineNumbers/>
              <w:ind w:left="720" w:hanging="686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4           4. </w:t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both"/>
              <w:rPr/>
            </w:pPr>
            <w:r>
              <w:rPr>
                <w:rFonts w:ascii="Times New Roman" w:hAnsi="Times New Roman"/>
                <w:sz w:val="21"/>
                <w:szCs w:val="21"/>
              </w:rPr>
              <w:t>Serwis pogwarancyjny, odpłatny przez okres min. 10 lat oraz gwarancja zapewnienia zakupu części zamiennych przez okres 10 lat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lang w:eastAsia="ar-SA"/>
              </w:rPr>
            </w:r>
          </w:p>
        </w:tc>
      </w:tr>
      <w:tr>
        <w:trPr>
          <w:trHeight w:val="396" w:hRule="atLeast"/>
        </w:trPr>
        <w:tc>
          <w:tcPr>
            <w:tcW w:w="730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LineNumbers/>
              <w:ind w:left="720" w:hanging="686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5           5. </w:t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both"/>
              <w:rPr/>
            </w:pPr>
            <w:r>
              <w:rPr>
                <w:rFonts w:ascii="Times New Roman" w:hAnsi="Times New Roman"/>
                <w:sz w:val="21"/>
                <w:szCs w:val="21"/>
              </w:rPr>
              <w:t>Punkty serwisowe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lang w:eastAsia="ar-SA"/>
              </w:rPr>
            </w:r>
          </w:p>
        </w:tc>
      </w:tr>
      <w:tr>
        <w:trPr>
          <w:trHeight w:val="1128" w:hRule="atLeast"/>
        </w:trPr>
        <w:tc>
          <w:tcPr>
            <w:tcW w:w="730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LineNumbers/>
              <w:ind w:left="720" w:hanging="0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both"/>
              <w:textAlignment w:val="baseline"/>
              <w:rPr/>
            </w:pPr>
            <w:r>
              <w:rPr>
                <w:rFonts w:eastAsia="Arial Unicode MS" w:cs="Times New Roman" w:ascii="Times New Roman" w:hAnsi="Times New Roman"/>
                <w:kern w:val="2"/>
                <w:sz w:val="21"/>
                <w:szCs w:val="21"/>
                <w:lang w:eastAsia="zh-CN" w:bidi="hi-IN"/>
              </w:rPr>
              <w:t>Gwarancja aktualizacji oprogramowania do najnowszej dostępnej wersji na rynku przez okres 36 m-cy od dnia odbioru, podczas każdego wykonywanego przeglądu .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lang w:eastAsia="ar-SA"/>
              </w:rPr>
            </w:r>
          </w:p>
        </w:tc>
      </w:tr>
      <w:tr>
        <w:trPr>
          <w:trHeight w:val="576" w:hRule="atLeast"/>
        </w:trPr>
        <w:tc>
          <w:tcPr>
            <w:tcW w:w="730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LineNumbers/>
              <w:ind w:left="720" w:hanging="686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7.          7.</w:t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both"/>
              <w:rPr/>
            </w:pPr>
            <w:r>
              <w:rPr>
                <w:rFonts w:ascii="Times New Roman" w:hAnsi="Times New Roman"/>
                <w:sz w:val="21"/>
                <w:szCs w:val="21"/>
              </w:rPr>
              <w:t>Dokumentacja techniczna, instrukcja obsługi, użytkowania w języku polskim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lang w:eastAsia="ar-SA"/>
              </w:rPr>
            </w:r>
          </w:p>
        </w:tc>
      </w:tr>
      <w:tr>
        <w:trPr>
          <w:trHeight w:val="336" w:hRule="atLeast"/>
        </w:trPr>
        <w:tc>
          <w:tcPr>
            <w:tcW w:w="730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LineNumbers/>
              <w:ind w:left="720" w:hanging="686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8           8. </w:t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both"/>
              <w:rPr/>
            </w:pPr>
            <w:r>
              <w:rPr>
                <w:rFonts w:ascii="Times New Roman" w:hAnsi="Times New Roman"/>
                <w:sz w:val="21"/>
                <w:szCs w:val="21"/>
              </w:rPr>
              <w:t>Deklaracja zgodności CE dołączona do oferty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lang w:eastAsia="ar-SA"/>
              </w:rPr>
            </w:r>
          </w:p>
        </w:tc>
      </w:tr>
    </w:tbl>
    <w:p>
      <w:pPr>
        <w:pStyle w:val="Nagwek1"/>
        <w:widowControl w:val="false"/>
        <w:rPr/>
      </w:pPr>
      <w:r>
        <w:rPr/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  <w:bookmarkStart w:id="2" w:name="__DdeLink__6407_3590778256"/>
      <w:bookmarkStart w:id="3" w:name="__DdeLink__6407_3590778256"/>
      <w:bookmarkEnd w:id="3"/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lineRule="auto" w:line="276"/>
        <w:ind w:left="-283" w:right="0" w:hanging="0"/>
        <w:jc w:val="both"/>
        <w:rPr/>
      </w:pPr>
      <w:r>
        <w:rPr>
          <w:rFonts w:eastAsia="Times New Roman" w:cs="Times New Roman" w:ascii="Times New Roman" w:hAnsi="Times New Roman"/>
          <w:sz w:val="22"/>
          <w:lang w:eastAsia="ar-SA"/>
        </w:rPr>
        <w:t xml:space="preserve">W przypadku zastosowania w powyższej dokumentacji nazw dostawców, producentów, materiałów, </w:t>
      </w:r>
      <w:r>
        <w:rPr>
          <w:rFonts w:ascii="Times New Roman" w:hAnsi="Times New Roman"/>
          <w:sz w:val="22"/>
        </w:rPr>
        <w:t>urządzeń lub ich elementów, znaków towarowych, patentów lub pochodzenia, źródła lub szczególnego procesu, który charakteryzuje produkty lub usługi dostarczane przez konkretnego wykonawcę, Zamawiający traktuje takie użycia - zgodnie z art. 99 ust. 4 Pzp - jako określenie minimalnych wymaganych parametrów przedmiotu zamówienia za pomocą podania standardu. Równocześnie Zamawiający dopuszcza możliwość zastosowania innych odpowiedników rynkowych, równoważnych ze wskazanymi z zastrzeżeniem jednak, że nie będą one gorsze pod względem parametrów technicznych, jakościowych i eksploatacyjnych od podanych i zagwarantują uzyskanie takich samych (lub lepszych) parametrów technicznych, oraz będą posiadać niezbędne atesty i dopuszczenia do stosowania. W takiej sytuacji Wykonawca ma obowiązek dołączyć do oferty niezbędne certyfikaty, aprobaty techniczne, karty techniczne itp. dotyczące oferowanego przedmiotu zamówienia, z których jednoznacznie będzie wynikać, iż stanowią one produkty równoważne do opisanych przez Zamawiającego.</w:t>
      </w:r>
    </w:p>
    <w:p>
      <w:pPr>
        <w:pStyle w:val="Normal"/>
        <w:spacing w:lineRule="auto" w:line="276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/>
        <w:numPr>
          <w:ilvl w:val="0"/>
          <w:numId w:val="1"/>
        </w:numPr>
        <w:overflowPunct w:val="true"/>
        <w:bidi w:val="0"/>
        <w:spacing w:lineRule="auto" w:line="276"/>
        <w:ind w:left="-227" w:right="0" w:hanging="0"/>
        <w:jc w:val="left"/>
        <w:rPr/>
      </w:pPr>
      <w:r>
        <w:rPr>
          <w:rFonts w:ascii="Times New Roman" w:hAnsi="Times New Roman"/>
          <w:sz w:val="22"/>
        </w:rPr>
        <w:t>W przypadku odniesienia w załączonej do SWZ dokumentacji do norm, ocen technicznych, aprobat, specyfikacji technicznych i systemów referencji technicznych Zamawiający dopuszcza - zgodnie z art. 101 ust. 4 Pzp. - rozwiązania równoważne opisywanym.</w:t>
      </w:r>
    </w:p>
    <w:p>
      <w:pPr>
        <w:pStyle w:val="Normal"/>
        <w:spacing w:lineRule="auto" w:line="276"/>
        <w:jc w:val="left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76"/>
        <w:jc w:val="left"/>
        <w:rPr>
          <w:sz w:val="22"/>
        </w:rPr>
      </w:pPr>
      <w:r>
        <w:rPr>
          <w:sz w:val="22"/>
        </w:rPr>
      </w:r>
    </w:p>
    <w:p>
      <w:pPr>
        <w:pStyle w:val="Normal"/>
        <w:widowControl/>
        <w:overflowPunct w:val="true"/>
        <w:bidi w:val="0"/>
        <w:spacing w:lineRule="auto" w:line="276"/>
        <w:ind w:left="-227" w:right="0" w:hanging="0"/>
        <w:jc w:val="left"/>
        <w:rPr/>
      </w:pPr>
      <w:r>
        <w:rPr>
          <w:rFonts w:ascii="Times New Roman" w:hAnsi="Times New Roman"/>
          <w:sz w:val="22"/>
          <w:u w:val="single"/>
        </w:rPr>
        <w:t>Oświadczenie Wykonawcy:</w:t>
      </w:r>
    </w:p>
    <w:p>
      <w:pPr>
        <w:pStyle w:val="Normal"/>
        <w:widowControl/>
        <w:numPr>
          <w:ilvl w:val="0"/>
          <w:numId w:val="2"/>
        </w:numPr>
        <w:overflowPunct w:val="true"/>
        <w:bidi w:val="0"/>
        <w:spacing w:lineRule="auto" w:line="276"/>
        <w:ind w:left="-227" w:right="0" w:hanging="0"/>
        <w:jc w:val="left"/>
        <w:rPr/>
      </w:pPr>
      <w:r>
        <w:rPr>
          <w:rFonts w:ascii="Times New Roman" w:hAnsi="Times New Roman"/>
          <w:sz w:val="22"/>
        </w:rPr>
        <w:t>Oświadczamy, że przedstawione powyżej dane są prawdziwe oraz zobowiązujemy się w przypadku wygrania przetargu do dostarczenia sprzętu spełniającego wyspecyfikowane parametry.</w:t>
      </w:r>
    </w:p>
    <w:p>
      <w:pPr>
        <w:pStyle w:val="Normal"/>
        <w:widowControl/>
        <w:numPr>
          <w:ilvl w:val="0"/>
          <w:numId w:val="2"/>
        </w:numPr>
        <w:overflowPunct w:val="true"/>
        <w:bidi w:val="0"/>
        <w:spacing w:lineRule="auto" w:line="276"/>
        <w:ind w:left="-283" w:right="0" w:hanging="0"/>
        <w:jc w:val="left"/>
        <w:rPr/>
      </w:pPr>
      <w:r>
        <w:rPr>
          <w:rFonts w:ascii="Times New Roman" w:hAnsi="Times New Roman"/>
          <w:sz w:val="22"/>
        </w:rPr>
        <w:t xml:space="preserve">Oświadczamy, że oferowany powyżej wyspecyfikowany sprzęt jest kompletny i po zainstalowaniu będzie gotowy do eksploatacji, bez żadnych dodatkowych zakupów i inwestycji (poza materiałami </w:t>
      </w:r>
      <w:r>
        <w:rPr>
          <w:rFonts w:eastAsia="Times New Roman" w:cs="Times New Roman" w:ascii="Times New Roman" w:hAnsi="Times New Roman"/>
          <w:sz w:val="22"/>
          <w:lang w:eastAsia="ar-SA"/>
        </w:rPr>
        <w:t>eksploatacyjnymi).</w:t>
      </w:r>
    </w:p>
    <w:p>
      <w:pPr>
        <w:pStyle w:val="Style35"/>
        <w:widowControl/>
        <w:suppressAutoHyphens w:val="true"/>
        <w:snapToGrid w:val="false"/>
        <w:spacing w:lineRule="auto" w:line="276"/>
        <w:ind w:right="58" w:hanging="0"/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  <w:r>
        <w:rPr>
          <w:rFonts w:cs="Times New Roman" w:ascii="Times New Roman" w:hAnsi="Times New Roman"/>
          <w:sz w:val="22"/>
          <w:szCs w:val="22"/>
          <w:highlight w:val="yellow"/>
        </w:rPr>
      </w:r>
    </w:p>
    <w:p>
      <w:pPr>
        <w:pStyle w:val="Normal"/>
        <w:rPr>
          <w:rFonts w:ascii="Calibri" w:hAnsi="Calibri" w:cs="Arial"/>
          <w:sz w:val="16"/>
          <w:szCs w:val="16"/>
        </w:rPr>
      </w:pPr>
      <w:r>
        <w:rPr>
          <w:rFonts w:cs="Arial"/>
          <w:sz w:val="16"/>
          <w:szCs w:val="16"/>
        </w:rPr>
      </w:r>
    </w:p>
    <w:p>
      <w:pPr>
        <w:pStyle w:val="Normal"/>
        <w:rPr>
          <w:rFonts w:ascii="Calibri" w:hAnsi="Calibri" w:cs="Arial"/>
          <w:sz w:val="16"/>
          <w:szCs w:val="16"/>
        </w:rPr>
      </w:pPr>
      <w:r>
        <w:rPr>
          <w:rFonts w:cs="Arial"/>
          <w:sz w:val="16"/>
          <w:szCs w:val="16"/>
        </w:rPr>
      </w:r>
    </w:p>
    <w:p>
      <w:pPr>
        <w:pStyle w:val="Normal"/>
        <w:rPr>
          <w:rFonts w:ascii="Calibri" w:hAnsi="Calibri" w:cs="Arial"/>
          <w:sz w:val="16"/>
          <w:szCs w:val="16"/>
        </w:rPr>
      </w:pPr>
      <w:r>
        <w:rPr>
          <w:rFonts w:cs="Arial"/>
          <w:sz w:val="16"/>
          <w:szCs w:val="16"/>
        </w:rPr>
      </w:r>
    </w:p>
    <w:p>
      <w:pPr>
        <w:pStyle w:val="Normal"/>
        <w:rPr>
          <w:rFonts w:ascii="Calibri" w:hAnsi="Calibri" w:cs="Arial"/>
          <w:sz w:val="16"/>
          <w:szCs w:val="16"/>
        </w:rPr>
      </w:pPr>
      <w:r>
        <w:rPr>
          <w:rFonts w:cs="Arial"/>
          <w:sz w:val="16"/>
          <w:szCs w:val="16"/>
        </w:rPr>
      </w:r>
    </w:p>
    <w:p>
      <w:pPr>
        <w:pStyle w:val="Normal"/>
        <w:rPr/>
      </w:pPr>
      <w:r>
        <w:rPr>
          <w:rFonts w:cs="Arial"/>
          <w:sz w:val="16"/>
          <w:szCs w:val="16"/>
        </w:rPr>
        <w:tab/>
        <w:t xml:space="preserve">  </w:t>
        <w:tab/>
        <w:tab/>
        <w:t xml:space="preserve">  </w:t>
        <w:tab/>
        <w:tab/>
        <w:tab/>
        <w:tab/>
        <w:tab/>
        <w:tab/>
        <w:tab/>
        <w:tab/>
        <w:tab/>
        <w:t xml:space="preserve"> </w:t>
        <w:tab/>
      </w:r>
      <w:r>
        <w:rPr>
          <w:rFonts w:cs="Times New Roman" w:ascii="Times New Roman" w:hAnsi="Times New Roman"/>
        </w:rPr>
        <w:t>.........................................................................</w:t>
      </w:r>
    </w:p>
    <w:p>
      <w:pPr>
        <w:pStyle w:val="Normal"/>
        <w:ind w:hanging="0"/>
        <w:rPr/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ab/>
        <w:tab/>
        <w:tab/>
        <w:tab/>
        <w:tab/>
        <w:tab/>
        <w:t xml:space="preserve">  Pieczęć i podpis osoby uprawnionej</w:t>
      </w:r>
    </w:p>
    <w:p>
      <w:pPr>
        <w:pStyle w:val="Normal"/>
        <w:ind w:left="5664" w:hanging="0"/>
        <w:rPr/>
      </w:pPr>
      <w:r>
        <w:rPr>
          <w:rFonts w:cs="Times New Roman" w:ascii="Times New Roman" w:hAnsi="Times New Roman"/>
          <w:b w:val="false"/>
          <w:bCs w:val="false"/>
        </w:rPr>
        <w:t xml:space="preserve">      </w:t>
      </w:r>
      <w:r>
        <w:rPr>
          <w:rFonts w:cs="Times New Roman" w:ascii="Times New Roman" w:hAnsi="Times New Roman"/>
          <w:b w:val="false"/>
          <w:bCs w:val="false"/>
        </w:rPr>
        <w:t>do reprezentowania Wykonawcy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  <w:bookmarkStart w:id="4" w:name="__DdeLink__6407_35907782561"/>
      <w:bookmarkStart w:id="5" w:name="__DdeLink__6407_35907782561"/>
      <w:bookmarkEnd w:id="5"/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8" w:right="707" w:header="709" w:top="766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Univers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6118860" cy="72390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723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8333f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444884"/>
    <w:pPr>
      <w:keepNext w:val="true"/>
      <w:outlineLvl w:val="0"/>
    </w:pPr>
    <w:rPr>
      <w:rFonts w:ascii="Times New Roman" w:hAnsi="Times New Roman" w:eastAsia="Times New Roman" w:cs="Times New Roman"/>
      <w:b/>
      <w:sz w:val="20"/>
      <w:szCs w:val="20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031449"/>
    <w:rPr>
      <w:rFonts w:ascii="Tahoma" w:hAnsi="Tahoma" w:cs="Tahoma"/>
      <w:sz w:val="16"/>
      <w:szCs w:val="16"/>
    </w:rPr>
  </w:style>
  <w:style w:type="character" w:styleId="Nagwek1Znak" w:customStyle="1">
    <w:name w:val="Nagłówek 1 Znak"/>
    <w:basedOn w:val="DefaultParagraphFont"/>
    <w:link w:val="Nagwek1"/>
    <w:qFormat/>
    <w:rsid w:val="00444884"/>
    <w:rPr>
      <w:rFonts w:ascii="Times New Roman" w:hAnsi="Times New Roman" w:eastAsia="Times New Roman" w:cs="Times New Roman"/>
      <w:b/>
      <w:sz w:val="20"/>
      <w:szCs w:val="20"/>
      <w:lang w:eastAsia="zh-CN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272696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272696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b w:val="false"/>
      <w:i w:val="false"/>
      <w:spacing w:val="0"/>
      <w:kern w:val="0"/>
      <w:sz w:val="22"/>
    </w:rPr>
  </w:style>
  <w:style w:type="character" w:styleId="ListLabel8">
    <w:name w:val="ListLabel 8"/>
    <w:qFormat/>
    <w:rPr>
      <w:b w:val="false"/>
      <w:i w:val="false"/>
      <w:spacing w:val="0"/>
      <w:kern w:val="0"/>
      <w:sz w:val="22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Znakinumeracji">
    <w:name w:val="Znaki numeracji"/>
    <w:qFormat/>
    <w:rPr/>
  </w:style>
  <w:style w:type="character" w:styleId="Wyrnienie">
    <w:name w:val="Wyróżnienie"/>
    <w:basedOn w:val="DefaultParagraphFont"/>
    <w:qFormat/>
    <w:rPr>
      <w:i/>
      <w:iCs/>
    </w:rPr>
  </w:style>
  <w:style w:type="character" w:styleId="St">
    <w:name w:val="st"/>
    <w:basedOn w:val="DefaultParagraphFont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WWTekstpodstawowy3" w:customStyle="1">
    <w:name w:val="WW-Tekst podstawowy 3"/>
    <w:basedOn w:val="Normal"/>
    <w:uiPriority w:val="99"/>
    <w:qFormat/>
    <w:rsid w:val="008877fb"/>
    <w:pPr>
      <w:suppressAutoHyphens w:val="true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e35" w:customStyle="1">
    <w:name w:val="Style35"/>
    <w:basedOn w:val="Normal"/>
    <w:qFormat/>
    <w:rsid w:val="006d491e"/>
    <w:pPr>
      <w:widowControl w:val="false"/>
      <w:spacing w:lineRule="exact" w:line="254"/>
    </w:pPr>
    <w:rPr>
      <w:rFonts w:ascii="Arial Unicode MS" w:hAnsi="Arial Unicode MS" w:eastAsia="Arial Unicode MS" w:cs="Arial Unicode MS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31449"/>
    <w:pPr/>
    <w:rPr>
      <w:rFonts w:ascii="Tahoma" w:hAnsi="Tahoma" w:cs="Tahoma"/>
      <w:sz w:val="16"/>
      <w:szCs w:val="16"/>
    </w:rPr>
  </w:style>
  <w:style w:type="paragraph" w:styleId="Envelopereturn">
    <w:name w:val="envelope return"/>
    <w:basedOn w:val="Normal"/>
    <w:unhideWhenUsed/>
    <w:qFormat/>
    <w:rsid w:val="00444884"/>
    <w:pPr>
      <w:suppressAutoHyphens w:val="true"/>
    </w:pPr>
    <w:rPr>
      <w:rFonts w:ascii="Univers" w:hAnsi="Univers" w:eastAsia="Times New Roman" w:cs="Times New Roman"/>
      <w:sz w:val="24"/>
      <w:szCs w:val="20"/>
      <w:lang w:val="en-GB" w:eastAsia="ar-SA"/>
    </w:rPr>
  </w:style>
  <w:style w:type="paragraph" w:styleId="ListParagraph">
    <w:name w:val="List Paragraph"/>
    <w:basedOn w:val="Normal"/>
    <w:uiPriority w:val="34"/>
    <w:qFormat/>
    <w:rsid w:val="00444884"/>
    <w:pPr>
      <w:widowControl w:val="false"/>
      <w:spacing w:before="0" w:after="0"/>
      <w:ind w:left="720" w:hanging="0"/>
      <w:contextualSpacing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" w:customStyle="1">
    <w:name w:val="Default"/>
    <w:qFormat/>
    <w:rsid w:val="00444884"/>
    <w:pPr>
      <w:widowControl/>
      <w:bidi w:val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Gwka">
    <w:name w:val="Header"/>
    <w:basedOn w:val="Normal"/>
    <w:link w:val="NagwekZnak"/>
    <w:uiPriority w:val="99"/>
    <w:unhideWhenUsed/>
    <w:rsid w:val="00272696"/>
    <w:pPr>
      <w:tabs>
        <w:tab w:val="clear" w:pos="4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272696"/>
    <w:pPr>
      <w:tabs>
        <w:tab w:val="clear" w:pos="408"/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196861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34240-F313-4B07-8B93-DE4EDF9D1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Application>LibreOffice/6.1.1.2$Windows_x86 LibreOffice_project/5d19a1bfa650b796764388cd8b33a5af1f5baa1b</Application>
  <Pages>4</Pages>
  <Words>727</Words>
  <Characters>4822</Characters>
  <CharactersWithSpaces>5665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2021-07-15T11:36:00Z</dcterms:created>
  <dc:creator>Maria Sak</dc:creator>
  <dc:description/>
  <dc:language>pl-PL</dc:language>
  <cp:lastModifiedBy/>
  <cp:lastPrinted>2023-03-09T07:28:00Z</cp:lastPrinted>
  <dcterms:modified xsi:type="dcterms:W3CDTF">2023-09-26T10:34:47Z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