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60"/>
        <w:jc w:val="end"/>
        <w:rPr>
          <w:rFonts w:ascii="Times New Roman" w:hAnsi="Times New Roman" w:cs="Times New Roman"/>
          <w:b/>
          <w:bCs/>
        </w:rPr>
      </w:pPr>
      <w:r>
        <w:rPr>
          <w:rFonts w:cs="Times New Roman" w:ascii="Times New Roman" w:hAnsi="Times New Roman"/>
          <w:b/>
          <w:bCs/>
        </w:rPr>
        <w:t>Załącznik nr 3</w:t>
      </w:r>
    </w:p>
    <w:p>
      <w:pPr>
        <w:pStyle w:val="Normal"/>
        <w:spacing w:lineRule="auto" w:line="240" w:before="0" w:after="60"/>
        <w:jc w:val="end"/>
        <w:rPr>
          <w:rFonts w:ascii="Times New Roman" w:hAnsi="Times New Roman" w:cs="Times New Roman"/>
          <w:b/>
          <w:bCs/>
        </w:rPr>
      </w:pPr>
      <w:r>
        <w:rPr>
          <w:rFonts w:cs="Times New Roman" w:ascii="Times New Roman" w:hAnsi="Times New Roman"/>
          <w:b/>
          <w:bCs/>
        </w:rPr>
      </w:r>
    </w:p>
    <w:p>
      <w:pPr>
        <w:pStyle w:val="Normal"/>
        <w:spacing w:lineRule="auto" w:line="240" w:before="60" w:after="60"/>
        <w:jc w:val="center"/>
        <w:rPr>
          <w:rFonts w:ascii="Times New Roman" w:hAnsi="Times New Roman" w:cs="Times New Roman"/>
          <w:b/>
          <w:bCs/>
        </w:rPr>
      </w:pPr>
      <w:r>
        <w:rPr>
          <w:rFonts w:cs="Times New Roman" w:ascii="Times New Roman" w:hAnsi="Times New Roman"/>
          <w:b/>
          <w:bCs/>
        </w:rPr>
        <w:t xml:space="preserve">Wzór umowy </w:t>
      </w:r>
    </w:p>
    <w:p>
      <w:pPr>
        <w:pStyle w:val="Normal"/>
        <w:spacing w:lineRule="auto" w:line="240" w:before="60" w:after="60"/>
        <w:jc w:val="center"/>
        <w:rPr>
          <w:rFonts w:ascii="Times New Roman" w:hAnsi="Times New Roman" w:cs="Times New Roman"/>
        </w:rPr>
      </w:pPr>
      <w:r>
        <w:rPr>
          <w:rFonts w:cs="Times New Roman" w:ascii="Times New Roman" w:hAnsi="Times New Roman"/>
        </w:rPr>
      </w:r>
    </w:p>
    <w:p>
      <w:pPr>
        <w:pStyle w:val="Normal"/>
        <w:spacing w:lineRule="auto" w:line="240" w:before="60" w:after="60"/>
        <w:jc w:val="both"/>
        <w:rPr>
          <w:rFonts w:ascii="Times New Roman" w:hAnsi="Times New Roman" w:cs="Times New Roman"/>
        </w:rPr>
      </w:pPr>
      <w:r>
        <w:rPr>
          <w:rFonts w:cs="Times New Roman" w:ascii="Times New Roman" w:hAnsi="Times New Roman"/>
        </w:rPr>
        <w:t>Zawarta w ……… dnia …………… pomiędzy:</w:t>
      </w:r>
    </w:p>
    <w:p>
      <w:pPr>
        <w:pStyle w:val="Default"/>
        <w:spacing w:before="60" w:after="60"/>
        <w:rPr>
          <w:color w:val="auto"/>
          <w:sz w:val="22"/>
          <w:szCs w:val="22"/>
        </w:rPr>
      </w:pPr>
      <w:r>
        <w:rPr>
          <w:color w:val="auto"/>
          <w:sz w:val="22"/>
          <w:szCs w:val="22"/>
        </w:rPr>
      </w:r>
    </w:p>
    <w:p>
      <w:pPr>
        <w:pStyle w:val="Default"/>
        <w:spacing w:before="60" w:after="60"/>
        <w:jc w:val="both"/>
        <w:rPr>
          <w:color w:val="auto"/>
          <w:sz w:val="22"/>
          <w:szCs w:val="22"/>
        </w:rPr>
      </w:pPr>
      <w:r>
        <w:rPr>
          <w:b/>
          <w:bCs/>
          <w:color w:val="auto"/>
          <w:sz w:val="22"/>
          <w:szCs w:val="22"/>
        </w:rPr>
        <w:t>Zakład Gospodarki Komunalnej w Wieliczce Sp. z o.o.</w:t>
      </w:r>
      <w:r>
        <w:rPr>
          <w:color w:val="auto"/>
          <w:sz w:val="22"/>
          <w:szCs w:val="22"/>
        </w:rPr>
        <w:t xml:space="preserve">, z siedzibą w Wieliczce, ul. Winnicka 12, 32–020 Wieliczka, posiadająca NIP 683 20 09 500 oraz REGON 120618017, reprezentowaną przez: </w:t>
      </w:r>
    </w:p>
    <w:p>
      <w:pPr>
        <w:pStyle w:val="Default"/>
        <w:spacing w:before="60" w:after="60"/>
        <w:jc w:val="both"/>
        <w:rPr>
          <w:color w:val="auto"/>
          <w:sz w:val="22"/>
          <w:szCs w:val="22"/>
        </w:rPr>
      </w:pPr>
      <w:r>
        <w:rPr>
          <w:color w:val="auto"/>
          <w:sz w:val="22"/>
          <w:szCs w:val="22"/>
        </w:rPr>
      </w:r>
    </w:p>
    <w:p>
      <w:pPr>
        <w:pStyle w:val="Default"/>
        <w:spacing w:before="60" w:after="60"/>
        <w:jc w:val="both"/>
        <w:rPr>
          <w:color w:val="auto"/>
          <w:sz w:val="22"/>
          <w:szCs w:val="22"/>
        </w:rPr>
      </w:pPr>
      <w:r>
        <w:rPr>
          <w:color w:val="auto"/>
          <w:sz w:val="22"/>
          <w:szCs w:val="22"/>
        </w:rPr>
        <w:t xml:space="preserve">…………………………………………  </w:t>
      </w:r>
    </w:p>
    <w:p>
      <w:pPr>
        <w:pStyle w:val="Default"/>
        <w:spacing w:before="60" w:after="60"/>
        <w:jc w:val="both"/>
        <w:rPr>
          <w:color w:val="auto"/>
          <w:sz w:val="22"/>
          <w:szCs w:val="22"/>
        </w:rPr>
      </w:pPr>
      <w:r>
        <w:rPr>
          <w:color w:val="auto"/>
          <w:sz w:val="22"/>
          <w:szCs w:val="22"/>
        </w:rPr>
        <w:t xml:space="preserve">zwaną dalej </w:t>
      </w:r>
      <w:r>
        <w:rPr>
          <w:b/>
          <w:bCs/>
          <w:color w:val="auto"/>
          <w:sz w:val="22"/>
          <w:szCs w:val="22"/>
        </w:rPr>
        <w:t>„Zamawiającym”</w:t>
      </w:r>
    </w:p>
    <w:p>
      <w:pPr>
        <w:pStyle w:val="Default"/>
        <w:spacing w:before="60" w:after="60"/>
        <w:rPr>
          <w:color w:val="auto"/>
          <w:sz w:val="22"/>
          <w:szCs w:val="22"/>
        </w:rPr>
      </w:pPr>
      <w:r>
        <w:rPr>
          <w:color w:val="auto"/>
          <w:sz w:val="22"/>
          <w:szCs w:val="22"/>
        </w:rPr>
        <w:t xml:space="preserve">a: </w:t>
      </w:r>
    </w:p>
    <w:p>
      <w:pPr>
        <w:pStyle w:val="Default"/>
        <w:spacing w:before="60" w:after="60"/>
        <w:rPr>
          <w:color w:val="auto"/>
          <w:sz w:val="22"/>
          <w:szCs w:val="22"/>
        </w:rPr>
      </w:pPr>
      <w:r>
        <w:rPr>
          <w:color w:val="auto"/>
          <w:sz w:val="22"/>
          <w:szCs w:val="22"/>
        </w:rPr>
        <w:t xml:space="preserve">………………………………………………………………………………………………………………………………………………………………………………………………………………………… </w:t>
      </w:r>
    </w:p>
    <w:p>
      <w:pPr>
        <w:pStyle w:val="Default"/>
        <w:spacing w:before="60" w:after="60"/>
        <w:rPr>
          <w:color w:val="auto"/>
          <w:sz w:val="22"/>
          <w:szCs w:val="22"/>
        </w:rPr>
      </w:pPr>
      <w:r>
        <w:rPr>
          <w:color w:val="auto"/>
          <w:sz w:val="22"/>
          <w:szCs w:val="22"/>
        </w:rPr>
      </w:r>
    </w:p>
    <w:p>
      <w:pPr>
        <w:pStyle w:val="Default"/>
        <w:spacing w:before="60" w:after="60"/>
        <w:rPr>
          <w:color w:val="auto"/>
          <w:sz w:val="22"/>
          <w:szCs w:val="22"/>
        </w:rPr>
      </w:pPr>
      <w:r>
        <w:rPr>
          <w:color w:val="auto"/>
          <w:sz w:val="22"/>
          <w:szCs w:val="22"/>
        </w:rPr>
        <w:t xml:space="preserve">reprezentowaną przez: </w:t>
      </w:r>
    </w:p>
    <w:p>
      <w:pPr>
        <w:pStyle w:val="Default"/>
        <w:spacing w:before="60" w:after="60"/>
        <w:rPr>
          <w:color w:val="auto"/>
          <w:sz w:val="22"/>
          <w:szCs w:val="22"/>
        </w:rPr>
      </w:pPr>
      <w:r>
        <w:rPr>
          <w:color w:val="auto"/>
          <w:sz w:val="22"/>
          <w:szCs w:val="22"/>
        </w:rPr>
        <w:t xml:space="preserve">………………………………………… </w:t>
      </w:r>
    </w:p>
    <w:p>
      <w:pPr>
        <w:pStyle w:val="Normal"/>
        <w:spacing w:lineRule="auto" w:line="240" w:before="60" w:after="60"/>
        <w:jc w:val="both"/>
        <w:rPr>
          <w:rFonts w:ascii="Times New Roman" w:hAnsi="Times New Roman" w:cs="Times New Roman"/>
        </w:rPr>
      </w:pPr>
      <w:r>
        <w:rPr>
          <w:rFonts w:cs="Times New Roman" w:ascii="Times New Roman" w:hAnsi="Times New Roman"/>
        </w:rPr>
        <w:t xml:space="preserve">zwaną dalej </w:t>
      </w:r>
      <w:r>
        <w:rPr>
          <w:rFonts w:cs="Times New Roman" w:ascii="Times New Roman" w:hAnsi="Times New Roman"/>
          <w:b/>
          <w:bCs/>
        </w:rPr>
        <w:t>„Wykonawcą”</w:t>
      </w:r>
      <w:r>
        <w:rPr>
          <w:rFonts w:cs="Times New Roman" w:ascii="Times New Roman" w:hAnsi="Times New Roman"/>
        </w:rPr>
        <w:t>.</w:t>
      </w:r>
    </w:p>
    <w:p>
      <w:pPr>
        <w:pStyle w:val="Normal"/>
        <w:spacing w:lineRule="auto" w:line="240" w:before="60" w:after="60"/>
        <w:jc w:val="both"/>
        <w:rPr>
          <w:rFonts w:ascii="Times New Roman" w:hAnsi="Times New Roman" w:cs="Times New Roman"/>
        </w:rPr>
      </w:pPr>
      <w:r>
        <w:rPr>
          <w:rFonts w:cs="Times New Roman" w:ascii="Times New Roman" w:hAnsi="Times New Roman"/>
        </w:rPr>
      </w:r>
    </w:p>
    <w:p>
      <w:pPr>
        <w:pStyle w:val="Normal"/>
        <w:spacing w:lineRule="auto" w:line="240" w:before="60" w:after="60"/>
        <w:ind w:end="32"/>
        <w:jc w:val="both"/>
        <w:rPr>
          <w:rFonts w:ascii="Times New Roman" w:hAnsi="Times New Roman" w:cs="Times New Roman"/>
        </w:rPr>
      </w:pPr>
      <w:r>
        <w:rPr>
          <w:rFonts w:cs="Times New Roman" w:ascii="Times New Roman" w:hAnsi="Times New Roman"/>
        </w:rPr>
        <w:t>Na potrzeby Umowy przyjmuje się znaczenie wymienionym i określonym pojęciom, związanym z przedmiotem zamówienia, jak opisane poniżej. Zdefiniowane pojęcia są pisane w treści Umowy z małej litery, za wyjątkiem wyrażeń: Zamawiający, Wykonawca, Strony, Koordynator.</w:t>
      </w:r>
    </w:p>
    <w:p>
      <w:pPr>
        <w:pStyle w:val="Normal"/>
        <w:spacing w:lineRule="auto" w:line="240" w:before="60" w:after="60"/>
        <w:jc w:val="both"/>
        <w:rPr>
          <w:rFonts w:ascii="Times New Roman" w:hAnsi="Times New Roman" w:cs="Times New Roman"/>
        </w:rPr>
      </w:pPr>
      <w:r>
        <w:rPr>
          <w:rFonts w:cs="Times New Roman" w:ascii="Times New Roman" w:hAnsi="Times New Roman"/>
        </w:rPr>
      </w:r>
    </w:p>
    <w:p>
      <w:pPr>
        <w:pStyle w:val="Normal"/>
        <w:spacing w:lineRule="auto" w:line="240" w:before="60" w:after="60"/>
        <w:jc w:val="both"/>
        <w:rPr>
          <w:rFonts w:ascii="Times New Roman" w:hAnsi="Times New Roman" w:cs="Times New Roman"/>
          <w:b/>
          <w:bCs/>
        </w:rPr>
      </w:pPr>
      <w:r>
        <w:rPr>
          <w:rFonts w:cs="Times New Roman" w:ascii="Times New Roman" w:hAnsi="Times New Roman"/>
          <w:b/>
          <w:bCs/>
        </w:rPr>
        <w:t>Słownik pojęć używanych w Umowie:</w:t>
      </w:r>
    </w:p>
    <w:p>
      <w:pPr>
        <w:pStyle w:val="Normal"/>
        <w:numPr>
          <w:ilvl w:val="0"/>
          <w:numId w:val="31"/>
        </w:numPr>
        <w:spacing w:lineRule="auto" w:line="240" w:before="60" w:after="60"/>
        <w:ind w:hanging="426" w:start="426" w:end="32"/>
        <w:jc w:val="both"/>
        <w:rPr>
          <w:rFonts w:ascii="Times New Roman" w:hAnsi="Times New Roman" w:cs="Times New Roman"/>
        </w:rPr>
      </w:pPr>
      <w:r>
        <w:rPr>
          <w:rFonts w:cs="Times New Roman" w:ascii="Times New Roman" w:hAnsi="Times New Roman"/>
          <w:b/>
        </w:rPr>
        <w:t>Zamawiający</w:t>
      </w:r>
      <w:r>
        <w:rPr>
          <w:rFonts w:cs="Times New Roman" w:ascii="Times New Roman" w:hAnsi="Times New Roman"/>
        </w:rPr>
        <w:t xml:space="preserve"> – Zakład Gospodarki Komunalnej w Wieliczce Sp. z o.o. </w:t>
      </w:r>
    </w:p>
    <w:p>
      <w:pPr>
        <w:pStyle w:val="Normal"/>
        <w:numPr>
          <w:ilvl w:val="0"/>
          <w:numId w:val="2"/>
        </w:numPr>
        <w:spacing w:lineRule="auto" w:line="240" w:before="60" w:after="60"/>
        <w:ind w:hanging="426" w:start="426" w:end="32"/>
        <w:jc w:val="both"/>
        <w:rPr>
          <w:rFonts w:ascii="Times New Roman" w:hAnsi="Times New Roman" w:cs="Times New Roman"/>
        </w:rPr>
      </w:pPr>
      <w:r>
        <w:rPr>
          <w:rFonts w:cs="Times New Roman" w:ascii="Times New Roman" w:hAnsi="Times New Roman"/>
          <w:b/>
        </w:rPr>
        <w:t xml:space="preserve">Wykonawca </w:t>
      </w:r>
      <w:r>
        <w:rPr>
          <w:rFonts w:cs="Times New Roman" w:ascii="Times New Roman" w:hAnsi="Times New Roman"/>
        </w:rPr>
        <w:t xml:space="preserve">– podmiot, który ubiega się o udzielenie zamówienia, złożył ofertę albo zawarł umowę w sprawie zamówienia publicznego. </w:t>
      </w:r>
    </w:p>
    <w:p>
      <w:pPr>
        <w:pStyle w:val="Normal"/>
        <w:numPr>
          <w:ilvl w:val="0"/>
          <w:numId w:val="2"/>
        </w:numPr>
        <w:spacing w:lineRule="auto" w:line="240" w:before="60" w:after="60"/>
        <w:ind w:hanging="426" w:start="426" w:end="32"/>
        <w:jc w:val="both"/>
        <w:rPr>
          <w:rFonts w:ascii="Times New Roman" w:hAnsi="Times New Roman" w:cs="Times New Roman"/>
        </w:rPr>
      </w:pPr>
      <w:r>
        <w:rPr>
          <w:rFonts w:cs="Times New Roman" w:ascii="Times New Roman" w:hAnsi="Times New Roman"/>
          <w:b/>
        </w:rPr>
        <w:t xml:space="preserve">Strony </w:t>
      </w:r>
      <w:r>
        <w:rPr>
          <w:rFonts w:cs="Times New Roman" w:ascii="Times New Roman" w:hAnsi="Times New Roman"/>
        </w:rPr>
        <w:t xml:space="preserve">– należy przez to rozumieć Zamawiającego i Wykonawcę. </w:t>
      </w:r>
    </w:p>
    <w:p>
      <w:pPr>
        <w:pStyle w:val="Normal"/>
        <w:numPr>
          <w:ilvl w:val="0"/>
          <w:numId w:val="2"/>
        </w:numPr>
        <w:spacing w:lineRule="auto" w:line="240" w:before="60" w:after="60"/>
        <w:ind w:hanging="426" w:start="426" w:end="32"/>
        <w:jc w:val="both"/>
        <w:rPr>
          <w:rFonts w:ascii="Times New Roman" w:hAnsi="Times New Roman" w:cs="Times New Roman"/>
        </w:rPr>
      </w:pPr>
      <w:r>
        <w:rPr>
          <w:rFonts w:cs="Times New Roman" w:ascii="Times New Roman" w:hAnsi="Times New Roman"/>
          <w:b/>
          <w:bCs/>
        </w:rPr>
        <w:t xml:space="preserve">System wspomagający zarządzanie przedsiębiorstwem komunalnym </w:t>
      </w:r>
      <w:r>
        <w:rPr>
          <w:rFonts w:cs="Times New Roman" w:ascii="Times New Roman" w:hAnsi="Times New Roman"/>
        </w:rPr>
        <w:t xml:space="preserve">(zwany dalej systemem lub oprogramowaniem) – system informatyczny wspomagający zarządzanie przedsiębiorstwem, w skład którego wchodzą zintegrowane systemy/moduły, działający na sprzęcie informatycznym z wykorzystaniem oprogramowania narzędziowego, udostępniający funkcjonalności opisane w opisie przedmiotu zamówienia. </w:t>
      </w:r>
    </w:p>
    <w:p>
      <w:pPr>
        <w:pStyle w:val="Normal"/>
        <w:numPr>
          <w:ilvl w:val="0"/>
          <w:numId w:val="2"/>
        </w:numPr>
        <w:spacing w:lineRule="auto" w:line="240" w:before="60" w:after="60"/>
        <w:ind w:hanging="426" w:start="426" w:end="32"/>
        <w:jc w:val="both"/>
        <w:rPr>
          <w:rFonts w:ascii="Times New Roman" w:hAnsi="Times New Roman" w:cs="Times New Roman"/>
        </w:rPr>
      </w:pPr>
      <w:r>
        <w:rPr>
          <w:rFonts w:cs="Times New Roman" w:ascii="Times New Roman" w:hAnsi="Times New Roman"/>
          <w:b/>
        </w:rPr>
        <w:t>Umowa</w:t>
      </w:r>
      <w:r>
        <w:rPr>
          <w:rFonts w:cs="Times New Roman" w:ascii="Times New Roman" w:hAnsi="Times New Roman"/>
          <w:bCs/>
        </w:rPr>
        <w:t xml:space="preserve"> </w:t>
      </w:r>
      <w:r>
        <w:rPr>
          <w:rFonts w:cs="Times New Roman" w:ascii="Times New Roman" w:hAnsi="Times New Roman"/>
        </w:rPr>
        <w:t xml:space="preserve">– niniejsza umowa wraz z załącznikami, zawarta w celu realizacji opisu przedmiotu zamówienia. </w:t>
      </w:r>
    </w:p>
    <w:p>
      <w:pPr>
        <w:pStyle w:val="Normal"/>
        <w:numPr>
          <w:ilvl w:val="0"/>
          <w:numId w:val="2"/>
        </w:numPr>
        <w:spacing w:lineRule="auto" w:line="240" w:before="60" w:after="60"/>
        <w:ind w:hanging="426" w:start="426" w:end="32"/>
        <w:jc w:val="both"/>
        <w:rPr>
          <w:rFonts w:ascii="Times New Roman" w:hAnsi="Times New Roman" w:cs="Times New Roman"/>
          <w:b/>
        </w:rPr>
      </w:pPr>
      <w:r>
        <w:rPr>
          <w:rFonts w:cs="Times New Roman" w:ascii="Times New Roman" w:hAnsi="Times New Roman"/>
          <w:b/>
        </w:rPr>
        <w:t xml:space="preserve">Gwarancja i serwis powdrożeniowy </w:t>
      </w:r>
      <w:r>
        <w:rPr>
          <w:rFonts w:cs="Times New Roman" w:ascii="Times New Roman" w:hAnsi="Times New Roman"/>
          <w:bCs/>
        </w:rPr>
        <w:t>– oznacza całokształt świadczonych przez Wykonawcę usług gwarancyjno-serwisowych związanych z zapewnieniem poprawnej pracy dostarczonych modułów, będących przedmiotem zamówienia.</w:t>
      </w:r>
    </w:p>
    <w:p>
      <w:pPr>
        <w:pStyle w:val="Normal"/>
        <w:numPr>
          <w:ilvl w:val="0"/>
          <w:numId w:val="2"/>
        </w:numPr>
        <w:spacing w:lineRule="auto" w:line="240" w:before="60" w:after="60"/>
        <w:ind w:hanging="426" w:start="426" w:end="32"/>
        <w:jc w:val="both"/>
        <w:rPr>
          <w:rFonts w:ascii="Times New Roman" w:hAnsi="Times New Roman" w:cs="Times New Roman"/>
        </w:rPr>
      </w:pPr>
      <w:r>
        <w:rPr>
          <w:rFonts w:cs="Times New Roman" w:ascii="Times New Roman" w:hAnsi="Times New Roman"/>
          <w:b/>
        </w:rPr>
        <w:t xml:space="preserve">Dokumentacja </w:t>
      </w:r>
      <w:r>
        <w:rPr>
          <w:rFonts w:cs="Times New Roman" w:ascii="Times New Roman" w:hAnsi="Times New Roman"/>
        </w:rPr>
        <w:t>(dot. oprogramowania – systemu) – zbiór dokumentów dostarczonych przez Wykonawcę w formie tradycyjnej lub elektronicznej (np. plikach doc, pdf). Dokumentacja systemu to ogół dokumentacji technicznej i dokumentacji użytkownika stworzonej dla określonego oprogramowania informatycznego przez jego twórców.</w:t>
      </w:r>
    </w:p>
    <w:p>
      <w:pPr>
        <w:pStyle w:val="Normal"/>
        <w:numPr>
          <w:ilvl w:val="0"/>
          <w:numId w:val="2"/>
        </w:numPr>
        <w:spacing w:lineRule="auto" w:line="240" w:before="60" w:after="60"/>
        <w:ind w:hanging="426" w:start="426" w:end="32"/>
        <w:jc w:val="both"/>
        <w:rPr>
          <w:rFonts w:ascii="Times New Roman" w:hAnsi="Times New Roman" w:cs="Times New Roman"/>
        </w:rPr>
      </w:pPr>
      <w:r>
        <w:rPr>
          <w:rFonts w:cs="Times New Roman" w:ascii="Times New Roman" w:hAnsi="Times New Roman"/>
          <w:b/>
        </w:rPr>
        <w:t xml:space="preserve">System zarządzania bazą danych </w:t>
      </w:r>
      <w:r>
        <w:rPr>
          <w:rFonts w:cs="Times New Roman" w:ascii="Times New Roman" w:hAnsi="Times New Roman"/>
        </w:rPr>
        <w:t>– system zarządzania bazą danych, zwane też oprogramowaniem bazodanowym, silnikiem bazy danych.</w:t>
      </w:r>
    </w:p>
    <w:p>
      <w:pPr>
        <w:pStyle w:val="Normal"/>
        <w:numPr>
          <w:ilvl w:val="0"/>
          <w:numId w:val="2"/>
        </w:numPr>
        <w:spacing w:lineRule="auto" w:line="240" w:before="60" w:after="60"/>
        <w:ind w:hanging="426" w:start="426" w:end="32"/>
        <w:jc w:val="both"/>
        <w:rPr>
          <w:rFonts w:ascii="Times New Roman" w:hAnsi="Times New Roman" w:cs="Times New Roman"/>
        </w:rPr>
      </w:pPr>
      <w:r>
        <w:rPr>
          <w:rFonts w:cs="Times New Roman" w:ascii="Times New Roman" w:hAnsi="Times New Roman"/>
          <w:b/>
        </w:rPr>
        <w:t xml:space="preserve">Wdrożenie </w:t>
      </w:r>
      <w:r>
        <w:rPr>
          <w:rFonts w:cs="Times New Roman" w:ascii="Times New Roman" w:hAnsi="Times New Roman"/>
        </w:rPr>
        <w:t>– całość prac prowadzących do pełnego uruchomienia systemu, polegająca na instalacji i dostosowaniu oprogramowania do wymagań Zamawiającego, a także migracji danych oraz testowaniu i uruchomieniu systemu informatycznego.</w:t>
      </w:r>
    </w:p>
    <w:p>
      <w:pPr>
        <w:pStyle w:val="Normal"/>
        <w:numPr>
          <w:ilvl w:val="0"/>
          <w:numId w:val="2"/>
        </w:numPr>
        <w:spacing w:lineRule="auto" w:line="240" w:before="60" w:after="60"/>
        <w:ind w:hanging="426" w:start="426" w:end="32"/>
        <w:jc w:val="both"/>
        <w:rPr>
          <w:rFonts w:ascii="Times New Roman" w:hAnsi="Times New Roman" w:cs="Times New Roman"/>
        </w:rPr>
      </w:pPr>
      <w:r>
        <w:rPr>
          <w:rFonts w:cs="Times New Roman" w:ascii="Times New Roman" w:hAnsi="Times New Roman"/>
          <w:b/>
        </w:rPr>
        <w:t xml:space="preserve">Harmonogram Wdrożenia </w:t>
      </w:r>
      <w:r>
        <w:rPr>
          <w:rFonts w:cs="Times New Roman" w:ascii="Times New Roman" w:hAnsi="Times New Roman"/>
        </w:rPr>
        <w:t>– szczegółowy harmonogram realizacji przedmiotu Umowy przygotowany przez Wykonawcę na podstawie terminów realizacji zamówienia i zaakceptowany przez Zamawiającego.</w:t>
      </w:r>
    </w:p>
    <w:p>
      <w:pPr>
        <w:pStyle w:val="Normal"/>
        <w:numPr>
          <w:ilvl w:val="0"/>
          <w:numId w:val="2"/>
        </w:numPr>
        <w:spacing w:lineRule="auto" w:line="240" w:before="60" w:after="60"/>
        <w:ind w:hanging="426" w:start="426" w:end="32"/>
        <w:jc w:val="both"/>
        <w:rPr>
          <w:rFonts w:ascii="Times New Roman" w:hAnsi="Times New Roman" w:cs="Times New Roman"/>
        </w:rPr>
      </w:pPr>
      <w:r>
        <w:rPr>
          <w:rFonts w:cs="Times New Roman" w:ascii="Times New Roman" w:hAnsi="Times New Roman"/>
          <w:b/>
        </w:rPr>
        <w:t>Protokół Zdawczo-Odbiorczy</w:t>
      </w:r>
      <w:r>
        <w:rPr>
          <w:rFonts w:cs="Times New Roman" w:ascii="Times New Roman" w:hAnsi="Times New Roman"/>
        </w:rPr>
        <w:t xml:space="preserve"> (zwany również protokołem odbioru) – protokół przygotowany przez Wykonawcę, będący potwierdzeniem przyjęcia przez Zamawiającego wykonanych przez Wykonawcę prac będących przedmiotem poszczególnych elementów dostarczanych w ramach niniejszego postępowania.</w:t>
      </w:r>
    </w:p>
    <w:p>
      <w:pPr>
        <w:pStyle w:val="Normal"/>
        <w:numPr>
          <w:ilvl w:val="0"/>
          <w:numId w:val="2"/>
        </w:numPr>
        <w:spacing w:lineRule="auto" w:line="240" w:before="60" w:after="60"/>
        <w:ind w:hanging="426" w:start="426" w:end="32"/>
        <w:jc w:val="both"/>
        <w:rPr>
          <w:rFonts w:ascii="Times New Roman" w:hAnsi="Times New Roman" w:cs="Times New Roman"/>
        </w:rPr>
      </w:pPr>
      <w:r>
        <w:rPr>
          <w:rFonts w:cs="Times New Roman" w:ascii="Times New Roman" w:hAnsi="Times New Roman"/>
          <w:b/>
        </w:rPr>
        <w:t>Błąd</w:t>
      </w:r>
      <w:r>
        <w:rPr>
          <w:rFonts w:cs="Times New Roman" w:ascii="Times New Roman" w:hAnsi="Times New Roman"/>
        </w:rPr>
        <w:t xml:space="preserve"> – sytuacja, w której działanie w programie powoduje uzyskiwanie błędnych wyników, nie mające wpływu na bezpieczeństwo systemu i utratę spójności danych czy stabilności systemu. Błąd umożliwia eksploatację systemu.</w:t>
      </w:r>
    </w:p>
    <w:p>
      <w:pPr>
        <w:pStyle w:val="Normal"/>
        <w:numPr>
          <w:ilvl w:val="0"/>
          <w:numId w:val="2"/>
        </w:numPr>
        <w:spacing w:lineRule="auto" w:line="240" w:before="60" w:after="60"/>
        <w:ind w:hanging="426" w:start="426" w:end="32"/>
        <w:jc w:val="both"/>
        <w:rPr>
          <w:rFonts w:ascii="Times New Roman" w:hAnsi="Times New Roman" w:cs="Times New Roman"/>
        </w:rPr>
      </w:pPr>
      <w:r>
        <w:rPr>
          <w:rFonts w:cs="Times New Roman" w:ascii="Times New Roman" w:hAnsi="Times New Roman"/>
          <w:b/>
        </w:rPr>
        <w:t>Awaria</w:t>
      </w:r>
      <w:r>
        <w:rPr>
          <w:rFonts w:cs="Times New Roman" w:ascii="Times New Roman" w:hAnsi="Times New Roman"/>
        </w:rPr>
        <w:t xml:space="preserve"> –sytuacja, w której nie jest możliwe prawidłowe użytkowanie systemu do bieżącej działalności z powodu uszkodzenia elementów programu lub jego całości. Awaria jest usuwana najszybciej jak to jest możliwe w czasie określonym w ust. 5 lit. a, z zachowaniem najwyższego priorytetu realizacji.</w:t>
      </w:r>
    </w:p>
    <w:p>
      <w:pPr>
        <w:pStyle w:val="Normal"/>
        <w:numPr>
          <w:ilvl w:val="0"/>
          <w:numId w:val="2"/>
        </w:numPr>
        <w:spacing w:lineRule="auto" w:line="240" w:before="60" w:after="60"/>
        <w:ind w:hanging="426" w:start="426" w:end="32"/>
        <w:jc w:val="both"/>
        <w:rPr>
          <w:rFonts w:ascii="Times New Roman" w:hAnsi="Times New Roman" w:cs="Times New Roman"/>
        </w:rPr>
      </w:pPr>
      <w:r>
        <w:rPr>
          <w:rFonts w:cs="Times New Roman" w:ascii="Times New Roman" w:hAnsi="Times New Roman"/>
          <w:b/>
        </w:rPr>
        <w:t>Usterka Programistyczna</w:t>
      </w:r>
      <w:r>
        <w:rPr>
          <w:rFonts w:cs="Times New Roman" w:ascii="Times New Roman" w:hAnsi="Times New Roman"/>
        </w:rPr>
        <w:t xml:space="preserve"> – błąd, mimo identyfikacji którego system nadal funkcjonuje, natomiast usunięcie którego wymaga ingerencji w kod źródłowy.</w:t>
      </w:r>
    </w:p>
    <w:p>
      <w:pPr>
        <w:pStyle w:val="Normal"/>
        <w:numPr>
          <w:ilvl w:val="0"/>
          <w:numId w:val="2"/>
        </w:numPr>
        <w:spacing w:lineRule="auto" w:line="240" w:before="60" w:after="60"/>
        <w:ind w:hanging="426" w:start="426" w:end="32"/>
        <w:jc w:val="both"/>
        <w:rPr>
          <w:rFonts w:ascii="Times New Roman" w:hAnsi="Times New Roman" w:cs="Times New Roman"/>
        </w:rPr>
      </w:pPr>
      <w:r>
        <w:rPr>
          <w:rFonts w:cs="Times New Roman" w:ascii="Times New Roman" w:hAnsi="Times New Roman"/>
          <w:b/>
        </w:rPr>
        <w:t>Konsultacja</w:t>
      </w:r>
      <w:r>
        <w:rPr>
          <w:rFonts w:cs="Times New Roman" w:ascii="Times New Roman" w:hAnsi="Times New Roman"/>
        </w:rPr>
        <w:t xml:space="preserve"> – usługa świadczona przez Wykonawcę polegająca na udzielaniu Zamawiającemu wyjaśnień w kwestiach dotyczących systemu. </w:t>
      </w:r>
    </w:p>
    <w:p>
      <w:pPr>
        <w:pStyle w:val="Normal"/>
        <w:spacing w:lineRule="auto" w:line="240" w:before="60" w:after="60"/>
        <w:jc w:val="center"/>
        <w:rPr>
          <w:rFonts w:ascii="Times New Roman" w:hAnsi="Times New Roman" w:cs="Times New Roman"/>
          <w:b/>
          <w:bCs/>
        </w:rPr>
      </w:pPr>
      <w:r>
        <w:rPr>
          <w:rFonts w:cs="Times New Roman" w:ascii="Times New Roman" w:hAnsi="Times New Roman"/>
          <w:b/>
          <w:bCs/>
        </w:rPr>
      </w:r>
    </w:p>
    <w:p>
      <w:pPr>
        <w:pStyle w:val="Normal"/>
        <w:spacing w:lineRule="auto" w:line="240" w:before="60" w:after="60"/>
        <w:jc w:val="center"/>
        <w:rPr>
          <w:rFonts w:ascii="Times New Roman" w:hAnsi="Times New Roman" w:cs="Times New Roman"/>
          <w:b/>
          <w:bCs/>
        </w:rPr>
      </w:pPr>
      <w:bookmarkStart w:id="0" w:name="_Hlk203983531"/>
      <w:r>
        <w:rPr>
          <w:rFonts w:cs="Times New Roman" w:ascii="Times New Roman" w:hAnsi="Times New Roman"/>
          <w:b/>
          <w:bCs/>
        </w:rPr>
        <w:t>§ 1</w:t>
      </w:r>
    </w:p>
    <w:p>
      <w:pPr>
        <w:pStyle w:val="Normal"/>
        <w:spacing w:lineRule="auto" w:line="240" w:before="60" w:after="60"/>
        <w:jc w:val="center"/>
        <w:rPr>
          <w:rFonts w:ascii="Times New Roman" w:hAnsi="Times New Roman" w:cs="Times New Roman"/>
          <w:b/>
          <w:bCs/>
        </w:rPr>
      </w:pPr>
      <w:r>
        <w:rPr>
          <w:rFonts w:cs="Times New Roman" w:ascii="Times New Roman" w:hAnsi="Times New Roman"/>
          <w:b/>
          <w:bCs/>
        </w:rPr>
        <w:t>Przedmiot zamówienia</w:t>
      </w:r>
    </w:p>
    <w:p>
      <w:pPr>
        <w:pStyle w:val="Default"/>
        <w:numPr>
          <w:ilvl w:val="1"/>
          <w:numId w:val="1"/>
        </w:numPr>
        <w:spacing w:before="60" w:after="60"/>
        <w:ind w:hanging="426" w:start="426"/>
        <w:jc w:val="both"/>
        <w:rPr>
          <w:color w:val="auto"/>
          <w:sz w:val="22"/>
          <w:szCs w:val="22"/>
        </w:rPr>
      </w:pPr>
      <w:r>
        <w:rPr>
          <w:color w:val="auto"/>
          <w:sz w:val="22"/>
          <w:szCs w:val="22"/>
        </w:rPr>
        <w:t>Zgodnie z wynikiem postępowania Zamawiający zleca, a Wykonawca przyjmuje do wykonania zadanie p.n.: „</w:t>
      </w:r>
      <w:r>
        <w:rPr>
          <w:b/>
          <w:bCs/>
          <w:i/>
          <w:iCs/>
          <w:color w:val="auto"/>
          <w:sz w:val="22"/>
          <w:szCs w:val="22"/>
        </w:rPr>
        <w:t>Zakup i wdrożenie systemu informatycznego wspomagającego zarządzanie Zakładem Gospodarki Komunalnej w Wieliczce Sp. z o.o.</w:t>
      </w:r>
      <w:r>
        <w:rPr>
          <w:color w:val="auto"/>
          <w:sz w:val="22"/>
          <w:szCs w:val="22"/>
        </w:rPr>
        <w:t>”.</w:t>
      </w:r>
    </w:p>
    <w:p>
      <w:pPr>
        <w:pStyle w:val="Default"/>
        <w:numPr>
          <w:ilvl w:val="1"/>
          <w:numId w:val="1"/>
        </w:numPr>
        <w:spacing w:before="60" w:after="60"/>
        <w:ind w:hanging="426" w:start="426"/>
        <w:jc w:val="both"/>
        <w:rPr>
          <w:color w:val="auto"/>
          <w:sz w:val="22"/>
          <w:szCs w:val="22"/>
        </w:rPr>
      </w:pPr>
      <w:bookmarkStart w:id="1" w:name="_Hlk203984361"/>
      <w:r>
        <w:rPr>
          <w:color w:val="auto"/>
          <w:sz w:val="22"/>
          <w:szCs w:val="22"/>
        </w:rPr>
        <w:t>Zakres prac objętych przedmiotem zamówienia obejmuje:</w:t>
      </w:r>
    </w:p>
    <w:p>
      <w:pPr>
        <w:pStyle w:val="Default"/>
        <w:numPr>
          <w:ilvl w:val="0"/>
          <w:numId w:val="7"/>
        </w:numPr>
        <w:tabs>
          <w:tab w:val="clear" w:pos="708"/>
          <w:tab w:val="left" w:pos="851" w:leader="none"/>
        </w:tabs>
        <w:spacing w:before="60" w:after="60"/>
        <w:ind w:hanging="425" w:start="851"/>
        <w:jc w:val="both"/>
        <w:rPr>
          <w:color w:val="auto"/>
          <w:sz w:val="22"/>
          <w:szCs w:val="22"/>
        </w:rPr>
      </w:pPr>
      <w:r>
        <w:rPr>
          <w:color w:val="auto"/>
          <w:sz w:val="22"/>
          <w:szCs w:val="22"/>
        </w:rPr>
        <w:t>Udzielenie licencji na System wspomagający zarządzanie przedsiębiorstwem komunalnym dla 40 użytkowników nazwanych i 12 użytkowników mobilnych,</w:t>
      </w:r>
    </w:p>
    <w:p>
      <w:pPr>
        <w:pStyle w:val="Default"/>
        <w:numPr>
          <w:ilvl w:val="0"/>
          <w:numId w:val="7"/>
        </w:numPr>
        <w:tabs>
          <w:tab w:val="clear" w:pos="708"/>
          <w:tab w:val="left" w:pos="851" w:leader="none"/>
        </w:tabs>
        <w:spacing w:before="60" w:after="60"/>
        <w:ind w:hanging="425" w:start="851"/>
        <w:jc w:val="both"/>
        <w:rPr>
          <w:color w:val="auto"/>
          <w:sz w:val="22"/>
          <w:szCs w:val="22"/>
        </w:rPr>
      </w:pPr>
      <w:r>
        <w:rPr>
          <w:color w:val="auto"/>
          <w:sz w:val="22"/>
          <w:szCs w:val="22"/>
        </w:rPr>
        <w:t>Dostawę i instalację bazy danych wraz z danymi zaimplantowanym z poprzednio używanego sytemu przez Zamawiającego oraz niezbędnych licencji,</w:t>
      </w:r>
    </w:p>
    <w:p>
      <w:pPr>
        <w:pStyle w:val="Default"/>
        <w:numPr>
          <w:ilvl w:val="0"/>
          <w:numId w:val="7"/>
        </w:numPr>
        <w:tabs>
          <w:tab w:val="clear" w:pos="708"/>
          <w:tab w:val="left" w:pos="851" w:leader="none"/>
        </w:tabs>
        <w:spacing w:before="60" w:after="60"/>
        <w:ind w:hanging="425" w:start="851"/>
        <w:jc w:val="both"/>
        <w:rPr>
          <w:color w:val="auto"/>
          <w:sz w:val="22"/>
          <w:szCs w:val="22"/>
        </w:rPr>
      </w:pPr>
      <w:r>
        <w:rPr>
          <w:color w:val="auto"/>
          <w:sz w:val="22"/>
          <w:szCs w:val="22"/>
        </w:rPr>
        <w:t xml:space="preserve">Dostawę i wdrożenie Systemu wspomagającego zarządzanie przedsiębiorstwem komunalnym, </w:t>
      </w:r>
    </w:p>
    <w:p>
      <w:pPr>
        <w:pStyle w:val="Default"/>
        <w:numPr>
          <w:ilvl w:val="0"/>
          <w:numId w:val="7"/>
        </w:numPr>
        <w:tabs>
          <w:tab w:val="clear" w:pos="708"/>
          <w:tab w:val="left" w:pos="851" w:leader="none"/>
        </w:tabs>
        <w:spacing w:before="60" w:after="60"/>
        <w:ind w:hanging="425" w:start="851"/>
        <w:jc w:val="both"/>
        <w:rPr>
          <w:color w:val="auto"/>
          <w:sz w:val="22"/>
          <w:szCs w:val="22"/>
        </w:rPr>
      </w:pPr>
      <w:r>
        <w:rPr>
          <w:color w:val="auto"/>
          <w:sz w:val="22"/>
          <w:szCs w:val="22"/>
        </w:rPr>
        <w:t>Wykonanie Analizy Przedwdrożeniowej,</w:t>
      </w:r>
    </w:p>
    <w:p>
      <w:pPr>
        <w:pStyle w:val="Default"/>
        <w:numPr>
          <w:ilvl w:val="0"/>
          <w:numId w:val="7"/>
        </w:numPr>
        <w:tabs>
          <w:tab w:val="clear" w:pos="708"/>
          <w:tab w:val="left" w:pos="851" w:leader="none"/>
        </w:tabs>
        <w:spacing w:before="60" w:after="60"/>
        <w:ind w:hanging="425" w:start="851"/>
        <w:jc w:val="both"/>
        <w:rPr>
          <w:color w:val="C00000"/>
          <w:sz w:val="22"/>
          <w:szCs w:val="22"/>
        </w:rPr>
      </w:pPr>
      <w:r>
        <w:rPr>
          <w:color w:val="auto"/>
          <w:sz w:val="22"/>
          <w:szCs w:val="22"/>
        </w:rPr>
        <w:t>Przeprowadzenie szkoleń dla personelu Zamawiającego z obsługi wdrożonego systemu,</w:t>
      </w:r>
    </w:p>
    <w:p>
      <w:pPr>
        <w:pStyle w:val="Default"/>
        <w:numPr>
          <w:ilvl w:val="0"/>
          <w:numId w:val="7"/>
        </w:numPr>
        <w:tabs>
          <w:tab w:val="clear" w:pos="708"/>
          <w:tab w:val="left" w:pos="851" w:leader="none"/>
        </w:tabs>
        <w:spacing w:before="60" w:after="60"/>
        <w:ind w:hanging="425" w:start="851"/>
        <w:jc w:val="both"/>
        <w:rPr>
          <w:color w:val="auto"/>
          <w:sz w:val="22"/>
          <w:szCs w:val="22"/>
        </w:rPr>
      </w:pPr>
      <w:r>
        <w:rPr>
          <w:color w:val="auto"/>
          <w:sz w:val="22"/>
          <w:szCs w:val="22"/>
        </w:rPr>
        <w:t>Świadczenie usług serwisowych przez okres 60 miesięcy licząc od dnia wykonania przedmiotu zamówienia, w tym usług utrzymania chmury obliczeniowej, w której zasobach System ma być utrzymywany i udostępniany,</w:t>
      </w:r>
    </w:p>
    <w:p>
      <w:pPr>
        <w:pStyle w:val="Default"/>
        <w:numPr>
          <w:ilvl w:val="0"/>
          <w:numId w:val="7"/>
        </w:numPr>
        <w:tabs>
          <w:tab w:val="clear" w:pos="708"/>
          <w:tab w:val="left" w:pos="851" w:leader="none"/>
        </w:tabs>
        <w:spacing w:before="60" w:after="60"/>
        <w:ind w:hanging="425" w:start="851"/>
        <w:jc w:val="both"/>
        <w:rPr>
          <w:color w:val="auto"/>
          <w:sz w:val="22"/>
          <w:szCs w:val="22"/>
        </w:rPr>
      </w:pPr>
      <w:r>
        <w:rPr>
          <w:color w:val="auto"/>
          <w:sz w:val="22"/>
          <w:szCs w:val="22"/>
        </w:rPr>
        <w:t>Udzielenie gwarancji jakości na okres 60 miesięcy licząc od dnia wykonania przedmiotu zamówienia</w:t>
      </w:r>
      <w:r>
        <w:rPr>
          <w:sz w:val="22"/>
          <w:szCs w:val="22"/>
        </w:rPr>
        <w:t>.</w:t>
      </w:r>
      <w:bookmarkEnd w:id="0"/>
      <w:bookmarkEnd w:id="1"/>
    </w:p>
    <w:p>
      <w:pPr>
        <w:pStyle w:val="Default"/>
        <w:numPr>
          <w:ilvl w:val="1"/>
          <w:numId w:val="1"/>
        </w:numPr>
        <w:spacing w:before="60" w:after="60"/>
        <w:ind w:hanging="426" w:start="426"/>
        <w:jc w:val="both"/>
        <w:rPr>
          <w:color w:val="auto"/>
          <w:sz w:val="22"/>
          <w:szCs w:val="22"/>
        </w:rPr>
      </w:pPr>
      <w:r>
        <w:rPr>
          <w:color w:val="auto"/>
          <w:sz w:val="22"/>
          <w:szCs w:val="22"/>
        </w:rPr>
        <w:t xml:space="preserve">Szczegółowy zakres prac objętych przedmiotem niniejszej Umowy określają: </w:t>
      </w:r>
    </w:p>
    <w:p>
      <w:pPr>
        <w:pStyle w:val="Default"/>
        <w:numPr>
          <w:ilvl w:val="0"/>
          <w:numId w:val="11"/>
        </w:numPr>
        <w:spacing w:before="60" w:after="60"/>
        <w:ind w:hanging="425" w:start="851"/>
        <w:jc w:val="both"/>
        <w:rPr>
          <w:color w:val="auto"/>
          <w:sz w:val="22"/>
          <w:szCs w:val="22"/>
        </w:rPr>
      </w:pPr>
      <w:r>
        <w:rPr>
          <w:color w:val="auto"/>
          <w:sz w:val="22"/>
          <w:szCs w:val="22"/>
        </w:rPr>
        <w:t>Treść specyfikacji warunków zamówienia stanowiąca załącznik nr 2 do niniejszej Umowy,</w:t>
      </w:r>
    </w:p>
    <w:p>
      <w:pPr>
        <w:pStyle w:val="Default"/>
        <w:numPr>
          <w:ilvl w:val="0"/>
          <w:numId w:val="11"/>
        </w:numPr>
        <w:spacing w:before="60" w:after="60"/>
        <w:ind w:hanging="425" w:start="851"/>
        <w:jc w:val="both"/>
        <w:rPr>
          <w:color w:val="auto"/>
          <w:sz w:val="22"/>
          <w:szCs w:val="22"/>
        </w:rPr>
      </w:pPr>
      <w:r>
        <w:rPr>
          <w:color w:val="auto"/>
          <w:sz w:val="22"/>
          <w:szCs w:val="22"/>
        </w:rPr>
        <w:t>Opis przedmiotu zamówienia stanowiący załącznik nr 3 do niniejszej Umowy,</w:t>
      </w:r>
    </w:p>
    <w:p>
      <w:pPr>
        <w:pStyle w:val="Default"/>
        <w:numPr>
          <w:ilvl w:val="0"/>
          <w:numId w:val="11"/>
        </w:numPr>
        <w:spacing w:before="60" w:after="60"/>
        <w:ind w:hanging="425" w:start="851"/>
        <w:jc w:val="both"/>
        <w:rPr>
          <w:color w:val="auto"/>
          <w:sz w:val="22"/>
          <w:szCs w:val="22"/>
        </w:rPr>
      </w:pPr>
      <w:r>
        <w:rPr>
          <w:color w:val="auto"/>
          <w:sz w:val="22"/>
          <w:szCs w:val="22"/>
        </w:rPr>
        <w:t>Oferta Wykonawcy stanowiąca załącznik nr 4 do niniejszej Umowy,</w:t>
      </w:r>
    </w:p>
    <w:p>
      <w:pPr>
        <w:pStyle w:val="Default"/>
        <w:spacing w:before="60" w:after="60"/>
        <w:jc w:val="both"/>
        <w:rPr>
          <w:color w:val="auto"/>
          <w:sz w:val="22"/>
          <w:szCs w:val="22"/>
        </w:rPr>
      </w:pPr>
      <w:r>
        <w:rPr>
          <w:color w:val="auto"/>
          <w:sz w:val="22"/>
          <w:szCs w:val="22"/>
        </w:rPr>
      </w:r>
    </w:p>
    <w:p>
      <w:pPr>
        <w:pStyle w:val="Normal"/>
        <w:spacing w:lineRule="auto" w:line="240" w:before="60" w:after="60"/>
        <w:jc w:val="center"/>
        <w:rPr>
          <w:rFonts w:ascii="Times New Roman" w:hAnsi="Times New Roman" w:cs="Times New Roman"/>
          <w:b/>
          <w:bCs/>
        </w:rPr>
      </w:pPr>
      <w:r>
        <w:rPr>
          <w:rFonts w:cs="Times New Roman" w:ascii="Times New Roman" w:hAnsi="Times New Roman"/>
          <w:b/>
          <w:bCs/>
        </w:rPr>
        <w:t>§ 2</w:t>
      </w:r>
    </w:p>
    <w:p>
      <w:pPr>
        <w:pStyle w:val="Normal"/>
        <w:spacing w:lineRule="auto" w:line="240" w:before="60" w:after="60"/>
        <w:jc w:val="center"/>
        <w:rPr>
          <w:rFonts w:ascii="Times New Roman" w:hAnsi="Times New Roman" w:cs="Times New Roman"/>
          <w:b/>
          <w:bCs/>
        </w:rPr>
      </w:pPr>
      <w:r>
        <w:rPr>
          <w:rFonts w:cs="Times New Roman" w:ascii="Times New Roman" w:hAnsi="Times New Roman"/>
          <w:b/>
          <w:bCs/>
        </w:rPr>
        <w:t>Termin realizacji</w:t>
      </w:r>
    </w:p>
    <w:p>
      <w:pPr>
        <w:pStyle w:val="Default"/>
        <w:numPr>
          <w:ilvl w:val="0"/>
          <w:numId w:val="3"/>
        </w:numPr>
        <w:spacing w:before="60" w:after="60"/>
        <w:ind w:hanging="426" w:start="426"/>
        <w:jc w:val="both"/>
        <w:rPr>
          <w:color w:val="auto"/>
          <w:sz w:val="22"/>
          <w:szCs w:val="22"/>
        </w:rPr>
      </w:pPr>
      <w:r>
        <w:rPr>
          <w:color w:val="auto"/>
          <w:sz w:val="22"/>
          <w:szCs w:val="22"/>
        </w:rPr>
        <w:t xml:space="preserve">Szczegółowe terminy realizacji zamówienia podstawowego określi Wykonawca w treści Harmonogramu wdrożenia który powstanie po wykonaniu analizy przedwdrożeniowej </w:t>
        <w:br/>
        <w:t>i będzie stanowił Załącznik nr 5 do niniejszej Umowy. Harmonogram może być aktualizowany w trakcie wdrożenia za zgodą Stron.</w:t>
      </w:r>
    </w:p>
    <w:p>
      <w:pPr>
        <w:pStyle w:val="Default"/>
        <w:numPr>
          <w:ilvl w:val="0"/>
          <w:numId w:val="3"/>
        </w:numPr>
        <w:spacing w:before="60" w:after="60"/>
        <w:ind w:hanging="426" w:start="426"/>
        <w:jc w:val="both"/>
        <w:rPr>
          <w:color w:val="auto"/>
          <w:sz w:val="22"/>
          <w:szCs w:val="22"/>
        </w:rPr>
      </w:pPr>
      <w:r>
        <w:rPr>
          <w:color w:val="auto"/>
          <w:sz w:val="22"/>
          <w:szCs w:val="22"/>
        </w:rPr>
        <w:t>Strony ustalają, że Harmonogram będzie uwzględniał termin dokonania kompletnego wdrożenia Systemu wspomagającego zarządzanie przedsiębiorstwem komunalnym oraz okres świadczenia powdrożeniowej opieki serwisowej przez Wykonawcę, tj. maksymalnie 24 miesięcy od dnia podpisania Umowy, przy czym Zamawiający wymaga, aby:</w:t>
      </w:r>
    </w:p>
    <w:p>
      <w:pPr>
        <w:pStyle w:val="Normal"/>
        <w:numPr>
          <w:ilvl w:val="0"/>
          <w:numId w:val="8"/>
        </w:numPr>
        <w:tabs>
          <w:tab w:val="clear" w:pos="708"/>
          <w:tab w:val="left" w:pos="851" w:leader="none"/>
        </w:tabs>
        <w:suppressAutoHyphens w:val="true"/>
        <w:spacing w:lineRule="auto" w:line="240" w:before="60" w:after="60"/>
        <w:ind w:hanging="425" w:start="851"/>
        <w:jc w:val="both"/>
        <w:textAlignment w:val="baseline"/>
        <w:rPr>
          <w:rFonts w:ascii="Times New Roman" w:hAnsi="Times New Roman" w:cs="Times New Roman"/>
        </w:rPr>
      </w:pPr>
      <w:r>
        <w:rPr>
          <w:rFonts w:cs="Times New Roman" w:ascii="Times New Roman" w:hAnsi="Times New Roman"/>
        </w:rPr>
        <w:t xml:space="preserve">Wykonawca wykonał analizę przedwdrożeniową wraz z Harmonogramem wdrożenia </w:t>
        <w:br/>
        <w:t>w terminie 60 dni licząc od dnia podpisania Umowy,</w:t>
      </w:r>
    </w:p>
    <w:p>
      <w:pPr>
        <w:pStyle w:val="Normal"/>
        <w:numPr>
          <w:ilvl w:val="0"/>
          <w:numId w:val="8"/>
        </w:numPr>
        <w:tabs>
          <w:tab w:val="clear" w:pos="708"/>
          <w:tab w:val="left" w:pos="851" w:leader="none"/>
        </w:tabs>
        <w:suppressAutoHyphens w:val="true"/>
        <w:spacing w:lineRule="auto" w:line="240" w:before="60" w:after="60"/>
        <w:ind w:hanging="425" w:start="851"/>
        <w:jc w:val="both"/>
        <w:textAlignment w:val="baseline"/>
        <w:rPr>
          <w:rFonts w:ascii="Times New Roman" w:hAnsi="Times New Roman" w:cs="Times New Roman"/>
        </w:rPr>
      </w:pPr>
      <w:r>
        <w:rPr>
          <w:rFonts w:cs="Times New Roman" w:ascii="Times New Roman" w:hAnsi="Times New Roman"/>
        </w:rPr>
        <w:t>Wykonawca dostarczył licencje i zainstalował silnik bazy danych w terminie 60 dni od daty podpisania Umowy,</w:t>
      </w:r>
    </w:p>
    <w:p>
      <w:pPr>
        <w:pStyle w:val="Normal"/>
        <w:numPr>
          <w:ilvl w:val="0"/>
          <w:numId w:val="8"/>
        </w:numPr>
        <w:tabs>
          <w:tab w:val="clear" w:pos="708"/>
          <w:tab w:val="left" w:pos="851" w:leader="none"/>
        </w:tabs>
        <w:suppressAutoHyphens w:val="true"/>
        <w:spacing w:lineRule="auto" w:line="240" w:before="60" w:after="60"/>
        <w:ind w:hanging="425" w:start="851"/>
        <w:jc w:val="both"/>
        <w:textAlignment w:val="baseline"/>
        <w:rPr>
          <w:rFonts w:ascii="Times New Roman" w:hAnsi="Times New Roman" w:cs="Times New Roman"/>
        </w:rPr>
      </w:pPr>
      <w:r>
        <w:rPr>
          <w:rFonts w:cs="Times New Roman" w:ascii="Times New Roman" w:hAnsi="Times New Roman"/>
        </w:rPr>
        <w:t>Wykonawca dostarczył licencje i zainstalował System wspomagający zarządzanie przedsiębiorstwem komunalnym w terminie 60 dni od daty podpisania Umowy.</w:t>
      </w:r>
    </w:p>
    <w:p>
      <w:pPr>
        <w:pStyle w:val="Normal"/>
        <w:numPr>
          <w:ilvl w:val="0"/>
          <w:numId w:val="8"/>
        </w:numPr>
        <w:tabs>
          <w:tab w:val="clear" w:pos="708"/>
          <w:tab w:val="left" w:pos="851" w:leader="none"/>
        </w:tabs>
        <w:suppressAutoHyphens w:val="true"/>
        <w:spacing w:lineRule="auto" w:line="240" w:before="60" w:after="60"/>
        <w:ind w:hanging="425" w:start="851"/>
        <w:jc w:val="both"/>
        <w:textAlignment w:val="baseline"/>
        <w:rPr>
          <w:rFonts w:ascii="Times New Roman" w:hAnsi="Times New Roman" w:cs="Times New Roman"/>
        </w:rPr>
      </w:pPr>
      <w:r>
        <w:rPr>
          <w:rFonts w:cs="Times New Roman" w:ascii="Times New Roman" w:hAnsi="Times New Roman"/>
        </w:rPr>
        <w:t>Wykonawca wdrożył System wspomagający zarządzanie przedsiębiorstwem komunalnym w terminie maksymalnie 12 miesięcy od daty podpisania Umowy.</w:t>
      </w:r>
    </w:p>
    <w:p>
      <w:pPr>
        <w:pStyle w:val="Normal"/>
        <w:numPr>
          <w:ilvl w:val="0"/>
          <w:numId w:val="8"/>
        </w:numPr>
        <w:tabs>
          <w:tab w:val="clear" w:pos="708"/>
          <w:tab w:val="left" w:pos="851" w:leader="none"/>
        </w:tabs>
        <w:suppressAutoHyphens w:val="true"/>
        <w:spacing w:lineRule="auto" w:line="240" w:before="60" w:after="60"/>
        <w:ind w:hanging="425" w:start="851"/>
        <w:jc w:val="both"/>
        <w:textAlignment w:val="baseline"/>
        <w:rPr>
          <w:rFonts w:ascii="Times New Roman" w:hAnsi="Times New Roman" w:cs="Times New Roman"/>
        </w:rPr>
      </w:pPr>
      <w:r>
        <w:rPr>
          <w:rFonts w:cs="Times New Roman" w:ascii="Times New Roman" w:hAnsi="Times New Roman"/>
        </w:rPr>
        <w:t xml:space="preserve">Wykonawca świadczył powdrożeniową opiekę serwisową w okresie 60 miesięcy od daty podpisania protokołu zakończenia wdrożenia. </w:t>
      </w:r>
    </w:p>
    <w:p>
      <w:pPr>
        <w:pStyle w:val="Default"/>
        <w:numPr>
          <w:ilvl w:val="0"/>
          <w:numId w:val="3"/>
        </w:numPr>
        <w:spacing w:before="60" w:after="60"/>
        <w:ind w:hanging="426" w:start="426"/>
        <w:jc w:val="both"/>
        <w:rPr>
          <w:color w:val="auto"/>
          <w:sz w:val="22"/>
          <w:szCs w:val="22"/>
        </w:rPr>
      </w:pPr>
      <w:r>
        <w:rPr>
          <w:color w:val="auto"/>
          <w:sz w:val="22"/>
          <w:szCs w:val="22"/>
        </w:rPr>
        <w:t>Opóźnienia wynikające z nieprzygotowania danych przez Zamawiającego nie obciążają Wykonawcy i powodują przesunięcie terminów realizacji o okres równy okresowi opóźnienia spowodowanego przez Zamawiającego.</w:t>
      </w:r>
    </w:p>
    <w:p>
      <w:pPr>
        <w:pStyle w:val="Default"/>
        <w:numPr>
          <w:ilvl w:val="0"/>
          <w:numId w:val="3"/>
        </w:numPr>
        <w:spacing w:before="60" w:after="60"/>
        <w:ind w:hanging="426" w:start="426"/>
        <w:jc w:val="both"/>
        <w:rPr>
          <w:color w:val="auto"/>
          <w:sz w:val="22"/>
          <w:szCs w:val="22"/>
        </w:rPr>
      </w:pPr>
      <w:r>
        <w:rPr>
          <w:color w:val="auto"/>
          <w:sz w:val="22"/>
          <w:szCs w:val="22"/>
        </w:rPr>
        <w:t>W przypadku zaistnienia nieprzewidzianych lub niezależnych od obu Stron okoliczności Strony dopuszczają za obopólną zgodą możliwość zmiany okresu wdrożenia określonego</w:t>
        <w:br/>
        <w:t>w harmonogramie.</w:t>
      </w:r>
    </w:p>
    <w:p>
      <w:pPr>
        <w:pStyle w:val="Default"/>
        <w:numPr>
          <w:ilvl w:val="0"/>
          <w:numId w:val="3"/>
        </w:numPr>
        <w:spacing w:before="60" w:after="60"/>
        <w:ind w:hanging="426" w:start="426"/>
        <w:jc w:val="both"/>
        <w:rPr>
          <w:color w:val="auto"/>
          <w:sz w:val="22"/>
          <w:szCs w:val="22"/>
        </w:rPr>
      </w:pPr>
      <w:r>
        <w:rPr>
          <w:color w:val="auto"/>
          <w:sz w:val="22"/>
          <w:szCs w:val="22"/>
        </w:rPr>
        <w:t>Do zmiany umowy, w zakresie przewidzianym niniejszym paragrafem Strony stosują § 10</w:t>
      </w:r>
      <w:r>
        <w:rPr>
          <w:color w:val="auto"/>
        </w:rPr>
        <w:t>.</w:t>
      </w:r>
      <w:r>
        <w:rPr>
          <w:b/>
          <w:bCs/>
          <w:color w:val="auto"/>
        </w:rPr>
        <w:t xml:space="preserve"> </w:t>
      </w:r>
    </w:p>
    <w:p>
      <w:pPr>
        <w:pStyle w:val="Default"/>
        <w:spacing w:before="60" w:after="60"/>
        <w:ind w:start="426"/>
        <w:jc w:val="both"/>
        <w:rPr>
          <w:color w:val="auto"/>
          <w:sz w:val="22"/>
          <w:szCs w:val="22"/>
        </w:rPr>
      </w:pPr>
      <w:r>
        <w:rPr>
          <w:color w:val="auto"/>
          <w:sz w:val="22"/>
          <w:szCs w:val="22"/>
        </w:rPr>
      </w:r>
    </w:p>
    <w:p>
      <w:pPr>
        <w:pStyle w:val="Normal"/>
        <w:suppressAutoHyphens w:val="true"/>
        <w:spacing w:lineRule="auto" w:line="240" w:before="60" w:after="60"/>
        <w:jc w:val="center"/>
        <w:textAlignment w:val="baseline"/>
        <w:rPr>
          <w:rFonts w:ascii="Times New Roman" w:hAnsi="Times New Roman" w:cs="Times New Roman"/>
          <w:b/>
          <w:bCs/>
        </w:rPr>
      </w:pPr>
      <w:r>
        <w:rPr>
          <w:rFonts w:cs="Times New Roman" w:ascii="Times New Roman" w:hAnsi="Times New Roman"/>
          <w:b/>
          <w:bCs/>
        </w:rPr>
        <w:t>§ 3</w:t>
      </w:r>
    </w:p>
    <w:p>
      <w:pPr>
        <w:pStyle w:val="Normal"/>
        <w:suppressAutoHyphens w:val="true"/>
        <w:spacing w:lineRule="auto" w:line="240" w:before="60" w:after="60"/>
        <w:jc w:val="center"/>
        <w:textAlignment w:val="baseline"/>
        <w:rPr>
          <w:rFonts w:ascii="Times New Roman" w:hAnsi="Times New Roman" w:cs="Times New Roman"/>
          <w:b/>
          <w:bCs/>
        </w:rPr>
      </w:pPr>
      <w:r>
        <w:rPr>
          <w:rFonts w:cs="Times New Roman" w:ascii="Times New Roman" w:hAnsi="Times New Roman"/>
          <w:b/>
          <w:bCs/>
        </w:rPr>
        <w:t>Oświadczenia i obowiązki Wykonawcy</w:t>
      </w:r>
    </w:p>
    <w:p>
      <w:pPr>
        <w:pStyle w:val="Normal"/>
        <w:suppressAutoHyphens w:val="true"/>
        <w:spacing w:lineRule="auto" w:line="240" w:before="60" w:after="60"/>
        <w:jc w:val="both"/>
        <w:textAlignment w:val="baseline"/>
        <w:rPr>
          <w:rFonts w:ascii="Times New Roman" w:hAnsi="Times New Roman" w:cs="Times New Roman"/>
        </w:rPr>
      </w:pPr>
      <w:r>
        <w:rPr>
          <w:rFonts w:cs="Times New Roman" w:ascii="Times New Roman" w:hAnsi="Times New Roman"/>
        </w:rPr>
        <w:t>1. Wykonawca oświadcza, że posiada niezbędną wiedzę, doświadczenie, potencjał techniczny i ekonomiczny oraz odpowiednią liczbę personelu do realizacji Umowy w zakresie i w terminach w niej określonych.</w:t>
      </w:r>
    </w:p>
    <w:p>
      <w:pPr>
        <w:pStyle w:val="Normal"/>
        <w:suppressAutoHyphens w:val="true"/>
        <w:spacing w:lineRule="auto" w:line="240" w:before="60" w:after="60"/>
        <w:jc w:val="both"/>
        <w:textAlignment w:val="baseline"/>
        <w:rPr>
          <w:rFonts w:ascii="Times New Roman" w:hAnsi="Times New Roman" w:cs="Times New Roman"/>
        </w:rPr>
      </w:pPr>
      <w:r>
        <w:rPr>
          <w:rFonts w:cs="Times New Roman" w:ascii="Times New Roman" w:hAnsi="Times New Roman"/>
        </w:rPr>
        <w:t>2. Wykonawca zobowiązuje się realizować Umowę z dochowaniem należytej staranności, zgodnie z zawodowym i profesjonalnym charakterem działalności, przy wykorzystaniu całej posiadanej wiedzy i doświadczenia.</w:t>
      </w:r>
    </w:p>
    <w:p>
      <w:pPr>
        <w:pStyle w:val="Normal"/>
        <w:suppressAutoHyphens w:val="true"/>
        <w:spacing w:lineRule="auto" w:line="240" w:before="60" w:after="60"/>
        <w:jc w:val="both"/>
        <w:textAlignment w:val="baseline"/>
        <w:rPr>
          <w:rFonts w:ascii="Times New Roman" w:hAnsi="Times New Roman" w:cs="Times New Roman"/>
        </w:rPr>
      </w:pPr>
      <w:r>
        <w:rPr>
          <w:rFonts w:cs="Times New Roman" w:ascii="Times New Roman" w:hAnsi="Times New Roman"/>
        </w:rPr>
        <w:t>3. Wykonawca zobowiązuje się do zapewnienia zgodności Systemu z obowiązującymi przepisami prawa polskiego, w szczególności w zakresie rachunkowości, podatków, ochrony danych osobowych, prawa pracy, przez cały okres obowiązywania Umowy, w tym w ramach świadczenia usług serwisowych.</w:t>
      </w:r>
    </w:p>
    <w:p>
      <w:pPr>
        <w:pStyle w:val="Normal"/>
        <w:suppressAutoHyphens w:val="true"/>
        <w:spacing w:lineRule="auto" w:line="240" w:before="60" w:after="60"/>
        <w:jc w:val="both"/>
        <w:textAlignment w:val="baseline"/>
        <w:rPr>
          <w:rFonts w:ascii="Times New Roman" w:hAnsi="Times New Roman" w:cs="Times New Roman"/>
        </w:rPr>
      </w:pPr>
      <w:r>
        <w:rPr>
          <w:rFonts w:cs="Times New Roman" w:ascii="Times New Roman" w:hAnsi="Times New Roman"/>
        </w:rPr>
        <w:t>4.Wykonawca oświadcza, że przysługują mu wyłączne autorskie prawa majątkowe do Systemu wspomagającego zarządzanie przedsiębiorstwem komunalnym oraz, że korzystanie z systemu zgodnie z udzieloną licencją nie będzie naruszać praw autorskich osób trzecich.</w:t>
      </w:r>
    </w:p>
    <w:p>
      <w:pPr>
        <w:pStyle w:val="Normal"/>
        <w:suppressAutoHyphens w:val="true"/>
        <w:spacing w:lineRule="auto" w:line="240" w:before="60" w:after="60"/>
        <w:jc w:val="both"/>
        <w:textAlignment w:val="baseline"/>
        <w:rPr>
          <w:rFonts w:ascii="Times New Roman" w:hAnsi="Times New Roman" w:cs="Times New Roman"/>
        </w:rPr>
      </w:pPr>
      <w:r>
        <w:rPr>
          <w:rFonts w:cs="Times New Roman" w:ascii="Times New Roman" w:hAnsi="Times New Roman"/>
        </w:rPr>
        <w:t>5.Wykonawca oświadcza, że jest uprawniony do udzielania licencji na  System wspomagający zarządzanie przedsiębiorstwem komunalnym.</w:t>
      </w:r>
    </w:p>
    <w:p>
      <w:pPr>
        <w:pStyle w:val="Normal"/>
        <w:suppressAutoHyphens w:val="true"/>
        <w:spacing w:lineRule="auto" w:line="240" w:before="60" w:after="60"/>
        <w:jc w:val="both"/>
        <w:textAlignment w:val="baseline"/>
        <w:rPr>
          <w:rFonts w:ascii="Times New Roman" w:hAnsi="Times New Roman" w:cs="Times New Roman"/>
        </w:rPr>
      </w:pPr>
      <w:r>
        <w:rPr>
          <w:rFonts w:cs="Times New Roman" w:ascii="Times New Roman" w:hAnsi="Times New Roman"/>
        </w:rPr>
        <w:t>6.Wykonawca udziela Zamawiającemu niewyłącznej, niezbywalnej, bez ograniczeń czasowych licencji na użytkowanie Systemu wspomagającego zarządzanie przedsiębiorstwem komunalnym, w siedzibie Zamawiającego i jego jednostkach organizacyjnych zgodnie z treścią Licencji w §6 Umowy.</w:t>
      </w:r>
    </w:p>
    <w:p>
      <w:pPr>
        <w:pStyle w:val="Normal"/>
        <w:suppressAutoHyphens w:val="true"/>
        <w:spacing w:lineRule="auto" w:line="240" w:before="60" w:after="60"/>
        <w:jc w:val="both"/>
        <w:textAlignment w:val="baseline"/>
        <w:rPr>
          <w:rFonts w:ascii="Times New Roman" w:hAnsi="Times New Roman" w:cs="Times New Roman"/>
        </w:rPr>
      </w:pPr>
      <w:r>
        <w:rPr>
          <w:rFonts w:cs="Times New Roman" w:ascii="Times New Roman" w:hAnsi="Times New Roman"/>
        </w:rPr>
        <w:t xml:space="preserve">7. Wykonawca zobowiązuje się przekazać Zamawiającemu dokumentację użytkową Systemu wspomagającego zarządzanie przedsiębiorstwem komunalnym dostarczonego w ramach przedmiotu niniejszej Umowy. Dokumentacja powinna być dostarczona w formie papierowej lub na nośniku elektronicznym. </w:t>
      </w:r>
    </w:p>
    <w:p>
      <w:pPr>
        <w:pStyle w:val="Normal"/>
        <w:suppressAutoHyphens w:val="true"/>
        <w:spacing w:lineRule="auto" w:line="240" w:before="60" w:after="60"/>
        <w:jc w:val="both"/>
        <w:textAlignment w:val="baseline"/>
        <w:rPr>
          <w:rFonts w:ascii="Times New Roman" w:hAnsi="Times New Roman" w:cs="Times New Roman"/>
        </w:rPr>
      </w:pPr>
      <w:r>
        <w:rPr>
          <w:rFonts w:cs="Times New Roman" w:ascii="Times New Roman" w:hAnsi="Times New Roman"/>
        </w:rPr>
        <w:t xml:space="preserve">8. Wykonawca oświadcza, że świadczenia objęte niniejszą Umową będą wolne od wad fizycznych i prawnych i nie będą naruszać żadnych praw osób trzecich. </w:t>
      </w:r>
    </w:p>
    <w:p>
      <w:pPr>
        <w:pStyle w:val="Normal"/>
        <w:suppressAutoHyphens w:val="true"/>
        <w:spacing w:lineRule="auto" w:line="240" w:before="60" w:after="60"/>
        <w:jc w:val="both"/>
        <w:textAlignment w:val="baseline"/>
        <w:rPr>
          <w:rFonts w:ascii="Times New Roman" w:hAnsi="Times New Roman" w:cs="Times New Roman"/>
        </w:rPr>
      </w:pPr>
      <w:r>
        <w:rPr>
          <w:rFonts w:cs="Times New Roman" w:ascii="Times New Roman" w:hAnsi="Times New Roman"/>
        </w:rPr>
        <w:t>9.W przypadku stwierdzenia braku zgodności Systemu z Opisem Przedmiotu Zamówienia lub braku wymaganych funkcjonalności, Wykonawca zobowiązuje się do ich nieodpłatnego uzupełnienia w terminie wyznaczonym przez Zamawiającego.</w:t>
      </w:r>
    </w:p>
    <w:p>
      <w:pPr>
        <w:pStyle w:val="Normal"/>
        <w:suppressAutoHyphens w:val="true"/>
        <w:spacing w:lineRule="auto" w:line="240" w:before="60" w:after="60"/>
        <w:jc w:val="both"/>
        <w:textAlignment w:val="baseline"/>
        <w:rPr>
          <w:rFonts w:ascii="Times New Roman" w:hAnsi="Times New Roman" w:cs="Times New Roman"/>
        </w:rPr>
      </w:pPr>
      <w:r>
        <w:rPr>
          <w:rFonts w:cs="Times New Roman" w:ascii="Times New Roman" w:hAnsi="Times New Roman"/>
        </w:rPr>
        <w:t>10. Wykonawca zobowiązuje się do zapewnienia ciągłości działania Systemu oraz warunków jego prawidłowego serwisowania przez cały okres obowiązywania Umowy, w tym zapewnienia kompatybilności z infrastrukturą i oprogramowaniem niezbędnym do jego funkcjonowania.</w:t>
      </w:r>
    </w:p>
    <w:p>
      <w:pPr>
        <w:pStyle w:val="Normal"/>
        <w:suppressAutoHyphens w:val="true"/>
        <w:spacing w:lineRule="auto" w:line="240" w:before="60" w:after="60"/>
        <w:jc w:val="both"/>
        <w:textAlignment w:val="baseline"/>
        <w:rPr>
          <w:rFonts w:ascii="Times New Roman" w:hAnsi="Times New Roman" w:cs="Times New Roman"/>
        </w:rPr>
      </w:pPr>
      <w:r>
        <w:rPr>
          <w:rFonts w:cs="Times New Roman" w:ascii="Times New Roman" w:hAnsi="Times New Roman"/>
        </w:rPr>
        <w:t>11. Wykonawca będzie informował pisemnie Zamawiającego niezwłocznie, jednak nie później niż w ciągu 5 dni, o każdym zdarzeniu mogącym mieć wpływ na prawidłowe wykonanie Umowy.</w:t>
      </w:r>
    </w:p>
    <w:p>
      <w:pPr>
        <w:pStyle w:val="Default"/>
        <w:spacing w:before="60" w:after="60"/>
        <w:jc w:val="both"/>
        <w:rPr>
          <w:color w:val="auto"/>
          <w:sz w:val="22"/>
          <w:szCs w:val="22"/>
        </w:rPr>
      </w:pPr>
      <w:r>
        <w:rPr>
          <w:color w:val="auto"/>
          <w:sz w:val="22"/>
          <w:szCs w:val="22"/>
        </w:rPr>
      </w:r>
    </w:p>
    <w:p>
      <w:pPr>
        <w:pStyle w:val="Normal"/>
        <w:spacing w:lineRule="auto" w:line="240" w:before="60" w:after="60"/>
        <w:jc w:val="center"/>
        <w:rPr>
          <w:rFonts w:ascii="Times New Roman" w:hAnsi="Times New Roman" w:cs="Times New Roman"/>
          <w:b/>
          <w:bCs/>
        </w:rPr>
      </w:pPr>
      <w:r>
        <w:rPr>
          <w:rFonts w:cs="Times New Roman" w:ascii="Times New Roman" w:hAnsi="Times New Roman"/>
          <w:b/>
          <w:bCs/>
        </w:rPr>
        <w:t>§ 4</w:t>
      </w:r>
    </w:p>
    <w:p>
      <w:pPr>
        <w:pStyle w:val="Normal"/>
        <w:spacing w:lineRule="auto" w:line="240" w:before="60" w:after="60"/>
        <w:jc w:val="center"/>
        <w:rPr>
          <w:rFonts w:ascii="Times New Roman" w:hAnsi="Times New Roman" w:cs="Times New Roman"/>
          <w:b/>
          <w:bCs/>
        </w:rPr>
      </w:pPr>
      <w:r>
        <w:rPr>
          <w:rFonts w:cs="Times New Roman" w:ascii="Times New Roman" w:hAnsi="Times New Roman"/>
          <w:b/>
          <w:bCs/>
        </w:rPr>
        <w:t>Oświadczenia i obowiązki Zamawiającego</w:t>
      </w:r>
    </w:p>
    <w:p>
      <w:pPr>
        <w:pStyle w:val="Normal"/>
        <w:spacing w:lineRule="auto" w:line="240" w:before="60" w:after="60"/>
        <w:jc w:val="both"/>
        <w:rPr>
          <w:rFonts w:ascii="Times New Roman" w:hAnsi="Times New Roman" w:cs="Times New Roman"/>
        </w:rPr>
      </w:pPr>
      <w:r>
        <w:rPr>
          <w:rFonts w:cs="Times New Roman" w:ascii="Times New Roman" w:hAnsi="Times New Roman"/>
        </w:rPr>
        <w:t xml:space="preserve">W trakcie realizacji Umowy przez Wykonawcę, Zamawiający zobowiązany jest do: </w:t>
      </w:r>
    </w:p>
    <w:p>
      <w:pPr>
        <w:pStyle w:val="Normal"/>
        <w:numPr>
          <w:ilvl w:val="0"/>
          <w:numId w:val="5"/>
        </w:numPr>
        <w:suppressAutoHyphens w:val="true"/>
        <w:spacing w:lineRule="auto" w:line="240" w:before="60" w:after="60"/>
        <w:ind w:hanging="426" w:start="426"/>
        <w:jc w:val="both"/>
        <w:textAlignment w:val="baseline"/>
        <w:rPr>
          <w:rFonts w:ascii="Times New Roman" w:hAnsi="Times New Roman" w:cs="Times New Roman"/>
        </w:rPr>
      </w:pPr>
      <w:r>
        <w:rPr>
          <w:rFonts w:cs="Times New Roman" w:ascii="Times New Roman" w:hAnsi="Times New Roman"/>
        </w:rPr>
        <w:t xml:space="preserve">Zapewnienia dostępu do poszczególnych pomieszczeń i obiektów niezbędnych do należytego wykonania prac objętych przedmiotem niniejszej Umowy. </w:t>
      </w:r>
    </w:p>
    <w:p>
      <w:pPr>
        <w:pStyle w:val="Normal"/>
        <w:numPr>
          <w:ilvl w:val="0"/>
          <w:numId w:val="5"/>
        </w:numPr>
        <w:suppressAutoHyphens w:val="true"/>
        <w:spacing w:lineRule="auto" w:line="240" w:before="60" w:after="60"/>
        <w:ind w:hanging="426" w:start="426"/>
        <w:jc w:val="both"/>
        <w:textAlignment w:val="baseline"/>
        <w:rPr>
          <w:rFonts w:ascii="Times New Roman" w:hAnsi="Times New Roman" w:cs="Times New Roman"/>
        </w:rPr>
      </w:pPr>
      <w:r>
        <w:rPr>
          <w:rFonts w:cs="Times New Roman" w:ascii="Times New Roman" w:hAnsi="Times New Roman"/>
        </w:rPr>
        <w:t>Zapewnienia dostępu do pomieszczenia serwerowni.</w:t>
      </w:r>
    </w:p>
    <w:p>
      <w:pPr>
        <w:pStyle w:val="Normal"/>
        <w:numPr>
          <w:ilvl w:val="0"/>
          <w:numId w:val="5"/>
        </w:numPr>
        <w:suppressAutoHyphens w:val="true"/>
        <w:spacing w:lineRule="auto" w:line="240" w:before="60" w:after="60"/>
        <w:ind w:hanging="426" w:start="426"/>
        <w:jc w:val="both"/>
        <w:textAlignment w:val="baseline"/>
        <w:rPr>
          <w:rFonts w:ascii="Times New Roman" w:hAnsi="Times New Roman" w:cs="Times New Roman"/>
        </w:rPr>
      </w:pPr>
      <w:r>
        <w:rPr>
          <w:rFonts w:cs="Times New Roman" w:ascii="Times New Roman" w:hAnsi="Times New Roman"/>
        </w:rPr>
        <w:t xml:space="preserve">Niezwłocznego udostępnienia aktualnych dokumentacji technicznych koniecznych dla realizacji przedmiotu umowy przez Wykonawcę, o ile Wykonawca wystąpi pisemnie o udostępnienie takiej dokumentacji i o ile są one w posiadaniu Zamawiającego. </w:t>
      </w:r>
    </w:p>
    <w:p>
      <w:pPr>
        <w:pStyle w:val="Normal"/>
        <w:numPr>
          <w:ilvl w:val="0"/>
          <w:numId w:val="5"/>
        </w:numPr>
        <w:suppressAutoHyphens w:val="true"/>
        <w:spacing w:lineRule="auto" w:line="240" w:before="60" w:after="60"/>
        <w:ind w:hanging="426" w:start="426"/>
        <w:jc w:val="both"/>
        <w:textAlignment w:val="baseline"/>
        <w:rPr>
          <w:rFonts w:ascii="Times New Roman" w:hAnsi="Times New Roman" w:cs="Times New Roman"/>
        </w:rPr>
      </w:pPr>
      <w:r>
        <w:rPr>
          <w:rFonts w:cs="Times New Roman" w:ascii="Times New Roman" w:hAnsi="Times New Roman"/>
        </w:rPr>
        <w:t>Dostarczenia potrzebnych informacji w celu właściwego wykonania przez Wykonawcę przedmiotu Umowy, o ile są one w posiadaniu Zamawiającego.</w:t>
      </w:r>
    </w:p>
    <w:p>
      <w:pPr>
        <w:pStyle w:val="Normal"/>
        <w:numPr>
          <w:ilvl w:val="0"/>
          <w:numId w:val="5"/>
        </w:numPr>
        <w:suppressAutoHyphens w:val="true"/>
        <w:spacing w:lineRule="auto" w:line="240" w:before="60" w:after="60"/>
        <w:ind w:hanging="426" w:start="426"/>
        <w:jc w:val="both"/>
        <w:textAlignment w:val="baseline"/>
        <w:rPr>
          <w:rFonts w:ascii="Times New Roman" w:hAnsi="Times New Roman" w:cs="Times New Roman"/>
        </w:rPr>
      </w:pPr>
      <w:r>
        <w:rPr>
          <w:rFonts w:cs="Times New Roman" w:ascii="Times New Roman" w:hAnsi="Times New Roman"/>
        </w:rPr>
        <w:t xml:space="preserve">Udzielania Wykonawcy wszelkich informacji i wyjaśnień niezbędnych do prawidłowego wykonania Umowy. </w:t>
      </w:r>
    </w:p>
    <w:p>
      <w:pPr>
        <w:pStyle w:val="Normal"/>
        <w:suppressAutoHyphens w:val="true"/>
        <w:spacing w:lineRule="auto" w:line="240" w:before="60" w:after="60"/>
        <w:ind w:start="426"/>
        <w:jc w:val="both"/>
        <w:textAlignment w:val="baseline"/>
        <w:rPr>
          <w:rFonts w:ascii="Times New Roman" w:hAnsi="Times New Roman" w:cs="Times New Roman"/>
        </w:rPr>
      </w:pPr>
      <w:r>
        <w:rPr>
          <w:rFonts w:cs="Times New Roman" w:ascii="Times New Roman" w:hAnsi="Times New Roman"/>
        </w:rPr>
      </w:r>
    </w:p>
    <w:p>
      <w:pPr>
        <w:pStyle w:val="Normal"/>
        <w:spacing w:lineRule="auto" w:line="240" w:before="60" w:after="60"/>
        <w:jc w:val="center"/>
        <w:rPr>
          <w:rFonts w:ascii="Times New Roman" w:hAnsi="Times New Roman" w:cs="Times New Roman"/>
          <w:b/>
          <w:bCs/>
        </w:rPr>
      </w:pPr>
      <w:r>
        <w:rPr>
          <w:rFonts w:cs="Times New Roman" w:ascii="Times New Roman" w:hAnsi="Times New Roman"/>
          <w:b/>
          <w:bCs/>
        </w:rPr>
        <w:t>§ 5</w:t>
      </w:r>
    </w:p>
    <w:p>
      <w:pPr>
        <w:pStyle w:val="Normal"/>
        <w:spacing w:lineRule="auto" w:line="240" w:before="60" w:after="60"/>
        <w:jc w:val="center"/>
        <w:rPr>
          <w:rFonts w:ascii="Times New Roman" w:hAnsi="Times New Roman" w:cs="Times New Roman"/>
          <w:b/>
          <w:bCs/>
        </w:rPr>
      </w:pPr>
      <w:r>
        <w:rPr>
          <w:rFonts w:cs="Times New Roman" w:ascii="Times New Roman" w:hAnsi="Times New Roman"/>
          <w:b/>
          <w:bCs/>
        </w:rPr>
        <w:t>Koordynatorzy</w:t>
      </w:r>
    </w:p>
    <w:p>
      <w:pPr>
        <w:pStyle w:val="Normal"/>
        <w:numPr>
          <w:ilvl w:val="0"/>
          <w:numId w:val="6"/>
        </w:numPr>
        <w:suppressAutoHyphens w:val="true"/>
        <w:spacing w:lineRule="auto" w:line="240" w:before="60" w:after="60"/>
        <w:ind w:hanging="426" w:start="425"/>
        <w:jc w:val="both"/>
        <w:textAlignment w:val="baseline"/>
        <w:rPr>
          <w:rFonts w:ascii="Times New Roman" w:hAnsi="Times New Roman" w:cs="Times New Roman"/>
        </w:rPr>
      </w:pPr>
      <w:r>
        <w:rPr>
          <w:rFonts w:cs="Times New Roman" w:ascii="Times New Roman" w:hAnsi="Times New Roman"/>
        </w:rPr>
        <w:t xml:space="preserve">Zamawiający i Wykonawca wyznaczą (każdy ze swojej Strony) osoby odpowiedzialne za koordynowanie i obsługę wszelkich formalności związanych z realizacją prac wynikających z niniejszej Umowy. </w:t>
      </w:r>
    </w:p>
    <w:p>
      <w:pPr>
        <w:pStyle w:val="Normal"/>
        <w:numPr>
          <w:ilvl w:val="0"/>
          <w:numId w:val="6"/>
        </w:numPr>
        <w:suppressAutoHyphens w:val="true"/>
        <w:spacing w:lineRule="auto" w:line="240" w:before="60" w:after="60"/>
        <w:ind w:hanging="426" w:start="425"/>
        <w:jc w:val="both"/>
        <w:textAlignment w:val="baseline"/>
        <w:rPr>
          <w:rFonts w:ascii="Times New Roman" w:hAnsi="Times New Roman" w:cs="Times New Roman"/>
          <w:b/>
          <w:bCs/>
        </w:rPr>
      </w:pPr>
      <w:r>
        <w:rPr>
          <w:rFonts w:cs="Times New Roman" w:ascii="Times New Roman" w:hAnsi="Times New Roman"/>
          <w:b/>
          <w:bCs/>
        </w:rPr>
        <w:t>Strony ustanawiają następujących Koordynatorów:</w:t>
      </w:r>
    </w:p>
    <w:p>
      <w:pPr>
        <w:pStyle w:val="Normal"/>
        <w:suppressAutoHyphens w:val="true"/>
        <w:spacing w:lineRule="auto" w:line="240" w:before="60" w:after="60"/>
        <w:ind w:start="425"/>
        <w:jc w:val="both"/>
        <w:textAlignment w:val="baseline"/>
        <w:rPr>
          <w:rFonts w:ascii="Times New Roman" w:hAnsi="Times New Roman" w:cs="Times New Roman"/>
          <w:b/>
          <w:bCs/>
        </w:rPr>
      </w:pPr>
      <w:r>
        <w:rPr>
          <w:rFonts w:cs="Times New Roman" w:ascii="Times New Roman" w:hAnsi="Times New Roman"/>
          <w:b/>
          <w:bCs/>
        </w:rPr>
        <w:t>Koordynator Zamawiającego: ……………….……… tel. ……………… email: ……………….</w:t>
      </w:r>
    </w:p>
    <w:p>
      <w:pPr>
        <w:pStyle w:val="Normal"/>
        <w:suppressAutoHyphens w:val="true"/>
        <w:spacing w:lineRule="auto" w:line="240" w:before="60" w:after="60"/>
        <w:ind w:start="425"/>
        <w:jc w:val="both"/>
        <w:textAlignment w:val="baseline"/>
        <w:rPr>
          <w:rFonts w:ascii="Times New Roman" w:hAnsi="Times New Roman" w:cs="Times New Roman"/>
          <w:b/>
          <w:bCs/>
        </w:rPr>
      </w:pPr>
      <w:r>
        <w:rPr>
          <w:rFonts w:cs="Times New Roman" w:ascii="Times New Roman" w:hAnsi="Times New Roman"/>
          <w:b/>
          <w:bCs/>
        </w:rPr>
        <w:t>Koordynator Wykonawcy: ……………………… tel. ……….……… email: ……….….……</w:t>
      </w:r>
    </w:p>
    <w:p>
      <w:pPr>
        <w:pStyle w:val="Normal"/>
        <w:numPr>
          <w:ilvl w:val="0"/>
          <w:numId w:val="6"/>
        </w:numPr>
        <w:suppressAutoHyphens w:val="true"/>
        <w:spacing w:lineRule="auto" w:line="240" w:before="60" w:after="60"/>
        <w:ind w:hanging="426" w:start="425"/>
        <w:jc w:val="both"/>
        <w:textAlignment w:val="baseline"/>
        <w:rPr>
          <w:rFonts w:ascii="Times New Roman" w:hAnsi="Times New Roman" w:cs="Times New Roman"/>
        </w:rPr>
      </w:pPr>
      <w:r>
        <w:rPr>
          <w:rFonts w:cs="Times New Roman" w:ascii="Times New Roman" w:hAnsi="Times New Roman"/>
        </w:rPr>
        <w:t>Każda ze Stron może dokonać zmiany swojego Koordynatora, zawiadamiając o tym drugą Stronę na piśmie. Zmiana jest skuteczna od chwili doręczenia danemu Koordynatorowi informacji o zmianie i nie stanowi ona zmiany Umowy.</w:t>
      </w:r>
    </w:p>
    <w:p>
      <w:pPr>
        <w:pStyle w:val="Normal"/>
        <w:numPr>
          <w:ilvl w:val="0"/>
          <w:numId w:val="6"/>
        </w:numPr>
        <w:suppressAutoHyphens w:val="true"/>
        <w:spacing w:lineRule="auto" w:line="240" w:before="60" w:after="60"/>
        <w:ind w:hanging="426" w:start="425"/>
        <w:jc w:val="both"/>
        <w:textAlignment w:val="baseline"/>
        <w:rPr>
          <w:rFonts w:ascii="Times New Roman" w:hAnsi="Times New Roman" w:cs="Times New Roman"/>
        </w:rPr>
      </w:pPr>
      <w:r>
        <w:rPr>
          <w:rFonts w:cs="Times New Roman" w:ascii="Times New Roman" w:hAnsi="Times New Roman"/>
        </w:rPr>
        <w:t xml:space="preserve">Wszelkie zawiadomienia i oświadczenia oraz inna korespondencja przewidziana </w:t>
        <w:br/>
        <w:t xml:space="preserve">w niniejszej Umowie będą przekazywane drugiej Stronie w formie pisemnej w języku polskim i będą doręczone osobiście, kurierem, listem poleconym za zwrotnym potwierdzeniem odbioru lub za pośrednictwem poczty elektronicznej (e-mail). </w:t>
      </w:r>
    </w:p>
    <w:p>
      <w:pPr>
        <w:pStyle w:val="Normal"/>
        <w:suppressAutoHyphens w:val="true"/>
        <w:spacing w:lineRule="auto" w:line="240" w:before="60" w:after="60"/>
        <w:jc w:val="both"/>
        <w:textAlignment w:val="baseline"/>
        <w:rPr>
          <w:rFonts w:ascii="Times New Roman" w:hAnsi="Times New Roman" w:cs="Times New Roman"/>
        </w:rPr>
      </w:pPr>
      <w:r>
        <w:rPr>
          <w:rFonts w:cs="Times New Roman" w:ascii="Times New Roman" w:hAnsi="Times New Roman"/>
        </w:rPr>
      </w:r>
    </w:p>
    <w:p>
      <w:pPr>
        <w:pStyle w:val="Normal"/>
        <w:suppressAutoHyphens w:val="true"/>
        <w:spacing w:lineRule="auto" w:line="240" w:before="60" w:after="60"/>
        <w:jc w:val="both"/>
        <w:textAlignment w:val="baseline"/>
        <w:rPr>
          <w:rFonts w:ascii="Times New Roman" w:hAnsi="Times New Roman" w:cs="Times New Roman"/>
        </w:rPr>
      </w:pPr>
      <w:r>
        <w:rPr>
          <w:rFonts w:cs="Times New Roman" w:ascii="Times New Roman" w:hAnsi="Times New Roman"/>
        </w:rPr>
      </w:r>
    </w:p>
    <w:p>
      <w:pPr>
        <w:pStyle w:val="NormalWeb"/>
        <w:spacing w:lineRule="auto" w:line="240" w:beforeAutospacing="0" w:before="0" w:after="60"/>
        <w:jc w:val="center"/>
        <w:rPr>
          <w:sz w:val="22"/>
          <w:szCs w:val="22"/>
        </w:rPr>
      </w:pPr>
      <w:r>
        <w:rPr>
          <w:b/>
          <w:bCs/>
          <w:sz w:val="22"/>
          <w:szCs w:val="22"/>
        </w:rPr>
        <w:t xml:space="preserve">§ 6 </w:t>
      </w:r>
    </w:p>
    <w:p>
      <w:pPr>
        <w:pStyle w:val="NormalWeb"/>
        <w:spacing w:lineRule="auto" w:line="240" w:beforeAutospacing="0" w:before="0" w:after="60"/>
        <w:jc w:val="center"/>
        <w:rPr>
          <w:sz w:val="22"/>
          <w:szCs w:val="22"/>
        </w:rPr>
      </w:pPr>
      <w:r>
        <w:rPr>
          <w:b/>
          <w:bCs/>
          <w:sz w:val="22"/>
          <w:szCs w:val="22"/>
        </w:rPr>
        <w:t>Licencja</w:t>
      </w:r>
    </w:p>
    <w:p>
      <w:pPr>
        <w:pStyle w:val="ListParagraph"/>
        <w:numPr>
          <w:ilvl w:val="0"/>
          <w:numId w:val="22"/>
        </w:numPr>
        <w:suppressAutoHyphens w:val="true"/>
        <w:spacing w:lineRule="auto" w:line="240" w:before="60" w:after="60"/>
        <w:ind w:hanging="360" w:start="426"/>
        <w:contextualSpacing/>
        <w:jc w:val="both"/>
        <w:textAlignment w:val="baseline"/>
        <w:rPr>
          <w:rFonts w:ascii="Times New Roman" w:hAnsi="Times New Roman" w:cs="Times New Roman"/>
        </w:rPr>
      </w:pPr>
      <w:r>
        <w:rPr>
          <w:rFonts w:cs="Times New Roman" w:ascii="Times New Roman" w:hAnsi="Times New Roman"/>
        </w:rPr>
        <w:t>Wykonawca oświadcza, że przysługują mu wyłączne autorskie prawa majątkowe do systemu informatycznego wspomagającego zarządzanie przedsiębiorstwem komunalnym oraz że korzystanie z systemu zgodnie z udzieloną licencją nie będzie naruszać praw autorskich osób trzecich.</w:t>
      </w:r>
    </w:p>
    <w:p>
      <w:pPr>
        <w:pStyle w:val="ListParagraph"/>
        <w:numPr>
          <w:ilvl w:val="0"/>
          <w:numId w:val="22"/>
        </w:numPr>
        <w:suppressAutoHyphens w:val="true"/>
        <w:spacing w:lineRule="auto" w:line="240" w:before="60" w:after="60"/>
        <w:ind w:hanging="360" w:start="426"/>
        <w:contextualSpacing/>
        <w:jc w:val="both"/>
        <w:textAlignment w:val="baseline"/>
        <w:rPr>
          <w:rFonts w:ascii="Times New Roman" w:hAnsi="Times New Roman" w:cs="Times New Roman"/>
        </w:rPr>
      </w:pPr>
      <w:r>
        <w:rPr>
          <w:rFonts w:cs="Times New Roman" w:ascii="Times New Roman" w:hAnsi="Times New Roman"/>
        </w:rPr>
        <w:t>Wykonawca oświadcza, że jest uprawniony do udzielania licencji na system informatyczny wspomagający zarządzanie przedsiębiorstwem komunalnym.</w:t>
      </w:r>
    </w:p>
    <w:p>
      <w:pPr>
        <w:pStyle w:val="ListParagraph"/>
        <w:numPr>
          <w:ilvl w:val="0"/>
          <w:numId w:val="22"/>
        </w:numPr>
        <w:suppressAutoHyphens w:val="true"/>
        <w:spacing w:lineRule="auto" w:line="240" w:before="60" w:after="60"/>
        <w:ind w:hanging="360" w:start="426"/>
        <w:contextualSpacing/>
        <w:jc w:val="both"/>
        <w:textAlignment w:val="baseline"/>
        <w:rPr>
          <w:rFonts w:ascii="Times New Roman" w:hAnsi="Times New Roman" w:cs="Times New Roman"/>
        </w:rPr>
      </w:pPr>
      <w:r>
        <w:rPr>
          <w:rFonts w:cs="Times New Roman" w:ascii="Times New Roman" w:hAnsi="Times New Roman"/>
        </w:rPr>
        <w:t>Wykonawca udziela Zamawiającemu niewyłącznej, niezbywalnej, bez ograniczeń czasowych licencji na użytkowanie systemu informatycznego wspomagającego zarządzanie przedsiębiorstwem komunalnym, w siedzibie Zamawiającego i jego jednostkach organizacyjnych.</w:t>
      </w:r>
    </w:p>
    <w:p>
      <w:pPr>
        <w:pStyle w:val="ListParagraph"/>
        <w:numPr>
          <w:ilvl w:val="0"/>
          <w:numId w:val="22"/>
        </w:numPr>
        <w:suppressAutoHyphens w:val="true"/>
        <w:spacing w:lineRule="auto" w:line="240" w:before="60" w:after="60"/>
        <w:ind w:hanging="360" w:start="426"/>
        <w:contextualSpacing/>
        <w:jc w:val="both"/>
        <w:textAlignment w:val="baseline"/>
        <w:rPr>
          <w:rFonts w:ascii="Times New Roman" w:hAnsi="Times New Roman" w:cs="Times New Roman"/>
        </w:rPr>
      </w:pPr>
      <w:r>
        <w:rPr>
          <w:rFonts w:cs="Times New Roman" w:ascii="Times New Roman" w:hAnsi="Times New Roman"/>
        </w:rPr>
        <w:t>Licencja upoważnia Zamawiającego do:</w:t>
      </w:r>
    </w:p>
    <w:p>
      <w:pPr>
        <w:pStyle w:val="ListParagraph"/>
        <w:numPr>
          <w:ilvl w:val="1"/>
          <w:numId w:val="22"/>
        </w:numPr>
        <w:suppressAutoHyphens w:val="true"/>
        <w:spacing w:lineRule="auto" w:line="240" w:before="60" w:after="60"/>
        <w:ind w:hanging="360" w:start="709"/>
        <w:contextualSpacing/>
        <w:jc w:val="both"/>
        <w:textAlignment w:val="baseline"/>
        <w:rPr>
          <w:rFonts w:ascii="Times New Roman" w:hAnsi="Times New Roman" w:cs="Times New Roman"/>
        </w:rPr>
      </w:pPr>
      <w:r>
        <w:rPr>
          <w:rFonts w:cs="Times New Roman" w:ascii="Times New Roman" w:hAnsi="Times New Roman"/>
        </w:rPr>
        <w:t>sporządzania jednego egzemplarza kopii zapasowej systemu;</w:t>
      </w:r>
    </w:p>
    <w:p>
      <w:pPr>
        <w:pStyle w:val="ListParagraph"/>
        <w:numPr>
          <w:ilvl w:val="1"/>
          <w:numId w:val="22"/>
        </w:numPr>
        <w:suppressAutoHyphens w:val="true"/>
        <w:spacing w:lineRule="auto" w:line="240" w:before="60" w:after="60"/>
        <w:ind w:hanging="360" w:start="709"/>
        <w:contextualSpacing/>
        <w:jc w:val="both"/>
        <w:textAlignment w:val="baseline"/>
        <w:rPr>
          <w:rFonts w:ascii="Times New Roman" w:hAnsi="Times New Roman" w:cs="Times New Roman"/>
        </w:rPr>
      </w:pPr>
      <w:r>
        <w:rPr>
          <w:rFonts w:cs="Times New Roman" w:ascii="Times New Roman" w:hAnsi="Times New Roman"/>
        </w:rPr>
        <w:t>prezentacji danych przetworzonych przez system lub ich kopii za pomocą dowolnej technologii;</w:t>
      </w:r>
    </w:p>
    <w:p>
      <w:pPr>
        <w:pStyle w:val="ListParagraph"/>
        <w:numPr>
          <w:ilvl w:val="1"/>
          <w:numId w:val="22"/>
        </w:numPr>
        <w:suppressAutoHyphens w:val="true"/>
        <w:spacing w:lineRule="auto" w:line="240" w:before="60" w:after="60"/>
        <w:ind w:hanging="360" w:start="709"/>
        <w:contextualSpacing/>
        <w:jc w:val="both"/>
        <w:textAlignment w:val="baseline"/>
        <w:rPr>
          <w:rFonts w:ascii="Times New Roman" w:hAnsi="Times New Roman" w:cs="Times New Roman"/>
        </w:rPr>
      </w:pPr>
      <w:r>
        <w:rPr>
          <w:rFonts w:cs="Times New Roman" w:ascii="Times New Roman" w:hAnsi="Times New Roman"/>
        </w:rPr>
        <w:t>publicznego przekazywania i prezentowania danych przetworzonych przez system;</w:t>
      </w:r>
    </w:p>
    <w:p>
      <w:pPr>
        <w:pStyle w:val="ListParagraph"/>
        <w:numPr>
          <w:ilvl w:val="1"/>
          <w:numId w:val="22"/>
        </w:numPr>
        <w:suppressAutoHyphens w:val="true"/>
        <w:spacing w:lineRule="auto" w:line="240" w:before="60" w:after="60"/>
        <w:ind w:hanging="360" w:start="709"/>
        <w:contextualSpacing/>
        <w:jc w:val="both"/>
        <w:textAlignment w:val="baseline"/>
        <w:rPr>
          <w:rFonts w:ascii="Times New Roman" w:hAnsi="Times New Roman" w:cs="Times New Roman"/>
        </w:rPr>
      </w:pPr>
      <w:r>
        <w:rPr>
          <w:rFonts w:cs="Times New Roman" w:ascii="Times New Roman" w:hAnsi="Times New Roman"/>
        </w:rPr>
        <w:t>wprowadzania danych za pośrednictwem systemu i do przechowywania ich w pamięci komputera lub dystrybucji w sieciach komputerowych, na przykład w sieciach wewnętrznych Zamawiającego lub w Internecie; i/lub</w:t>
      </w:r>
    </w:p>
    <w:p>
      <w:pPr>
        <w:pStyle w:val="ListParagraph"/>
        <w:numPr>
          <w:ilvl w:val="1"/>
          <w:numId w:val="22"/>
        </w:numPr>
        <w:suppressAutoHyphens w:val="true"/>
        <w:spacing w:lineRule="auto" w:line="240" w:before="60" w:after="60"/>
        <w:ind w:hanging="360" w:start="709"/>
        <w:contextualSpacing/>
        <w:jc w:val="both"/>
        <w:textAlignment w:val="baseline"/>
        <w:rPr>
          <w:rFonts w:ascii="Times New Roman" w:hAnsi="Times New Roman" w:cs="Times New Roman"/>
        </w:rPr>
      </w:pPr>
      <w:r>
        <w:rPr>
          <w:rFonts w:cs="Times New Roman" w:ascii="Times New Roman" w:hAnsi="Times New Roman"/>
        </w:rPr>
        <w:t>udostępniania systemu w taki sposób, aby umożliwić każdej upoważnionej osobie dostęp do takiego oprogramowania, gdy tylko taka osoba o tym zdecyduje; i/lub</w:t>
      </w:r>
    </w:p>
    <w:p>
      <w:pPr>
        <w:pStyle w:val="ListParagraph"/>
        <w:numPr>
          <w:ilvl w:val="1"/>
          <w:numId w:val="22"/>
        </w:numPr>
        <w:suppressAutoHyphens w:val="true"/>
        <w:spacing w:lineRule="auto" w:line="240" w:before="60" w:after="60"/>
        <w:ind w:hanging="360" w:start="709"/>
        <w:contextualSpacing/>
        <w:jc w:val="both"/>
        <w:textAlignment w:val="baseline"/>
        <w:rPr>
          <w:rFonts w:ascii="Times New Roman" w:hAnsi="Times New Roman" w:cs="Times New Roman"/>
        </w:rPr>
      </w:pPr>
      <w:r>
        <w:rPr>
          <w:rFonts w:cs="Times New Roman" w:ascii="Times New Roman" w:hAnsi="Times New Roman"/>
        </w:rPr>
        <w:t>testowania systemu pod kątem bezpieczeństwa jego stosowania i usuwania wykrytych zagrożeń w jego funkcjonowaniu po zainstalowaniu systemu.</w:t>
      </w:r>
    </w:p>
    <w:p>
      <w:pPr>
        <w:pStyle w:val="ListParagraph"/>
        <w:numPr>
          <w:ilvl w:val="0"/>
          <w:numId w:val="22"/>
        </w:numPr>
        <w:suppressAutoHyphens w:val="true"/>
        <w:spacing w:lineRule="auto" w:line="240" w:before="60" w:after="60"/>
        <w:ind w:hanging="360" w:start="426"/>
        <w:contextualSpacing/>
        <w:jc w:val="both"/>
        <w:textAlignment w:val="baseline"/>
        <w:rPr>
          <w:rFonts w:ascii="Times New Roman" w:hAnsi="Times New Roman" w:cs="Times New Roman"/>
        </w:rPr>
      </w:pPr>
      <w:r>
        <w:rPr>
          <w:rFonts w:cs="Times New Roman" w:ascii="Times New Roman" w:hAnsi="Times New Roman"/>
        </w:rPr>
        <w:t>Z zastrzeżeniem przepisów ustawy o prawie autorskim i prawach pokrewnych Zamawiający nie może:</w:t>
      </w:r>
    </w:p>
    <w:p>
      <w:pPr>
        <w:pStyle w:val="ListParagraph"/>
        <w:numPr>
          <w:ilvl w:val="1"/>
          <w:numId w:val="22"/>
        </w:numPr>
        <w:suppressAutoHyphens w:val="true"/>
        <w:spacing w:lineRule="auto" w:line="240" w:before="60" w:after="60"/>
        <w:ind w:hanging="360" w:start="709"/>
        <w:contextualSpacing/>
        <w:jc w:val="both"/>
        <w:textAlignment w:val="baseline"/>
        <w:rPr>
          <w:rFonts w:ascii="Times New Roman" w:hAnsi="Times New Roman" w:cs="Times New Roman"/>
        </w:rPr>
      </w:pPr>
      <w:r>
        <w:rPr>
          <w:rFonts w:cs="Times New Roman" w:ascii="Times New Roman" w:hAnsi="Times New Roman"/>
        </w:rPr>
        <w:t>trwale lub czasowo zwielokrotniać Systemu w całości lub w części jakimikolwiek środkami i w jakiejkolwiek formie;</w:t>
      </w:r>
    </w:p>
    <w:p>
      <w:pPr>
        <w:pStyle w:val="ListParagraph"/>
        <w:numPr>
          <w:ilvl w:val="1"/>
          <w:numId w:val="22"/>
        </w:numPr>
        <w:suppressAutoHyphens w:val="true"/>
        <w:spacing w:lineRule="auto" w:line="240" w:before="60" w:after="60"/>
        <w:ind w:hanging="360" w:start="709"/>
        <w:contextualSpacing/>
        <w:jc w:val="both"/>
        <w:textAlignment w:val="baseline"/>
        <w:rPr>
          <w:rFonts w:ascii="Times New Roman" w:hAnsi="Times New Roman" w:cs="Times New Roman"/>
        </w:rPr>
      </w:pPr>
      <w:r>
        <w:rPr>
          <w:rFonts w:cs="Times New Roman" w:ascii="Times New Roman" w:hAnsi="Times New Roman"/>
        </w:rPr>
        <w:t>wprowadzać jakichkolwiek zmian w systemie;</w:t>
      </w:r>
    </w:p>
    <w:p>
      <w:pPr>
        <w:pStyle w:val="ListParagraph"/>
        <w:numPr>
          <w:ilvl w:val="1"/>
          <w:numId w:val="22"/>
        </w:numPr>
        <w:suppressAutoHyphens w:val="true"/>
        <w:spacing w:lineRule="auto" w:line="240" w:before="60" w:after="60"/>
        <w:ind w:hanging="360" w:start="709"/>
        <w:contextualSpacing/>
        <w:jc w:val="both"/>
        <w:textAlignment w:val="baseline"/>
        <w:rPr>
          <w:rFonts w:ascii="Times New Roman" w:hAnsi="Times New Roman" w:cs="Times New Roman"/>
        </w:rPr>
      </w:pPr>
      <w:r>
        <w:rPr>
          <w:rFonts w:cs="Times New Roman" w:ascii="Times New Roman" w:hAnsi="Times New Roman"/>
        </w:rPr>
        <w:t>korzystać z kopii archiwalnej lub zapasowej równocześnie z systemem.</w:t>
      </w:r>
    </w:p>
    <w:p>
      <w:pPr>
        <w:pStyle w:val="ListParagraph"/>
        <w:numPr>
          <w:ilvl w:val="0"/>
          <w:numId w:val="22"/>
        </w:numPr>
        <w:suppressAutoHyphens w:val="true"/>
        <w:spacing w:lineRule="auto" w:line="240" w:before="60" w:after="60"/>
        <w:ind w:hanging="360" w:start="426"/>
        <w:contextualSpacing/>
        <w:jc w:val="both"/>
        <w:textAlignment w:val="baseline"/>
        <w:rPr>
          <w:rFonts w:ascii="Times New Roman" w:hAnsi="Times New Roman" w:cs="Times New Roman"/>
        </w:rPr>
      </w:pPr>
      <w:r>
        <w:rPr>
          <w:rFonts w:cs="Times New Roman" w:ascii="Times New Roman" w:hAnsi="Times New Roman"/>
        </w:rPr>
        <w:t>Zamawiający zobowiązuje się do:</w:t>
      </w:r>
    </w:p>
    <w:p>
      <w:pPr>
        <w:pStyle w:val="ListParagraph"/>
        <w:numPr>
          <w:ilvl w:val="1"/>
          <w:numId w:val="22"/>
        </w:numPr>
        <w:suppressAutoHyphens w:val="true"/>
        <w:spacing w:lineRule="auto" w:line="240" w:before="60" w:after="60"/>
        <w:ind w:hanging="360" w:start="709"/>
        <w:contextualSpacing/>
        <w:jc w:val="both"/>
        <w:textAlignment w:val="baseline"/>
        <w:rPr>
          <w:rFonts w:ascii="Times New Roman" w:hAnsi="Times New Roman" w:cs="Times New Roman"/>
        </w:rPr>
      </w:pPr>
      <w:r>
        <w:rPr>
          <w:rFonts w:cs="Times New Roman" w:ascii="Times New Roman" w:hAnsi="Times New Roman"/>
        </w:rPr>
        <w:t>niepowielania systemu poza wykonaniem kopii zapasowych;</w:t>
      </w:r>
    </w:p>
    <w:p>
      <w:pPr>
        <w:pStyle w:val="ListParagraph"/>
        <w:numPr>
          <w:ilvl w:val="1"/>
          <w:numId w:val="22"/>
        </w:numPr>
        <w:suppressAutoHyphens w:val="true"/>
        <w:spacing w:lineRule="auto" w:line="240" w:before="60" w:after="60"/>
        <w:ind w:hanging="360" w:start="709"/>
        <w:contextualSpacing/>
        <w:jc w:val="both"/>
        <w:textAlignment w:val="baseline"/>
        <w:rPr>
          <w:rFonts w:ascii="Times New Roman" w:hAnsi="Times New Roman" w:cs="Times New Roman"/>
        </w:rPr>
      </w:pPr>
      <w:r>
        <w:rPr>
          <w:rFonts w:cs="Times New Roman" w:ascii="Times New Roman" w:hAnsi="Times New Roman"/>
        </w:rPr>
        <w:t>nieudostępniania systemu osobom trzecim (odpłatnie lub nieodpłatnie, w całości lub w części).</w:t>
      </w:r>
    </w:p>
    <w:p>
      <w:pPr>
        <w:pStyle w:val="ListParagraph"/>
        <w:suppressAutoHyphens w:val="true"/>
        <w:spacing w:lineRule="auto" w:line="240" w:before="60" w:after="60"/>
        <w:ind w:start="709"/>
        <w:contextualSpacing/>
        <w:jc w:val="both"/>
        <w:textAlignment w:val="baseline"/>
        <w:rPr>
          <w:rFonts w:ascii="Times New Roman" w:hAnsi="Times New Roman" w:cs="Times New Roman"/>
        </w:rPr>
      </w:pPr>
      <w:r>
        <w:rPr>
          <w:rFonts w:cs="Times New Roman" w:ascii="Times New Roman" w:hAnsi="Times New Roman"/>
        </w:rPr>
      </w:r>
    </w:p>
    <w:p>
      <w:pPr>
        <w:pStyle w:val="NormalWeb"/>
        <w:spacing w:lineRule="auto" w:line="240" w:beforeAutospacing="0" w:before="0" w:after="60"/>
        <w:jc w:val="center"/>
        <w:rPr>
          <w:sz w:val="22"/>
          <w:szCs w:val="22"/>
        </w:rPr>
      </w:pPr>
      <w:bookmarkStart w:id="2" w:name="_Hlk203985388"/>
      <w:r>
        <w:rPr>
          <w:b/>
          <w:bCs/>
          <w:sz w:val="22"/>
          <w:szCs w:val="22"/>
        </w:rPr>
        <w:t xml:space="preserve"> </w:t>
      </w:r>
      <w:r>
        <w:rPr>
          <w:b/>
          <w:bCs/>
          <w:sz w:val="22"/>
          <w:szCs w:val="22"/>
        </w:rPr>
        <w:t xml:space="preserve">§ 7 </w:t>
      </w:r>
    </w:p>
    <w:p>
      <w:pPr>
        <w:pStyle w:val="NormalWeb"/>
        <w:spacing w:lineRule="auto" w:line="240" w:beforeAutospacing="0" w:before="0" w:after="60"/>
        <w:jc w:val="center"/>
        <w:rPr>
          <w:sz w:val="22"/>
          <w:szCs w:val="22"/>
        </w:rPr>
      </w:pPr>
      <w:r>
        <w:rPr>
          <w:b/>
          <w:bCs/>
          <w:sz w:val="22"/>
          <w:szCs w:val="22"/>
        </w:rPr>
        <w:t>Wynagrodzenie</w:t>
      </w:r>
    </w:p>
    <w:p>
      <w:pPr>
        <w:pStyle w:val="NormalWeb"/>
        <w:numPr>
          <w:ilvl w:val="0"/>
          <w:numId w:val="32"/>
        </w:numPr>
        <w:spacing w:lineRule="auto" w:line="240" w:beforeAutospacing="0" w:before="0" w:after="60"/>
        <w:jc w:val="start"/>
        <w:rPr>
          <w:sz w:val="22"/>
          <w:szCs w:val="22"/>
        </w:rPr>
      </w:pPr>
      <w:r>
        <w:rPr>
          <w:sz w:val="22"/>
          <w:szCs w:val="22"/>
        </w:rPr>
        <w:t>Strony ustaliły wynagrodzenie za wykonanie przedmiotu Umowy określonego w § 1 ust 2) w wysokości ...</w:t>
      </w:r>
      <w:r>
        <w:rPr>
          <w:b/>
          <w:bCs/>
          <w:sz w:val="22"/>
          <w:szCs w:val="22"/>
        </w:rPr>
        <w:t>……… zł netto (słownie: ………………………… złotych) + aktualnie obowiązująca stawka podatku VAT, tj. ……….. zł brutto (słownie: ………………………… złotych)</w:t>
      </w:r>
      <w:r>
        <w:rPr>
          <w:sz w:val="22"/>
          <w:szCs w:val="22"/>
        </w:rPr>
        <w:t>.</w:t>
      </w:r>
    </w:p>
    <w:p>
      <w:pPr>
        <w:pStyle w:val="NormalWeb"/>
        <w:numPr>
          <w:ilvl w:val="0"/>
          <w:numId w:val="13"/>
        </w:numPr>
        <w:spacing w:lineRule="auto" w:line="240" w:beforeAutospacing="0" w:before="0" w:after="60"/>
        <w:jc w:val="start"/>
        <w:rPr>
          <w:sz w:val="22"/>
          <w:szCs w:val="22"/>
        </w:rPr>
      </w:pPr>
      <w:r>
        <w:rPr>
          <w:sz w:val="22"/>
          <w:szCs w:val="22"/>
        </w:rPr>
        <w:t>Strony ustaliły, że wynagrodzenie za wykonanie przedmiotu Umowy określone w ust. 1 zostanie zapłacone w częściach:</w:t>
      </w:r>
    </w:p>
    <w:p>
      <w:pPr>
        <w:pStyle w:val="NormalWeb"/>
        <w:numPr>
          <w:ilvl w:val="1"/>
          <w:numId w:val="4"/>
        </w:numPr>
        <w:spacing w:lineRule="auto" w:line="240" w:before="280" w:after="60"/>
        <w:rPr>
          <w:sz w:val="22"/>
          <w:szCs w:val="22"/>
        </w:rPr>
      </w:pPr>
      <w:r>
        <w:rPr>
          <w:sz w:val="22"/>
          <w:szCs w:val="22"/>
        </w:rPr>
        <w:t xml:space="preserve">Wynagrodzenie za wykonanie przedmiotu Umowy określonego w § 1 ust. 2 pkt 1) w wysokości: </w:t>
      </w:r>
      <w:r>
        <w:rPr>
          <w:b/>
          <w:bCs/>
          <w:sz w:val="22"/>
          <w:szCs w:val="22"/>
        </w:rPr>
        <w:t>………… zł netto (słownie: …………… złotych) + aktualnie obowiązująca stawka podatku VAT</w:t>
      </w:r>
      <w:r>
        <w:rPr>
          <w:sz w:val="22"/>
          <w:szCs w:val="22"/>
        </w:rPr>
        <w:t xml:space="preserve"> płatne na podstawie faktury w ciągu 14 dni od daty dostawy i udzielenia licencji na system wspomagający zarządzanie przedsiębiorstwem komunalnym, potwierdzonej podpisanym protokołem zdawczo-odbiorczym,</w:t>
      </w:r>
    </w:p>
    <w:p>
      <w:pPr>
        <w:pStyle w:val="NormalWeb"/>
        <w:numPr>
          <w:ilvl w:val="1"/>
          <w:numId w:val="4"/>
        </w:numPr>
        <w:spacing w:lineRule="auto" w:line="240" w:before="0" w:after="60"/>
        <w:rPr>
          <w:sz w:val="22"/>
          <w:szCs w:val="22"/>
        </w:rPr>
      </w:pPr>
      <w:r>
        <w:rPr>
          <w:sz w:val="22"/>
          <w:szCs w:val="22"/>
        </w:rPr>
        <w:t xml:space="preserve">wynagrodzenie za wykonanie przedmiotu Umowy określonego w § 1 ust. 2 pkt 2) w wysokości: </w:t>
      </w:r>
      <w:r>
        <w:rPr>
          <w:b/>
          <w:bCs/>
          <w:sz w:val="22"/>
          <w:szCs w:val="22"/>
        </w:rPr>
        <w:t>………… zł netto (słownie: …………… złotych) + aktualnie obowiązująca stawka podatku VAT</w:t>
      </w:r>
      <w:r>
        <w:rPr>
          <w:sz w:val="22"/>
          <w:szCs w:val="22"/>
        </w:rPr>
        <w:t xml:space="preserve"> płatne na podstawie faktury w ciągu 14 dni od daty dostawy i zainstalowania bazy danych na serwerze, potwierdzonej podpisanym protokołem zdawczo-odbiorczym,</w:t>
      </w:r>
    </w:p>
    <w:p>
      <w:pPr>
        <w:pStyle w:val="NormalWeb"/>
        <w:numPr>
          <w:ilvl w:val="1"/>
          <w:numId w:val="4"/>
        </w:numPr>
        <w:spacing w:lineRule="auto" w:line="240" w:before="0" w:after="60"/>
        <w:rPr>
          <w:sz w:val="22"/>
          <w:szCs w:val="22"/>
        </w:rPr>
      </w:pPr>
      <w:r>
        <w:rPr>
          <w:sz w:val="22"/>
          <w:szCs w:val="22"/>
        </w:rPr>
        <w:t xml:space="preserve">wynagrodzenia za wykonanie przedmiotu Umowy określonego w § 1 ust. 2 pkt 3), 4) i 5) w wysokości miesięcznie: </w:t>
      </w:r>
      <w:r>
        <w:rPr>
          <w:b/>
          <w:bCs/>
          <w:sz w:val="22"/>
          <w:szCs w:val="22"/>
        </w:rPr>
        <w:t>………… zł netto (słownie: …………… złotych) + aktualnie obowiązująca stawka podatku VAT</w:t>
      </w:r>
      <w:r>
        <w:rPr>
          <w:sz w:val="22"/>
          <w:szCs w:val="22"/>
        </w:rPr>
        <w:t xml:space="preserve"> płatne co miesiąc</w:t>
      </w:r>
      <w:r>
        <w:rPr/>
        <w:t xml:space="preserve"> </w:t>
      </w:r>
      <w:r>
        <w:rPr>
          <w:sz w:val="22"/>
          <w:szCs w:val="22"/>
        </w:rPr>
        <w:t>z góry na podstawie otrzymywanej faktury, do 10-tego dnia każdego miesiąca, począwszy od …….. i przez cały okres nadzoru nad wdrożeniem,</w:t>
      </w:r>
    </w:p>
    <w:p>
      <w:pPr>
        <w:pStyle w:val="NormalWeb"/>
        <w:numPr>
          <w:ilvl w:val="1"/>
          <w:numId w:val="4"/>
        </w:numPr>
        <w:spacing w:lineRule="auto" w:line="240" w:beforeAutospacing="0" w:before="0" w:after="60"/>
        <w:ind w:hanging="357" w:start="1440"/>
        <w:rPr>
          <w:sz w:val="22"/>
          <w:szCs w:val="22"/>
        </w:rPr>
      </w:pPr>
      <w:r>
        <w:rPr>
          <w:sz w:val="22"/>
          <w:szCs w:val="22"/>
        </w:rPr>
        <w:t xml:space="preserve">wynagrodzenie za wykonanie przedmiotu Umowy określonego w § 1 ust. 2 pkt 6) i 7) w wysokości miesięcznie: </w:t>
      </w:r>
      <w:r>
        <w:rPr>
          <w:b/>
          <w:bCs/>
          <w:sz w:val="22"/>
          <w:szCs w:val="22"/>
        </w:rPr>
        <w:t>………… zł netto (słownie: …………… złotych) + aktualnie obowiązująca stawka podatku VAT</w:t>
      </w:r>
      <w:r>
        <w:rPr>
          <w:sz w:val="22"/>
          <w:szCs w:val="22"/>
        </w:rPr>
        <w:t xml:space="preserve"> płatne co miesiąc z góry na podstawie otrzymywanej faktury, do 10-tego dnia każdego miesiąca, począwszy od następnego miesiąca po podpisaniu protokołu zakończenia wdrożenia.</w:t>
      </w:r>
    </w:p>
    <w:p>
      <w:pPr>
        <w:pStyle w:val="NormalWeb"/>
        <w:numPr>
          <w:ilvl w:val="0"/>
          <w:numId w:val="13"/>
        </w:numPr>
        <w:spacing w:lineRule="auto" w:line="240" w:beforeAutospacing="0" w:before="60" w:after="60"/>
        <w:ind w:hanging="357" w:start="720"/>
        <w:rPr>
          <w:sz w:val="22"/>
          <w:szCs w:val="22"/>
        </w:rPr>
      </w:pPr>
      <w:r>
        <w:rPr>
          <w:sz w:val="22"/>
          <w:szCs w:val="22"/>
        </w:rPr>
        <w:t>Warunkiem zapłaty wynagrodzenia za dany etap jest należyte wykonanie tego etapu zgodnie z Umową oraz Opisem Przedmiotu Zamówienia, potwierdzone podpisanym przez Zamawiającego protokołem zdawczo – odbiorczym (jeśli dotyczy). W przypadku stwierdzenia wad istotnych Zamawiający ma prawo odmówić podpisania protokołu odbioru oraz wstrzymać płatność wynagrodzenia do czasu ich usunięcia.</w:t>
      </w:r>
    </w:p>
    <w:p>
      <w:pPr>
        <w:pStyle w:val="NormalWeb"/>
        <w:numPr>
          <w:ilvl w:val="0"/>
          <w:numId w:val="13"/>
        </w:numPr>
        <w:spacing w:lineRule="auto" w:line="240" w:beforeAutospacing="0" w:before="0" w:after="60"/>
        <w:ind w:hanging="357" w:start="720"/>
        <w:rPr>
          <w:sz w:val="22"/>
          <w:szCs w:val="22"/>
        </w:rPr>
      </w:pPr>
      <w:r>
        <w:rPr>
          <w:sz w:val="22"/>
          <w:szCs w:val="22"/>
        </w:rPr>
        <w:t>Zamawiający dopuszcza podpisanie protokołu odbioru warunkowego w przypadku stwierdzenia wad nieistotnych, z jednoczesnym wskazaniem terminu ich usunięcia przez Wykonawcę.</w:t>
      </w:r>
    </w:p>
    <w:p>
      <w:pPr>
        <w:pStyle w:val="NormalWeb"/>
        <w:numPr>
          <w:ilvl w:val="0"/>
          <w:numId w:val="13"/>
        </w:numPr>
        <w:spacing w:lineRule="auto" w:line="240" w:beforeAutospacing="0" w:before="0" w:after="60"/>
        <w:ind w:hanging="357" w:start="720"/>
        <w:rPr>
          <w:color w:val="C00000"/>
          <w:sz w:val="22"/>
          <w:szCs w:val="22"/>
        </w:rPr>
      </w:pPr>
      <w:r>
        <w:rPr>
          <w:sz w:val="22"/>
          <w:szCs w:val="22"/>
        </w:rPr>
        <w:t>Zamawiający ma prawo potrącić z wynagrodzenia należnego Wykonawcy wszelkie kary umowne naliczone zgodnie z postanowieniami Umowy, na co Wykonawca wyraża zgodę</w:t>
      </w:r>
      <w:r>
        <w:rPr>
          <w:color w:val="C00000"/>
          <w:sz w:val="22"/>
          <w:szCs w:val="22"/>
        </w:rPr>
        <w:t>.</w:t>
      </w:r>
      <w:bookmarkEnd w:id="2"/>
    </w:p>
    <w:p>
      <w:pPr>
        <w:pStyle w:val="Normal"/>
        <w:spacing w:lineRule="auto" w:line="240" w:before="0" w:after="60"/>
        <w:rPr>
          <w:rFonts w:ascii="Times New Roman" w:hAnsi="Times New Roman" w:eastAsia="Arial Narrow" w:cs="Times New Roman"/>
          <w:b/>
        </w:rPr>
      </w:pPr>
      <w:r>
        <w:rPr>
          <w:rFonts w:eastAsia="Arial Narrow" w:cs="Times New Roman" w:ascii="Times New Roman" w:hAnsi="Times New Roman"/>
          <w:b/>
        </w:rPr>
      </w:r>
    </w:p>
    <w:p>
      <w:pPr>
        <w:pStyle w:val="Normal"/>
        <w:spacing w:lineRule="auto" w:line="240" w:before="0" w:after="60"/>
        <w:jc w:val="center"/>
        <w:rPr>
          <w:rFonts w:ascii="Times New Roman" w:hAnsi="Times New Roman" w:eastAsia="Arial Narrow" w:cs="Times New Roman"/>
          <w:b/>
        </w:rPr>
      </w:pPr>
      <w:r>
        <w:rPr>
          <w:rFonts w:eastAsia="Arial Narrow" w:cs="Times New Roman" w:ascii="Times New Roman" w:hAnsi="Times New Roman"/>
          <w:b/>
        </w:rPr>
        <w:t>§ 8</w:t>
      </w:r>
    </w:p>
    <w:p>
      <w:pPr>
        <w:pStyle w:val="Normal"/>
        <w:spacing w:lineRule="auto" w:line="240" w:before="0" w:after="60"/>
        <w:jc w:val="center"/>
        <w:rPr>
          <w:rFonts w:ascii="Times New Roman" w:hAnsi="Times New Roman" w:eastAsia="Arial Narrow" w:cs="Times New Roman"/>
          <w:b/>
        </w:rPr>
      </w:pPr>
      <w:r>
        <w:rPr>
          <w:rFonts w:eastAsia="Arial Narrow" w:cs="Times New Roman" w:ascii="Times New Roman" w:hAnsi="Times New Roman"/>
          <w:b/>
        </w:rPr>
        <w:t>Płatności</w:t>
      </w:r>
    </w:p>
    <w:p>
      <w:pPr>
        <w:pStyle w:val="Normal"/>
        <w:numPr>
          <w:ilvl w:val="0"/>
          <w:numId w:val="12"/>
        </w:numPr>
        <w:pBdr/>
        <w:spacing w:lineRule="auto" w:line="240" w:before="0" w:after="60"/>
        <w:ind w:hanging="426" w:start="426"/>
        <w:jc w:val="both"/>
        <w:rPr>
          <w:rFonts w:ascii="Times New Roman" w:hAnsi="Times New Roman" w:eastAsia="Arial Narrow" w:cs="Times New Roman"/>
        </w:rPr>
      </w:pPr>
      <w:r>
        <w:rPr>
          <w:rFonts w:eastAsia="Arial Narrow" w:cs="Times New Roman" w:ascii="Times New Roman" w:hAnsi="Times New Roman"/>
        </w:rPr>
        <w:t>Zamawiający będzie dokonywał płatności, o których mowa w § 7 Umowy przelewem bankowym na konto Wykonawcy wskazane w fakturach.</w:t>
      </w:r>
    </w:p>
    <w:p>
      <w:pPr>
        <w:pStyle w:val="Normal"/>
        <w:numPr>
          <w:ilvl w:val="0"/>
          <w:numId w:val="12"/>
        </w:numPr>
        <w:pBdr/>
        <w:spacing w:lineRule="auto" w:line="240" w:before="0" w:after="60"/>
        <w:ind w:hanging="426" w:start="426"/>
        <w:jc w:val="both"/>
        <w:rPr>
          <w:rFonts w:ascii="Times New Roman" w:hAnsi="Times New Roman" w:eastAsia="Arial Narrow" w:cs="Times New Roman"/>
        </w:rPr>
      </w:pPr>
      <w:r>
        <w:rPr>
          <w:rFonts w:eastAsia="Arial Narrow" w:cs="Times New Roman" w:ascii="Times New Roman" w:hAnsi="Times New Roman"/>
        </w:rPr>
        <w:t xml:space="preserve">Wykonawca wystawi i udostępni Zamawiającemu faktury z wykorzystaniem KSeF, chyba że zaistnieją przypadki, o których mowa w ustawie o VAT uniemożliwiające takie działanie lub uprawniające Wykonawcę do innego działania – w takim przypadku faktury będą wystawiane i udostępniane Zamawiającemu z uwzględnieniem zasad określonych w ustawie o VAT oraz poniższych ustępów. </w:t>
      </w:r>
    </w:p>
    <w:p>
      <w:pPr>
        <w:pStyle w:val="Normal"/>
        <w:numPr>
          <w:ilvl w:val="0"/>
          <w:numId w:val="12"/>
        </w:numPr>
        <w:pBdr/>
        <w:spacing w:lineRule="auto" w:line="240" w:before="0" w:after="60"/>
        <w:ind w:hanging="426" w:start="426"/>
        <w:jc w:val="both"/>
        <w:rPr>
          <w:rFonts w:ascii="Times New Roman" w:hAnsi="Times New Roman" w:eastAsia="Arial Narrow" w:cs="Times New Roman"/>
        </w:rPr>
      </w:pPr>
      <w:r>
        <w:rPr>
          <w:rFonts w:eastAsia="Arial Narrow" w:cs="Times New Roman" w:ascii="Times New Roman" w:hAnsi="Times New Roman"/>
        </w:rPr>
        <w:t>Za datę wystawienia faktury ustrukturyzowanej uznaje się datę przesłania faktury przez Wykonawcę do KSeF, a w przypadku faktury, o której mowa w art. 106 nda ust. 1 lub ust. 16 ustawy o VAT lub faktur wystawianych w okresie awarii lub niedostępności KSeF – datę wystawienia wskazaną przez Wykonawcę na tej fakturze.</w:t>
      </w:r>
    </w:p>
    <w:p>
      <w:pPr>
        <w:pStyle w:val="Normal"/>
        <w:numPr>
          <w:ilvl w:val="0"/>
          <w:numId w:val="12"/>
        </w:numPr>
        <w:pBdr/>
        <w:spacing w:lineRule="auto" w:line="240" w:before="0" w:after="60"/>
        <w:ind w:hanging="426" w:start="426"/>
        <w:jc w:val="both"/>
        <w:rPr>
          <w:rFonts w:ascii="Times New Roman" w:hAnsi="Times New Roman" w:eastAsia="Arial Narrow" w:cs="Times New Roman"/>
        </w:rPr>
      </w:pPr>
      <w:r>
        <w:rPr>
          <w:rFonts w:eastAsia="Arial Narrow" w:cs="Times New Roman" w:ascii="Times New Roman" w:hAnsi="Times New Roman"/>
        </w:rPr>
        <w:t>Za dzień skutecznego doręczenia faktury Zamawiającemu uznaje się dzień jej otrzymania w rozumieniu przepisów ustawy o VAT, tj. w przypadku faktury ustrukturyzowanej będzie to dzień przydzielenia jej indywidualnego numeru identyfikującego tę fakturę w KSeF.</w:t>
      </w:r>
    </w:p>
    <w:p>
      <w:pPr>
        <w:pStyle w:val="Normal"/>
        <w:numPr>
          <w:ilvl w:val="0"/>
          <w:numId w:val="12"/>
        </w:numPr>
        <w:pBdr/>
        <w:spacing w:lineRule="auto" w:line="240" w:before="0" w:after="60"/>
        <w:ind w:hanging="426" w:start="426"/>
        <w:jc w:val="both"/>
        <w:rPr>
          <w:rFonts w:ascii="Times New Roman" w:hAnsi="Times New Roman" w:eastAsia="Arial Narrow" w:cs="Times New Roman"/>
        </w:rPr>
      </w:pPr>
      <w:r>
        <w:rPr>
          <w:rFonts w:eastAsia="Arial Narrow" w:cs="Times New Roman" w:ascii="Times New Roman" w:hAnsi="Times New Roman"/>
        </w:rPr>
        <w:t xml:space="preserve">Jeżeli ustawa o VAT dopuszcza możliwość udostępnienia Zamawiającemu faktury w sposób inny niż przy użyciu KSeF, taka faktura może zostać doręczona Zamawiającemu za pośrednictwem poczty elektronicznej, na adres e-mail: </w:t>
      </w:r>
      <w:r>
        <w:rPr>
          <w:rFonts w:eastAsia="Arial Narrow" w:cs="Times New Roman" w:ascii="Times New Roman" w:hAnsi="Times New Roman"/>
          <w:color w:themeColor="text1" w:val="000000"/>
        </w:rPr>
        <w:t>……………@</w:t>
      </w:r>
      <w:hyperlink r:id="rId2">
        <w:r>
          <w:rPr>
            <w:rStyle w:val="Hyperlink"/>
            <w:rFonts w:eastAsia="Arial Narrow" w:cs="Times New Roman" w:ascii="Times New Roman" w:hAnsi="Times New Roman"/>
            <w:color w:themeColor="text1" w:val="000000"/>
          </w:rPr>
          <w:t>zgk.wieliczka.eu</w:t>
        </w:r>
      </w:hyperlink>
      <w:r>
        <w:rPr>
          <w:rFonts w:eastAsia="Arial Narrow" w:cs="Times New Roman" w:ascii="Times New Roman" w:hAnsi="Times New Roman"/>
          <w:color w:themeColor="text1" w:val="000000"/>
        </w:rPr>
        <w:t xml:space="preserve">. </w:t>
      </w:r>
      <w:r>
        <w:rPr>
          <w:rFonts w:eastAsia="Arial Narrow" w:cs="Times New Roman" w:ascii="Times New Roman" w:hAnsi="Times New Roman"/>
        </w:rPr>
        <w:t>W przypadku o którym mowa w zdaniu pierwszym 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KSeF – w zależności od tego, która z wymienionych sytuacji nastąpi pierwsza.</w:t>
      </w:r>
    </w:p>
    <w:p>
      <w:pPr>
        <w:pStyle w:val="Normal"/>
        <w:numPr>
          <w:ilvl w:val="0"/>
          <w:numId w:val="12"/>
        </w:numPr>
        <w:pBdr/>
        <w:spacing w:lineRule="auto" w:line="240" w:before="0" w:after="60"/>
        <w:ind w:hanging="426" w:start="426"/>
        <w:jc w:val="both"/>
        <w:rPr>
          <w:rFonts w:ascii="Times New Roman" w:hAnsi="Times New Roman" w:eastAsia="Arial Narrow" w:cs="Times New Roman"/>
        </w:rPr>
      </w:pPr>
      <w:r>
        <w:rPr>
          <w:rFonts w:eastAsia="Arial Narrow" w:cs="Times New Roman" w:ascii="Times New Roman" w:hAnsi="Times New Roman"/>
        </w:rPr>
        <w:t>Faktura będzie uznana za prawidłowo wystawioną, jeżeli zostanie wystawiona z uwzględnieniem zasad wystawiania faktur, określonych w ustawie o VAT.</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r>
    </w:p>
    <w:p>
      <w:pPr>
        <w:pStyle w:val="Normal"/>
        <w:pBdr/>
        <w:spacing w:lineRule="auto" w:line="240" w:before="0" w:after="60"/>
        <w:jc w:val="center"/>
        <w:rPr>
          <w:rFonts w:ascii="Times New Roman" w:hAnsi="Times New Roman" w:cs="Times New Roman"/>
          <w:b/>
          <w:bCs/>
          <w:kern w:val="0"/>
        </w:rPr>
      </w:pPr>
      <w:r>
        <w:rPr>
          <w:rFonts w:cs="Times New Roman" w:ascii="Times New Roman" w:hAnsi="Times New Roman"/>
          <w:b/>
          <w:bCs/>
          <w:kern w:val="0"/>
        </w:rPr>
        <w:t>§ 9</w:t>
      </w:r>
    </w:p>
    <w:p>
      <w:pPr>
        <w:pStyle w:val="Normal"/>
        <w:pBdr/>
        <w:spacing w:lineRule="auto" w:line="240" w:before="0" w:after="60"/>
        <w:jc w:val="center"/>
        <w:rPr>
          <w:rFonts w:ascii="Times New Roman" w:hAnsi="Times New Roman" w:cs="Times New Roman"/>
          <w:b/>
          <w:bCs/>
          <w:kern w:val="0"/>
        </w:rPr>
      </w:pPr>
      <w:r>
        <w:rPr>
          <w:rFonts w:cs="Times New Roman" w:ascii="Times New Roman" w:hAnsi="Times New Roman"/>
          <w:b/>
          <w:bCs/>
          <w:kern w:val="0"/>
        </w:rPr>
        <w:t>Waloryzacja wynagrodzenia</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1. Wynagrodzenie należne Wykonawcy może podlegać zmianie (waloryzacji) w przypadku zmiany:</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 xml:space="preserve">a) stawki podatku od towarów i usług (VAT),  </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 xml:space="preserve">b) wysokości minimalnego wynagrodzenia za pracę albo wysokości minimalnej stawki godzinowej, ustalonych na podstawie przepisów prawa,  </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 xml:space="preserve">c) zasad podlegania ubezpieczeniom społecznym lub ubezpieczeniu zdrowotnemu albo wysokości składek na te ubezpieczenia,  </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 xml:space="preserve">d) zasad gromadzenia i wysokości wpłat do pracowniczych planów kapitałowych,  </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jeżeli zmiany te będą miały wpływ na koszty wykonania zamówienia przez Wykonawcę.</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2. W przypadku wystąpienia okoliczności, o których mowa w ust. 1, Wykonawca może wystąpić do Zamawiającego z pisemnym wnioskiem o zmianę wynagrodzenia.</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3. Wniosek, o którym mowa w ust. 2, powinien zawierać:</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 xml:space="preserve">1) szczegółowe uzasadnienie faktyczne i prawne,  </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 xml:space="preserve">2) wskazanie podstawy prawnej zmiany,  </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 xml:space="preserve">3) dokładne wyliczenie proponowanej zmiany wynagrodzenia,  </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4) wykazanie bezpośredniego wpływu wskazanych zmian na koszty realizacji Umowy.</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4. W przypadku zmiany stawki podatku VAT, zmiana wynagrodzenia obejmuje wyłącznie część wynagrodzenia należną za usługi wykonane po dniu wejścia w życie zmiany przepisów.</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5. W przypadku zmian, o których mowa w ust. 1 lit. b–d, waloryzacja obejmuje wyłącznie tę część wynagrodzenia, która odpowiada rzeczywistemu wzrostowi kosztów ponoszonych przez Wykonawcę w związku z realizacją Umowy.</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6. Waloryzacja nie obejmuje kosztów wynikających z decyzji organizacyjnych Wykonawcy, w szczególności:</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 xml:space="preserve">1) zmiany struktury zatrudnienia,  </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 xml:space="preserve">2) podwyższenia wynagrodzeń pracowników w zakresie wykraczającym poza obowiązki wynikające z przepisów prawa,  </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3) zmian w sposobie organizacji realizacji Umowy.</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7. Waloryzacja wynagrodzenia nie obejmuje kosztów związanych z zapewnieniem licencji, oprogramowania, infrastruktury technicznej lub środowiska systemowego, które Wykonawca zobowiązał się zapewnić w ramach wynagrodzenia podstawowego.</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8. Złożenie wniosku o waloryzację wynagrodzenia nie powoduje automatycznej zmiany wynagrodzenia.</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9. Zmiana wynagrodzenia wymaga każdorazowo zawarcia pisemnego aneksu do Umowy pod rygorem nieważności i obowiązuje nie wcześniej niż od dnia jego zawarcia. </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10. Zamawiający ma prawo odmówić zmiany wynagrodzenia w przypadku niewykazania przez Wykonawcę rzeczywistego wpływu wskazanych okoliczności na koszty realizacji zamówienia.</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11. Wynagrodzenie może podlegać waloryzacji również w przypadku zmiany cen materiałów lub kosztów związanych z realizacją zamówienia, zgodnie z poniższymi zasadami:</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 xml:space="preserve">a) zmiana wynagrodzenia może nastąpić nie częściej niż raz na 12 miesięcy i nie wcześniej niż po upływie 12 miesięcy od dnia zawarcia Umowy,  </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 xml:space="preserve">b) zmiana wynagrodzenia nie może być wyższa niż wskaźnik cen towarów i usług konsumpcyjnych ogółem ogłoszony przez Prezesa Głównego Urzędu Statystycznego za rok poprzedzający złożenie wniosku,  </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 xml:space="preserve">c) zmiana wynagrodzenia obejmuje wyłącznie część zamówienia, która nie została wykonana na dzień złożenia wniosku,  </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 xml:space="preserve">d) łączna maksymalna wartość zmiany wynagrodzenia przez cały okres trwania Umowy, nie może przekroczyć 10% wartości wynagrodzenia brutto określonego w § 7 ust. 1 Umowy,  </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 xml:space="preserve">e) wniosek o zmianę wynagrodzenia musi zawierać szczegółowe uzasadnienie oraz kalkulację zmiany,  </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f) w przypadku braku dostępności wskazanych wskaźników zastosowanie znajdą inne, najbardziej zbliżone wskaźniki publikowane przez Prezesa GUS.</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12. Waloryzacja wynagrodzenia może polegać zarówno na jego zwiększeniu, jak i zmniejszeniu, w zależności od zmiany kosztów realizacji zamówienia.</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13. W przypadku zmiany wynagrodzenia Wykonawcy, Wykonawca zobowiązany jest do odpowiedniej zmiany wynagrodzenia należnego podwykonawcom, jeżeli zmiana dotyczy zakresu świadczeń realizowanych przez podwykonawców.</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14. W przypadku wniosku o waloryzację wynagrodzenia Wykonawca zobowiązany jest do przedstawienia szczegółowej kalkulacji kosztów odnoszącej się wyłącznie do realizacji niniejszej Umowy.</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15. Kalkulacja, o której mowa w ust. 14, musi w szczególności zawierać:</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 xml:space="preserve">1) wskazanie liczby pracowników faktycznie zaangażowanych w realizację Umowy,  </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 xml:space="preserve">2) określenie zakresu ich zaangażowania oraz liczby roboczogodzin przypadających na realizację Umowy,  </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 xml:space="preserve">3) wskazanie, jaka część wynagrodzenia tych pracowników podlega zmianie w związku ze zmianą przepisów prawa,  </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 xml:space="preserve">4) wyliczenie wzrostu kosztów przypadających wyłącznie na realizację niniejszej Umowy,  </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 xml:space="preserve">   </w:t>
      </w:r>
      <w:r>
        <w:rPr>
          <w:rFonts w:cs="Times New Roman" w:ascii="Times New Roman" w:hAnsi="Times New Roman"/>
          <w:kern w:val="0"/>
        </w:rPr>
        <w:t>5) sposób wyliczenia wpływu zmiany kosztów na wynagrodzenie Wykonawcy.</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16. Wykonawca zobowiązany jest wykazać, że wskazane koszty mają bezpośredni i rzeczywisty związek z realizacją Umowy.</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17. Niedopuszczalne jest uwzględnianie w kalkulacji kosztów dotyczących pracowników lub zasobów, które nie są bezpośrednio zaangażowane w realizację Umowy.</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18. Zamawiający ma prawo żądać dodatkowych wyjaśnień, dokumentów lub dowodów potwierdzających przedstawioną kalkulację, w tym zestawień czasu pracy, oraz innych dokumentów źródłowych.</w:t>
      </w:r>
    </w:p>
    <w:p>
      <w:pPr>
        <w:pStyle w:val="Normal"/>
        <w:pBdr/>
        <w:spacing w:lineRule="auto" w:line="240" w:before="0" w:after="60"/>
        <w:jc w:val="both"/>
        <w:rPr>
          <w:rFonts w:ascii="Times New Roman" w:hAnsi="Times New Roman" w:cs="Times New Roman"/>
          <w:kern w:val="0"/>
        </w:rPr>
      </w:pPr>
      <w:r>
        <w:rPr>
          <w:rFonts w:cs="Times New Roman" w:ascii="Times New Roman" w:hAnsi="Times New Roman"/>
          <w:kern w:val="0"/>
        </w:rPr>
        <w:t>19. W przypadku braku przedstawienia kalkulacji spełniającej wymagania określone w niniejszym paragrafie, Zamawiający ma prawo odmówić dokonania waloryzacji wynagrodzenia.</w:t>
      </w:r>
    </w:p>
    <w:p>
      <w:pPr>
        <w:pStyle w:val="Normal"/>
        <w:spacing w:lineRule="auto" w:line="240" w:before="60" w:after="60"/>
        <w:rPr>
          <w:rFonts w:ascii="Times New Roman" w:hAnsi="Times New Roman" w:cs="Times New Roman"/>
        </w:rPr>
      </w:pPr>
      <w:r>
        <w:rPr>
          <w:rFonts w:cs="Times New Roman" w:ascii="Times New Roman" w:hAnsi="Times New Roman"/>
          <w:kern w:val="0"/>
        </w:rPr>
        <w:t xml:space="preserve">20. Do zmiany umowy, w zakresie przewidzianym niniejszym paragrafem Strony stosują </w:t>
      </w:r>
      <w:r>
        <w:rPr>
          <w:rFonts w:cs="Times New Roman" w:ascii="Times New Roman" w:hAnsi="Times New Roman"/>
        </w:rPr>
        <w:t>§ 10</w:t>
      </w:r>
      <w:r>
        <w:rPr>
          <w:rFonts w:cs="Times New Roman" w:ascii="Times New Roman" w:hAnsi="Times New Roman"/>
          <w:b/>
          <w:bCs/>
        </w:rPr>
        <w:t xml:space="preserve"> </w:t>
      </w:r>
      <w:r>
        <w:rPr>
          <w:rFonts w:cs="Times New Roman" w:ascii="Times New Roman" w:hAnsi="Times New Roman"/>
        </w:rPr>
        <w:t>ust. 6 – 12.</w:t>
      </w:r>
    </w:p>
    <w:p>
      <w:pPr>
        <w:pStyle w:val="Default"/>
        <w:spacing w:before="60" w:after="60"/>
        <w:jc w:val="both"/>
        <w:rPr>
          <w:strike/>
          <w:color w:val="auto"/>
          <w:sz w:val="22"/>
          <w:szCs w:val="22"/>
        </w:rPr>
      </w:pPr>
      <w:r>
        <w:rPr>
          <w:strike/>
          <w:color w:val="auto"/>
          <w:sz w:val="22"/>
          <w:szCs w:val="22"/>
        </w:rPr>
      </w:r>
    </w:p>
    <w:p>
      <w:pPr>
        <w:pStyle w:val="Default"/>
        <w:spacing w:before="60" w:after="144"/>
        <w:jc w:val="center"/>
        <w:rPr>
          <w:b/>
          <w:bCs/>
          <w:color w:val="auto"/>
          <w:sz w:val="22"/>
          <w:szCs w:val="22"/>
        </w:rPr>
      </w:pPr>
      <w:r>
        <w:rPr>
          <w:b/>
          <w:bCs/>
          <w:color w:val="auto"/>
          <w:sz w:val="22"/>
          <w:szCs w:val="22"/>
        </w:rPr>
        <w:t>§ 10</w:t>
      </w:r>
    </w:p>
    <w:p>
      <w:pPr>
        <w:pStyle w:val="Default"/>
        <w:spacing w:before="60" w:after="144"/>
        <w:jc w:val="center"/>
        <w:rPr>
          <w:b/>
          <w:bCs/>
          <w:color w:val="auto"/>
          <w:sz w:val="22"/>
          <w:szCs w:val="22"/>
        </w:rPr>
      </w:pPr>
      <w:r>
        <w:rPr>
          <w:b/>
          <w:bCs/>
          <w:color w:val="auto"/>
          <w:sz w:val="22"/>
          <w:szCs w:val="22"/>
        </w:rPr>
        <w:t>Zmiana umowy i jej warunki</w:t>
      </w:r>
    </w:p>
    <w:p>
      <w:pPr>
        <w:pStyle w:val="Default"/>
        <w:jc w:val="both"/>
        <w:rPr>
          <w:color w:val="auto"/>
          <w:sz w:val="22"/>
          <w:szCs w:val="22"/>
        </w:rPr>
      </w:pPr>
      <w:r>
        <w:rPr>
          <w:color w:val="auto"/>
          <w:sz w:val="22"/>
          <w:szCs w:val="22"/>
        </w:rPr>
        <w:t>1. Wszelkie zmiany i uzupełnienia postanowień Umowy wymagają dla swojej ważności zachowania formy pisemnej w postaci aneksu pod rygorem nieważności.</w:t>
      </w:r>
    </w:p>
    <w:p>
      <w:pPr>
        <w:pStyle w:val="Default"/>
        <w:jc w:val="both"/>
        <w:rPr>
          <w:color w:val="auto"/>
          <w:sz w:val="22"/>
          <w:szCs w:val="22"/>
        </w:rPr>
      </w:pPr>
      <w:r>
        <w:rPr>
          <w:color w:val="auto"/>
          <w:sz w:val="22"/>
          <w:szCs w:val="22"/>
        </w:rPr>
        <w:t>2. Zamawiający przewiduje możliwość zmiany Umowy w następującym zakresie lub przypadku:</w:t>
      </w:r>
    </w:p>
    <w:p>
      <w:pPr>
        <w:pStyle w:val="Default"/>
        <w:jc w:val="both"/>
        <w:rPr>
          <w:color w:val="auto"/>
          <w:sz w:val="22"/>
          <w:szCs w:val="22"/>
        </w:rPr>
      </w:pPr>
      <w:r>
        <w:rPr>
          <w:color w:val="auto"/>
          <w:sz w:val="22"/>
          <w:szCs w:val="22"/>
        </w:rPr>
        <w:t xml:space="preserve">1) zmiany przepisów prawa; </w:t>
      </w:r>
    </w:p>
    <w:p>
      <w:pPr>
        <w:pStyle w:val="Default"/>
        <w:jc w:val="both"/>
        <w:rPr>
          <w:color w:val="auto"/>
          <w:sz w:val="22"/>
          <w:szCs w:val="22"/>
        </w:rPr>
      </w:pPr>
      <w:r>
        <w:rPr>
          <w:color w:val="auto"/>
          <w:sz w:val="22"/>
          <w:szCs w:val="22"/>
        </w:rPr>
        <w:t xml:space="preserve">2) waloryzacji wynagrodzenia (§ 9 umowy), </w:t>
      </w:r>
    </w:p>
    <w:p>
      <w:pPr>
        <w:pStyle w:val="Default"/>
        <w:jc w:val="both"/>
        <w:rPr>
          <w:color w:val="auto"/>
          <w:sz w:val="22"/>
          <w:szCs w:val="22"/>
        </w:rPr>
      </w:pPr>
      <w:r>
        <w:rPr>
          <w:color w:val="auto"/>
          <w:sz w:val="22"/>
          <w:szCs w:val="22"/>
        </w:rPr>
        <w:t>3) zaistnienia okoliczności, na które Strony nie miały wpływu, a dotyczących działań lub zaniechań właściwych organów, osób trzecich, Zamawiającego lub osób upoważnionych przez Strony, w szczególności okoliczności towarzyszących zawarciu Umowy, skutkujących – bezpośrednio lub pośrednio – znacznym utrudnieniem lub uniemożliwieniem spełnienia świadczeń Stron w sposób określony w Umowie, o ile mają one charakter obiektywny;</w:t>
      </w:r>
    </w:p>
    <w:p>
      <w:pPr>
        <w:pStyle w:val="Default"/>
        <w:jc w:val="both"/>
        <w:rPr>
          <w:color w:val="auto"/>
          <w:sz w:val="22"/>
          <w:szCs w:val="22"/>
        </w:rPr>
      </w:pPr>
      <w:r>
        <w:rPr>
          <w:color w:val="auto"/>
          <w:sz w:val="22"/>
          <w:szCs w:val="22"/>
        </w:rPr>
        <w:t>4) zmian korzystnych dla Zamawiającego, w szczególności skrócenia terminu realizacji lub zmniejszenia wynagrodzenia Wykonawcy;</w:t>
      </w:r>
    </w:p>
    <w:p>
      <w:pPr>
        <w:pStyle w:val="Default"/>
        <w:jc w:val="both"/>
        <w:rPr>
          <w:color w:val="auto"/>
          <w:sz w:val="22"/>
          <w:szCs w:val="22"/>
        </w:rPr>
      </w:pPr>
      <w:r>
        <w:rPr>
          <w:color w:val="auto"/>
          <w:sz w:val="22"/>
          <w:szCs w:val="22"/>
        </w:rPr>
        <w:t>5) zmiany terminu realizacji Umowy z powodu:</w:t>
      </w:r>
    </w:p>
    <w:p>
      <w:pPr>
        <w:pStyle w:val="Default"/>
        <w:jc w:val="both"/>
        <w:rPr>
          <w:color w:val="auto"/>
          <w:sz w:val="22"/>
          <w:szCs w:val="22"/>
        </w:rPr>
      </w:pPr>
      <w:r>
        <w:rPr>
          <w:color w:val="auto"/>
          <w:sz w:val="22"/>
          <w:szCs w:val="22"/>
        </w:rPr>
        <w:t>a) działania siły wyższej, przez którą rozumie się zdarzenie zewnętrzne, nagłe, nieprzewidywalne i niezależne od woli Stron, które nastąpiło po zawarciu Umowy i uniemożliwia jej wykonanie w całości lub części, w szczególności:</w:t>
      </w:r>
    </w:p>
    <w:p>
      <w:pPr>
        <w:pStyle w:val="Default"/>
        <w:jc w:val="both"/>
        <w:rPr>
          <w:color w:val="auto"/>
          <w:sz w:val="22"/>
          <w:szCs w:val="22"/>
        </w:rPr>
      </w:pPr>
      <w:r>
        <w:rPr>
          <w:color w:val="auto"/>
          <w:sz w:val="22"/>
          <w:szCs w:val="22"/>
        </w:rPr>
        <w:t xml:space="preserve">         – </w:t>
      </w:r>
      <w:r>
        <w:rPr>
          <w:color w:val="auto"/>
          <w:sz w:val="22"/>
          <w:szCs w:val="22"/>
        </w:rPr>
        <w:t xml:space="preserve">klęski żywiołowe, </w:t>
      </w:r>
    </w:p>
    <w:p>
      <w:pPr>
        <w:pStyle w:val="Default"/>
        <w:jc w:val="both"/>
        <w:rPr>
          <w:color w:val="auto"/>
          <w:sz w:val="22"/>
          <w:szCs w:val="22"/>
        </w:rPr>
      </w:pPr>
      <w:r>
        <w:rPr>
          <w:color w:val="auto"/>
          <w:sz w:val="22"/>
          <w:szCs w:val="22"/>
        </w:rPr>
        <w:t xml:space="preserve">         – </w:t>
      </w:r>
      <w:r>
        <w:rPr>
          <w:color w:val="auto"/>
          <w:sz w:val="22"/>
          <w:szCs w:val="22"/>
        </w:rPr>
        <w:t xml:space="preserve">akty władzy państwowej, </w:t>
      </w:r>
    </w:p>
    <w:p>
      <w:pPr>
        <w:pStyle w:val="Default"/>
        <w:jc w:val="both"/>
        <w:rPr>
          <w:color w:val="auto"/>
          <w:sz w:val="22"/>
          <w:szCs w:val="22"/>
        </w:rPr>
      </w:pPr>
      <w:r>
        <w:rPr>
          <w:color w:val="auto"/>
          <w:sz w:val="22"/>
          <w:szCs w:val="22"/>
        </w:rPr>
        <w:t xml:space="preserve">         – </w:t>
      </w:r>
      <w:r>
        <w:rPr>
          <w:color w:val="auto"/>
          <w:sz w:val="22"/>
          <w:szCs w:val="22"/>
        </w:rPr>
        <w:t xml:space="preserve">działania wojenne, akty terrorystyczne, </w:t>
      </w:r>
    </w:p>
    <w:p>
      <w:pPr>
        <w:pStyle w:val="Default"/>
        <w:jc w:val="both"/>
        <w:rPr>
          <w:color w:val="auto"/>
          <w:sz w:val="22"/>
          <w:szCs w:val="22"/>
        </w:rPr>
      </w:pPr>
      <w:r>
        <w:rPr>
          <w:color w:val="auto"/>
          <w:sz w:val="22"/>
          <w:szCs w:val="22"/>
        </w:rPr>
        <w:t xml:space="preserve">         – </w:t>
      </w:r>
      <w:r>
        <w:rPr>
          <w:color w:val="auto"/>
          <w:sz w:val="22"/>
          <w:szCs w:val="22"/>
        </w:rPr>
        <w:t xml:space="preserve">strajki lub niepokoje społeczne, </w:t>
      </w:r>
    </w:p>
    <w:p>
      <w:pPr>
        <w:pStyle w:val="Default"/>
        <w:jc w:val="both"/>
        <w:rPr>
          <w:color w:val="auto"/>
          <w:sz w:val="22"/>
          <w:szCs w:val="22"/>
        </w:rPr>
      </w:pPr>
      <w:r>
        <w:rPr>
          <w:color w:val="auto"/>
          <w:sz w:val="22"/>
          <w:szCs w:val="22"/>
        </w:rPr>
        <w:t xml:space="preserve">      </w:t>
      </w:r>
      <w:r>
        <w:rPr>
          <w:color w:val="auto"/>
          <w:sz w:val="22"/>
          <w:szCs w:val="22"/>
        </w:rPr>
        <w:t>b) nadzwyczajnych zdarzeń gospodarczych niezależnych od Zamawiającego, których nie można było przewidzieć w chwili zawarcia Umowy;</w:t>
      </w:r>
    </w:p>
    <w:p>
      <w:pPr>
        <w:pStyle w:val="Default"/>
        <w:jc w:val="both"/>
        <w:rPr>
          <w:color w:val="auto"/>
          <w:sz w:val="22"/>
          <w:szCs w:val="22"/>
        </w:rPr>
      </w:pPr>
      <w:r>
        <w:rPr>
          <w:color w:val="auto"/>
          <w:sz w:val="22"/>
          <w:szCs w:val="22"/>
        </w:rPr>
        <w:t>6) działania osób trzecich, które nie są konsekwencją winy którejkolwiek ze Stron, a które uniemożliwiają wykonanie przedmiotu Umowy;</w:t>
      </w:r>
    </w:p>
    <w:p>
      <w:pPr>
        <w:pStyle w:val="Default"/>
        <w:jc w:val="both"/>
        <w:rPr>
          <w:color w:val="auto"/>
          <w:sz w:val="22"/>
          <w:szCs w:val="22"/>
        </w:rPr>
      </w:pPr>
      <w:r>
        <w:rPr>
          <w:color w:val="auto"/>
          <w:sz w:val="22"/>
          <w:szCs w:val="22"/>
        </w:rPr>
        <w:t>7) konieczności wykonania prac dodatkowych, których nie można było przewidzieć, a od których wykonania uzależniona jest realizacja zamówienia podstawowego – w takim przypadku termin realizacji może zostać wydłużony o czas niezbędny do ich wykonania;</w:t>
      </w:r>
    </w:p>
    <w:p>
      <w:pPr>
        <w:pStyle w:val="Default"/>
        <w:jc w:val="both"/>
        <w:rPr>
          <w:color w:val="auto"/>
          <w:sz w:val="22"/>
          <w:szCs w:val="22"/>
        </w:rPr>
      </w:pPr>
      <w:r>
        <w:rPr>
          <w:color w:val="auto"/>
          <w:sz w:val="22"/>
          <w:szCs w:val="22"/>
        </w:rPr>
        <w:t>8) zmian wynikających z zastosowania nowych lub lepszych rozwiązań technologicznych, jeżeli są one korzystne dla Zamawiającego.</w:t>
      </w:r>
    </w:p>
    <w:p>
      <w:pPr>
        <w:pStyle w:val="Default"/>
        <w:jc w:val="both"/>
        <w:rPr>
          <w:color w:val="auto"/>
          <w:sz w:val="22"/>
          <w:szCs w:val="22"/>
        </w:rPr>
      </w:pPr>
      <w:r>
        <w:rPr>
          <w:color w:val="auto"/>
          <w:sz w:val="22"/>
          <w:szCs w:val="22"/>
        </w:rPr>
        <w:t>4. Niezależnie od postanowień niniejszego paragrafu dopuszcza się możliwość dokonania zmian Umowy w przypadkach przewidzianych w art. 455 ust. 1 pkt 2–4 oraz ust. 2 ustawy – Prawo zamówień publicznych, pod warunkiem że zmiany te nie prowadzą do zmiany ogólnego charakteru Umowy.</w:t>
      </w:r>
    </w:p>
    <w:p>
      <w:pPr>
        <w:pStyle w:val="Default"/>
        <w:jc w:val="both"/>
        <w:rPr>
          <w:color w:val="auto"/>
          <w:sz w:val="22"/>
          <w:szCs w:val="22"/>
        </w:rPr>
      </w:pPr>
      <w:r>
        <w:rPr>
          <w:color w:val="auto"/>
          <w:sz w:val="22"/>
          <w:szCs w:val="22"/>
        </w:rPr>
        <w:t>5. Zmiana Umowy może nastąpić na wniosek każdej ze Stron.</w:t>
      </w:r>
    </w:p>
    <w:p>
      <w:pPr>
        <w:pStyle w:val="Default"/>
        <w:jc w:val="both"/>
        <w:rPr>
          <w:color w:val="auto"/>
          <w:sz w:val="22"/>
          <w:szCs w:val="22"/>
        </w:rPr>
      </w:pPr>
      <w:r>
        <w:rPr>
          <w:color w:val="auto"/>
          <w:sz w:val="22"/>
          <w:szCs w:val="22"/>
        </w:rPr>
        <w:t>6. Wniosek o zmianę Umowy powinien zawierać:</w:t>
      </w:r>
    </w:p>
    <w:p>
      <w:pPr>
        <w:pStyle w:val="Default"/>
        <w:jc w:val="both"/>
        <w:rPr>
          <w:color w:val="auto"/>
          <w:sz w:val="22"/>
          <w:szCs w:val="22"/>
        </w:rPr>
      </w:pPr>
      <w:r>
        <w:rPr>
          <w:color w:val="auto"/>
          <w:sz w:val="22"/>
          <w:szCs w:val="22"/>
        </w:rPr>
        <w:t xml:space="preserve">   </w:t>
      </w:r>
      <w:r>
        <w:rPr>
          <w:color w:val="auto"/>
          <w:sz w:val="22"/>
          <w:szCs w:val="22"/>
        </w:rPr>
        <w:t xml:space="preserve">1) wskazanie podstawy prawnej i faktycznej zmiany, </w:t>
      </w:r>
    </w:p>
    <w:p>
      <w:pPr>
        <w:pStyle w:val="Default"/>
        <w:jc w:val="both"/>
        <w:rPr>
          <w:color w:val="auto"/>
          <w:sz w:val="22"/>
          <w:szCs w:val="22"/>
        </w:rPr>
      </w:pPr>
      <w:r>
        <w:rPr>
          <w:color w:val="auto"/>
          <w:sz w:val="22"/>
          <w:szCs w:val="22"/>
        </w:rPr>
        <w:t xml:space="preserve">   </w:t>
      </w:r>
      <w:r>
        <w:rPr>
          <w:color w:val="auto"/>
          <w:sz w:val="22"/>
          <w:szCs w:val="22"/>
        </w:rPr>
        <w:t xml:space="preserve">2) szczegółowe uzasadnienie konieczności jej wprowadzenia, </w:t>
      </w:r>
    </w:p>
    <w:p>
      <w:pPr>
        <w:pStyle w:val="Default"/>
        <w:jc w:val="both"/>
        <w:rPr>
          <w:color w:val="auto"/>
          <w:sz w:val="22"/>
          <w:szCs w:val="22"/>
        </w:rPr>
      </w:pPr>
      <w:r>
        <w:rPr>
          <w:color w:val="auto"/>
          <w:sz w:val="22"/>
          <w:szCs w:val="22"/>
        </w:rPr>
        <w:t xml:space="preserve">   </w:t>
      </w:r>
      <w:r>
        <w:rPr>
          <w:color w:val="auto"/>
          <w:sz w:val="22"/>
          <w:szCs w:val="22"/>
        </w:rPr>
        <w:t xml:space="preserve">3) opis proponowanej zmiany, </w:t>
      </w:r>
    </w:p>
    <w:p>
      <w:pPr>
        <w:pStyle w:val="Default"/>
        <w:jc w:val="both"/>
        <w:rPr>
          <w:color w:val="auto"/>
          <w:sz w:val="22"/>
          <w:szCs w:val="22"/>
        </w:rPr>
      </w:pPr>
      <w:r>
        <w:rPr>
          <w:color w:val="auto"/>
          <w:sz w:val="22"/>
          <w:szCs w:val="22"/>
        </w:rPr>
        <w:t xml:space="preserve">   </w:t>
      </w:r>
      <w:r>
        <w:rPr>
          <w:color w:val="auto"/>
          <w:sz w:val="22"/>
          <w:szCs w:val="22"/>
        </w:rPr>
        <w:t>4) ocenę wpływu zmiany na realizację Umowy, w szczególności na termin, wynagrodzenie i zakres świadczenia.</w:t>
      </w:r>
    </w:p>
    <w:p>
      <w:pPr>
        <w:pStyle w:val="Default"/>
        <w:jc w:val="both"/>
        <w:rPr>
          <w:color w:val="auto"/>
          <w:sz w:val="22"/>
          <w:szCs w:val="22"/>
        </w:rPr>
      </w:pPr>
      <w:r>
        <w:rPr>
          <w:color w:val="auto"/>
          <w:sz w:val="22"/>
          <w:szCs w:val="22"/>
        </w:rPr>
        <w:t>7. Strona, która otrzymała wniosek, zobowiązana jest do jego rozpatrzenia w terminie 14 dni od dnia jego otrzymania.</w:t>
      </w:r>
    </w:p>
    <w:p>
      <w:pPr>
        <w:pStyle w:val="Default"/>
        <w:jc w:val="both"/>
        <w:rPr>
          <w:color w:val="auto"/>
          <w:sz w:val="22"/>
          <w:szCs w:val="22"/>
        </w:rPr>
      </w:pPr>
      <w:r>
        <w:rPr>
          <w:color w:val="auto"/>
          <w:sz w:val="22"/>
          <w:szCs w:val="22"/>
        </w:rPr>
        <w:t>8. Zamawiający ma prawo odmówić dokonania zmiany Umowy, w szczególności w przypadku gdy zmiana nie spełnia przesłanek określonych w przepisach prawa lub postanowieniach Umowy.</w:t>
      </w:r>
    </w:p>
    <w:p>
      <w:pPr>
        <w:pStyle w:val="Default"/>
        <w:jc w:val="both"/>
        <w:rPr>
          <w:color w:val="auto"/>
          <w:sz w:val="22"/>
          <w:szCs w:val="22"/>
        </w:rPr>
      </w:pPr>
      <w:r>
        <w:rPr>
          <w:color w:val="auto"/>
          <w:sz w:val="22"/>
          <w:szCs w:val="22"/>
        </w:rPr>
        <w:t>9. Zmiana Umowy następuje wyłącznie po uzgodnieniu jej treści przez Strony.</w:t>
      </w:r>
    </w:p>
    <w:p>
      <w:pPr>
        <w:pStyle w:val="Default"/>
        <w:jc w:val="both"/>
        <w:rPr>
          <w:color w:val="auto"/>
          <w:sz w:val="22"/>
          <w:szCs w:val="22"/>
        </w:rPr>
      </w:pPr>
      <w:r>
        <w:rPr>
          <w:color w:val="auto"/>
          <w:sz w:val="22"/>
          <w:szCs w:val="22"/>
        </w:rPr>
        <w:t>10. Zmiana Umowy obowiązuje od dnia wskazanego w aneksie, nie wcześniej jednak niż od dnia jego podpisania.</w:t>
      </w:r>
    </w:p>
    <w:p>
      <w:pPr>
        <w:pStyle w:val="Default"/>
        <w:jc w:val="both"/>
        <w:rPr>
          <w:color w:val="auto"/>
          <w:sz w:val="22"/>
          <w:szCs w:val="22"/>
        </w:rPr>
      </w:pPr>
      <w:r>
        <w:rPr>
          <w:color w:val="auto"/>
          <w:sz w:val="22"/>
          <w:szCs w:val="22"/>
        </w:rPr>
        <w:t>11. Do czasu zawarcia aneksu Strony są zobowiązane do wykonywania Umowy na dotychczasowych zasadach, chyba że dalsze jej wykonywanie jest niemożliwe z przyczyn niezależnych od Stron.</w:t>
      </w:r>
    </w:p>
    <w:p>
      <w:pPr>
        <w:pStyle w:val="Default"/>
        <w:jc w:val="both"/>
        <w:rPr>
          <w:color w:val="auto"/>
          <w:sz w:val="22"/>
          <w:szCs w:val="22"/>
        </w:rPr>
      </w:pPr>
      <w:r>
        <w:rPr>
          <w:color w:val="auto"/>
          <w:sz w:val="22"/>
          <w:szCs w:val="22"/>
        </w:rPr>
        <w:t>12. W sprawach nieuregulowanych niniejszą Umową zastosowanie mają przepisy Kodeksu cywilnego.</w:t>
      </w:r>
    </w:p>
    <w:p>
      <w:pPr>
        <w:pStyle w:val="Default"/>
        <w:spacing w:before="60" w:after="60"/>
        <w:jc w:val="both"/>
        <w:rPr>
          <w:strike/>
          <w:color w:val="auto"/>
          <w:sz w:val="22"/>
          <w:szCs w:val="22"/>
        </w:rPr>
      </w:pPr>
      <w:r>
        <w:rPr>
          <w:strike/>
          <w:color w:val="auto"/>
          <w:sz w:val="22"/>
          <w:szCs w:val="22"/>
        </w:rPr>
      </w:r>
    </w:p>
    <w:p>
      <w:pPr>
        <w:pStyle w:val="Default"/>
        <w:spacing w:before="60" w:after="60"/>
        <w:jc w:val="center"/>
        <w:rPr>
          <w:b/>
          <w:bCs/>
          <w:color w:val="auto"/>
          <w:sz w:val="22"/>
          <w:szCs w:val="22"/>
        </w:rPr>
      </w:pPr>
      <w:r>
        <w:rPr>
          <w:b/>
          <w:bCs/>
          <w:color w:val="auto"/>
          <w:sz w:val="22"/>
          <w:szCs w:val="22"/>
        </w:rPr>
        <w:t>§ 11</w:t>
      </w:r>
    </w:p>
    <w:p>
      <w:pPr>
        <w:pStyle w:val="Default"/>
        <w:spacing w:before="60" w:after="60"/>
        <w:jc w:val="center"/>
        <w:rPr>
          <w:b/>
          <w:bCs/>
          <w:color w:val="auto"/>
          <w:sz w:val="22"/>
          <w:szCs w:val="22"/>
        </w:rPr>
      </w:pPr>
      <w:r>
        <w:rPr>
          <w:b/>
          <w:bCs/>
          <w:color w:val="auto"/>
          <w:sz w:val="22"/>
          <w:szCs w:val="22"/>
        </w:rPr>
        <w:t>Usuwanie błędów i awarii oraz świadczenie serwisu</w:t>
      </w:r>
    </w:p>
    <w:p>
      <w:pPr>
        <w:pStyle w:val="Default"/>
        <w:spacing w:before="60" w:after="60"/>
        <w:jc w:val="both"/>
        <w:rPr>
          <w:color w:val="auto"/>
          <w:sz w:val="22"/>
          <w:szCs w:val="22"/>
        </w:rPr>
      </w:pPr>
      <w:r>
        <w:rPr>
          <w:color w:val="auto"/>
          <w:sz w:val="22"/>
          <w:szCs w:val="22"/>
        </w:rPr>
      </w:r>
    </w:p>
    <w:p>
      <w:pPr>
        <w:pStyle w:val="Default"/>
        <w:numPr>
          <w:ilvl w:val="0"/>
          <w:numId w:val="23"/>
        </w:numPr>
        <w:spacing w:before="60" w:after="60"/>
        <w:jc w:val="both"/>
        <w:rPr>
          <w:color w:val="auto"/>
          <w:sz w:val="22"/>
          <w:szCs w:val="22"/>
        </w:rPr>
      </w:pPr>
      <w:r>
        <w:rPr>
          <w:color w:val="auto"/>
          <w:sz w:val="22"/>
          <w:szCs w:val="22"/>
        </w:rPr>
        <w:t>Wykonawca zobowiązuje się do zapewnienia prawidłowego działania Systemu oraz do usuwania wszelkich awarii, błędów i usterek w okresie obowiązywania umowy.</w:t>
      </w:r>
    </w:p>
    <w:p>
      <w:pPr>
        <w:pStyle w:val="Default"/>
        <w:numPr>
          <w:ilvl w:val="0"/>
          <w:numId w:val="23"/>
        </w:numPr>
        <w:spacing w:before="60" w:after="60"/>
        <w:jc w:val="both"/>
        <w:rPr>
          <w:color w:val="auto"/>
          <w:sz w:val="22"/>
          <w:szCs w:val="22"/>
        </w:rPr>
      </w:pPr>
      <w:r>
        <w:rPr>
          <w:color w:val="auto"/>
          <w:sz w:val="22"/>
          <w:szCs w:val="22"/>
        </w:rPr>
        <w:t>Wykonawca zobowiązuje się do świadczenia usług serwisowych przez okres 60 miesięcy od dnia podpisania końcowego protokołu zdawczo-odbiorczego, w zakresie:</w:t>
      </w:r>
    </w:p>
    <w:p>
      <w:pPr>
        <w:pStyle w:val="Default"/>
        <w:numPr>
          <w:ilvl w:val="1"/>
          <w:numId w:val="24"/>
        </w:numPr>
        <w:spacing w:before="60" w:after="60"/>
        <w:jc w:val="both"/>
        <w:rPr>
          <w:color w:val="auto"/>
          <w:sz w:val="22"/>
          <w:szCs w:val="22"/>
        </w:rPr>
      </w:pPr>
      <w:r>
        <w:rPr>
          <w:color w:val="auto"/>
          <w:sz w:val="22"/>
          <w:szCs w:val="22"/>
        </w:rPr>
        <w:t>usuwania awarii, błędów i usterek,</w:t>
      </w:r>
    </w:p>
    <w:p>
      <w:pPr>
        <w:pStyle w:val="Default"/>
        <w:numPr>
          <w:ilvl w:val="1"/>
          <w:numId w:val="24"/>
        </w:numPr>
        <w:spacing w:before="60" w:after="60"/>
        <w:jc w:val="both"/>
        <w:rPr>
          <w:color w:val="auto"/>
          <w:sz w:val="22"/>
          <w:szCs w:val="22"/>
        </w:rPr>
      </w:pPr>
      <w:r>
        <w:rPr>
          <w:color w:val="auto"/>
          <w:sz w:val="22"/>
          <w:szCs w:val="22"/>
        </w:rPr>
        <w:t>aktualizacji Systemu, w tym wynikających ze zmian przepisów prawa,</w:t>
      </w:r>
    </w:p>
    <w:p>
      <w:pPr>
        <w:pStyle w:val="Default"/>
        <w:numPr>
          <w:ilvl w:val="1"/>
          <w:numId w:val="24"/>
        </w:numPr>
        <w:spacing w:before="60" w:after="60"/>
        <w:jc w:val="both"/>
        <w:rPr>
          <w:color w:val="auto"/>
          <w:sz w:val="22"/>
          <w:szCs w:val="22"/>
        </w:rPr>
      </w:pPr>
      <w:r>
        <w:rPr>
          <w:color w:val="auto"/>
          <w:sz w:val="22"/>
          <w:szCs w:val="22"/>
        </w:rPr>
        <w:t>zapewnienia bieżącej pomocy użytkownikom,</w:t>
      </w:r>
    </w:p>
    <w:p>
      <w:pPr>
        <w:pStyle w:val="Default"/>
        <w:numPr>
          <w:ilvl w:val="1"/>
          <w:numId w:val="24"/>
        </w:numPr>
        <w:spacing w:before="60" w:after="60"/>
        <w:jc w:val="both"/>
        <w:rPr>
          <w:color w:val="auto"/>
          <w:sz w:val="22"/>
          <w:szCs w:val="22"/>
        </w:rPr>
      </w:pPr>
      <w:r>
        <w:rPr>
          <w:color w:val="auto"/>
          <w:sz w:val="22"/>
          <w:szCs w:val="22"/>
        </w:rPr>
        <w:t>świadczenia konsultacji telefonicznych oraz za pomocą poczty elektronicznej.</w:t>
      </w:r>
    </w:p>
    <w:p>
      <w:pPr>
        <w:pStyle w:val="Default"/>
        <w:numPr>
          <w:ilvl w:val="0"/>
          <w:numId w:val="23"/>
        </w:numPr>
        <w:spacing w:before="60" w:after="60"/>
        <w:jc w:val="both"/>
        <w:rPr>
          <w:color w:val="auto"/>
          <w:sz w:val="22"/>
          <w:szCs w:val="22"/>
        </w:rPr>
      </w:pPr>
      <w:r>
        <w:rPr>
          <w:color w:val="auto"/>
          <w:sz w:val="22"/>
          <w:szCs w:val="22"/>
        </w:rPr>
        <w:t>Zgłoszenia awarii, błędów i usterek będą dokonywane przez Zamawiającego drogą elektroniczną lub telefonicznie.</w:t>
      </w:r>
    </w:p>
    <w:p>
      <w:pPr>
        <w:pStyle w:val="Default"/>
        <w:numPr>
          <w:ilvl w:val="0"/>
          <w:numId w:val="23"/>
        </w:numPr>
        <w:spacing w:before="60" w:after="60"/>
        <w:jc w:val="both"/>
        <w:rPr>
          <w:color w:val="auto"/>
          <w:sz w:val="22"/>
          <w:szCs w:val="22"/>
        </w:rPr>
      </w:pPr>
      <w:r>
        <w:rPr>
          <w:color w:val="auto"/>
          <w:sz w:val="22"/>
          <w:szCs w:val="22"/>
        </w:rPr>
        <w:t>Czas reakcji oznacza czas od momentu zgłoszenia do momentu podjęcia działań przez Wykonawcę, w tym kontaktu z Zamawiającym i rozpoczęcia diagnozy problemu.</w:t>
      </w:r>
    </w:p>
    <w:p>
      <w:pPr>
        <w:pStyle w:val="Default"/>
        <w:numPr>
          <w:ilvl w:val="0"/>
          <w:numId w:val="23"/>
        </w:numPr>
        <w:spacing w:before="60" w:after="60"/>
        <w:jc w:val="both"/>
        <w:rPr>
          <w:color w:val="auto"/>
          <w:sz w:val="22"/>
          <w:szCs w:val="22"/>
        </w:rPr>
      </w:pPr>
      <w:r>
        <w:rPr>
          <w:color w:val="auto"/>
          <w:sz w:val="22"/>
          <w:szCs w:val="22"/>
        </w:rPr>
        <w:t>Wykonawca zobowiązuje się do zachowania następujących czasów reakcji i usunięcia zgłoszeń:</w:t>
      </w:r>
    </w:p>
    <w:p>
      <w:pPr>
        <w:pStyle w:val="Default"/>
        <w:numPr>
          <w:ilvl w:val="1"/>
          <w:numId w:val="12"/>
        </w:numPr>
        <w:spacing w:before="60" w:after="60"/>
        <w:jc w:val="both"/>
        <w:rPr>
          <w:color w:val="auto"/>
          <w:sz w:val="22"/>
          <w:szCs w:val="22"/>
        </w:rPr>
      </w:pPr>
      <w:r>
        <w:rPr>
          <w:color w:val="auto"/>
          <w:sz w:val="22"/>
          <w:szCs w:val="22"/>
        </w:rPr>
        <w:t>awaria – czas reakcji do 2 godzin roboczych, czas usunięcia do 16 godzin roboczych ,</w:t>
      </w:r>
    </w:p>
    <w:p>
      <w:pPr>
        <w:pStyle w:val="Default"/>
        <w:numPr>
          <w:ilvl w:val="1"/>
          <w:numId w:val="12"/>
        </w:numPr>
        <w:spacing w:before="60" w:after="60"/>
        <w:jc w:val="both"/>
        <w:rPr>
          <w:color w:val="auto"/>
          <w:sz w:val="22"/>
          <w:szCs w:val="22"/>
        </w:rPr>
      </w:pPr>
      <w:r>
        <w:rPr>
          <w:color w:val="auto"/>
          <w:sz w:val="22"/>
          <w:szCs w:val="22"/>
        </w:rPr>
        <w:t>błąd – czas reakcji do 4 godzin roboczych, czas usunięcia do 24 godzin roboczych,</w:t>
      </w:r>
    </w:p>
    <w:p>
      <w:pPr>
        <w:pStyle w:val="Default"/>
        <w:numPr>
          <w:ilvl w:val="1"/>
          <w:numId w:val="12"/>
        </w:numPr>
        <w:spacing w:before="60" w:after="60"/>
        <w:jc w:val="both"/>
        <w:rPr>
          <w:color w:val="auto"/>
          <w:sz w:val="22"/>
          <w:szCs w:val="22"/>
        </w:rPr>
      </w:pPr>
      <w:r>
        <w:rPr>
          <w:color w:val="auto"/>
          <w:sz w:val="22"/>
          <w:szCs w:val="22"/>
        </w:rPr>
        <w:t>usterka – czas reakcji do 1 dnia roboczego, czas usunięcia do 5 dni roboczych.</w:t>
      </w:r>
    </w:p>
    <w:p>
      <w:pPr>
        <w:pStyle w:val="Default"/>
        <w:numPr>
          <w:ilvl w:val="0"/>
          <w:numId w:val="23"/>
        </w:numPr>
        <w:spacing w:before="60" w:after="60"/>
        <w:jc w:val="both"/>
        <w:rPr>
          <w:color w:val="auto"/>
          <w:sz w:val="22"/>
          <w:szCs w:val="22"/>
        </w:rPr>
      </w:pPr>
      <w:r>
        <w:rPr>
          <w:color w:val="auto"/>
          <w:sz w:val="22"/>
          <w:szCs w:val="22"/>
        </w:rPr>
        <w:t>W przypadku braku możliwości usunięcia awarii w terminie określonym w ust. 5, Wykonawca zobowiązany jest do zapewnienia rozwiązania zastępczego umożliwiającego dalsze korzystanie z Systemu.</w:t>
      </w:r>
    </w:p>
    <w:p>
      <w:pPr>
        <w:pStyle w:val="Default"/>
        <w:numPr>
          <w:ilvl w:val="0"/>
          <w:numId w:val="23"/>
        </w:numPr>
        <w:spacing w:before="60" w:after="60"/>
        <w:jc w:val="both"/>
        <w:rPr>
          <w:color w:val="auto"/>
          <w:sz w:val="22"/>
          <w:szCs w:val="22"/>
        </w:rPr>
      </w:pPr>
      <w:r>
        <w:rPr>
          <w:color w:val="auto"/>
          <w:sz w:val="22"/>
          <w:szCs w:val="22"/>
        </w:rPr>
        <w:t>Usuwanie awarii, błędów i usterek nie podlega ograniczeniom wynikającym z limitu roboczogodzin przewidzianych w ramach usług serwisowych.</w:t>
      </w:r>
    </w:p>
    <w:p>
      <w:pPr>
        <w:pStyle w:val="Default"/>
        <w:numPr>
          <w:ilvl w:val="0"/>
          <w:numId w:val="23"/>
        </w:numPr>
        <w:spacing w:before="60" w:after="60"/>
        <w:jc w:val="both"/>
        <w:rPr>
          <w:color w:val="auto"/>
          <w:sz w:val="22"/>
          <w:szCs w:val="22"/>
        </w:rPr>
      </w:pPr>
      <w:r>
        <w:rPr>
          <w:color w:val="auto"/>
          <w:sz w:val="22"/>
          <w:szCs w:val="22"/>
        </w:rPr>
        <w:t>W przypadku sporu co do kwalifikacji zgłoszenia jako awarii, błędu lub usterki, decydujące znaczenie ma wpływ zdarzenia na możliwość korzystania z Systemu przez Zamawiającego.</w:t>
      </w:r>
    </w:p>
    <w:p>
      <w:pPr>
        <w:pStyle w:val="Default"/>
        <w:numPr>
          <w:ilvl w:val="0"/>
          <w:numId w:val="23"/>
        </w:numPr>
        <w:spacing w:before="60" w:after="60"/>
        <w:jc w:val="both"/>
        <w:rPr>
          <w:color w:val="auto"/>
          <w:sz w:val="22"/>
          <w:szCs w:val="22"/>
        </w:rPr>
      </w:pPr>
      <w:r>
        <w:rPr>
          <w:color w:val="auto"/>
          <w:sz w:val="22"/>
          <w:szCs w:val="22"/>
        </w:rPr>
        <w:t>Wykonawca zobowiązany jest do podejmowania działań zmierzających do usunięcia przyczyn źródłowych powtarzających się awarii lub błędów.</w:t>
      </w:r>
    </w:p>
    <w:p>
      <w:pPr>
        <w:pStyle w:val="Default"/>
        <w:spacing w:before="60" w:after="60"/>
        <w:jc w:val="both"/>
        <w:rPr>
          <w:color w:val="auto"/>
          <w:sz w:val="22"/>
          <w:szCs w:val="22"/>
        </w:rPr>
      </w:pPr>
      <w:r>
        <w:rPr>
          <w:color w:val="auto"/>
          <w:sz w:val="22"/>
          <w:szCs w:val="22"/>
        </w:rPr>
        <w:t xml:space="preserve">   </w:t>
      </w:r>
      <w:r>
        <w:rPr>
          <w:color w:val="auto"/>
          <w:sz w:val="22"/>
          <w:szCs w:val="22"/>
        </w:rPr>
        <w:t>10.  W przypadku przekroczenia czasów reakcji lub usunięcia zgłoszeń określonych w ust. 5, Zamawiający ma prawo naliczyć kary umowne w wysokości:</w:t>
      </w:r>
    </w:p>
    <w:p>
      <w:pPr>
        <w:pStyle w:val="Default"/>
        <w:spacing w:before="60" w:after="60"/>
        <w:jc w:val="both"/>
        <w:rPr>
          <w:color w:val="auto"/>
          <w:sz w:val="22"/>
          <w:szCs w:val="22"/>
        </w:rPr>
      </w:pPr>
      <w:r>
        <w:rPr>
          <w:color w:val="auto"/>
          <w:sz w:val="22"/>
          <w:szCs w:val="22"/>
        </w:rPr>
        <w:t xml:space="preserve">    </w:t>
      </w:r>
      <w:r>
        <w:rPr>
          <w:color w:val="auto"/>
          <w:sz w:val="22"/>
          <w:szCs w:val="22"/>
        </w:rPr>
        <w:t xml:space="preserve">a) dla awarii – 0,1% miesięcznego wynagrodzenia za świadczenie usług serwisowych za każdą rozpoczętą godzinę zwłoki, </w:t>
      </w:r>
    </w:p>
    <w:p>
      <w:pPr>
        <w:pStyle w:val="Default"/>
        <w:spacing w:before="60" w:after="60"/>
        <w:jc w:val="both"/>
        <w:rPr>
          <w:color w:val="auto"/>
          <w:sz w:val="22"/>
          <w:szCs w:val="22"/>
        </w:rPr>
      </w:pPr>
      <w:r>
        <w:rPr>
          <w:color w:val="auto"/>
          <w:sz w:val="22"/>
          <w:szCs w:val="22"/>
        </w:rPr>
        <w:t xml:space="preserve">    </w:t>
      </w:r>
      <w:r>
        <w:rPr>
          <w:color w:val="auto"/>
          <w:sz w:val="22"/>
          <w:szCs w:val="22"/>
        </w:rPr>
        <w:t xml:space="preserve">b) dla błędu – 0,1% miesięcznego wynagrodzenia za świadczenie usług serwisowych za każdą rozpoczętą godzinę zwłoki, </w:t>
      </w:r>
    </w:p>
    <w:p>
      <w:pPr>
        <w:pStyle w:val="Default"/>
        <w:spacing w:before="60" w:after="60"/>
        <w:jc w:val="both"/>
        <w:rPr>
          <w:color w:val="auto"/>
          <w:sz w:val="22"/>
          <w:szCs w:val="22"/>
        </w:rPr>
      </w:pPr>
      <w:r>
        <w:rPr>
          <w:color w:val="auto"/>
          <w:sz w:val="22"/>
          <w:szCs w:val="22"/>
        </w:rPr>
        <w:t xml:space="preserve">    </w:t>
      </w:r>
      <w:r>
        <w:rPr>
          <w:color w:val="auto"/>
          <w:sz w:val="22"/>
          <w:szCs w:val="22"/>
        </w:rPr>
        <w:t xml:space="preserve">c) dla usterki – 0,1% miesięcznego wynagrodzenia za świadczenie usług serwisowych za każdy rozpoczęty dzień zwłoki. </w:t>
      </w:r>
    </w:p>
    <w:p>
      <w:pPr>
        <w:pStyle w:val="Default"/>
        <w:spacing w:before="60" w:after="60"/>
        <w:jc w:val="both"/>
        <w:rPr>
          <w:color w:val="auto"/>
          <w:sz w:val="22"/>
          <w:szCs w:val="22"/>
        </w:rPr>
      </w:pPr>
      <w:r>
        <w:rPr>
          <w:color w:val="auto"/>
          <w:sz w:val="22"/>
          <w:szCs w:val="22"/>
        </w:rPr>
        <w:t>11. Kary umowne będą naliczane za każdy przypadek naruszenia obowiązków Wykonawcy.</w:t>
      </w:r>
    </w:p>
    <w:p>
      <w:pPr>
        <w:pStyle w:val="Default"/>
        <w:spacing w:before="60" w:after="60"/>
        <w:jc w:val="both"/>
        <w:rPr>
          <w:color w:val="auto"/>
          <w:sz w:val="22"/>
          <w:szCs w:val="22"/>
        </w:rPr>
      </w:pPr>
      <w:r>
        <w:rPr>
          <w:color w:val="auto"/>
          <w:sz w:val="22"/>
          <w:szCs w:val="22"/>
        </w:rPr>
        <w:t>12. Zamawiający jest uprawniony do potrącenia naliczonych kar umownych z wynagrodzenia należnego Wykonawcy, w szczególności z bieżących faktur wystawianych przez Wykonawcę, na co Wykonawca wyraża zgodę.</w:t>
      </w:r>
    </w:p>
    <w:p>
      <w:pPr>
        <w:pStyle w:val="Default"/>
        <w:spacing w:before="60" w:after="60"/>
        <w:jc w:val="both"/>
        <w:rPr>
          <w:color w:val="auto"/>
          <w:sz w:val="22"/>
          <w:szCs w:val="22"/>
        </w:rPr>
      </w:pPr>
      <w:r>
        <w:rPr>
          <w:color w:val="auto"/>
          <w:sz w:val="22"/>
          <w:szCs w:val="22"/>
        </w:rPr>
        <w:t>13. W przypadku gdy wysokość naliczonych kar umownych przekroczy wartość wynagrodzenia należnego Wykonawcy, Zamawiający jest uprawniony do dochodzenia zapłaty brakującej części.</w:t>
      </w:r>
    </w:p>
    <w:p>
      <w:pPr>
        <w:pStyle w:val="Default"/>
        <w:spacing w:before="60" w:after="60"/>
        <w:jc w:val="both"/>
        <w:rPr>
          <w:color w:val="auto"/>
          <w:sz w:val="22"/>
          <w:szCs w:val="22"/>
        </w:rPr>
      </w:pPr>
      <w:r>
        <w:rPr>
          <w:color w:val="auto"/>
          <w:sz w:val="22"/>
          <w:szCs w:val="22"/>
        </w:rPr>
        <w:t>14. Zamawiający ma prawo dochodzenia odszkodowania przewyższającego wysokość naliczonych kar umownych na zasadach ogólnych.</w:t>
      </w:r>
    </w:p>
    <w:p>
      <w:pPr>
        <w:pStyle w:val="Default"/>
        <w:spacing w:before="60" w:after="60"/>
        <w:jc w:val="both"/>
        <w:rPr>
          <w:color w:val="auto"/>
          <w:sz w:val="22"/>
          <w:szCs w:val="22"/>
        </w:rPr>
      </w:pPr>
      <w:r>
        <w:rPr>
          <w:color w:val="auto"/>
          <w:sz w:val="22"/>
          <w:szCs w:val="22"/>
        </w:rPr>
        <w:t>15. Naliczenie kar umownych nie wymaga uprzedniego wezwania Wykonawcy do usunięcia naruszenia ani wykazania wysokości poniesionej szkody.</w:t>
      </w:r>
    </w:p>
    <w:p>
      <w:pPr>
        <w:pStyle w:val="Default"/>
        <w:spacing w:before="60" w:after="60"/>
        <w:jc w:val="both"/>
        <w:rPr>
          <w:color w:val="C00000"/>
          <w:sz w:val="22"/>
          <w:szCs w:val="22"/>
        </w:rPr>
      </w:pPr>
      <w:r>
        <w:rPr>
          <w:color w:val="C00000"/>
          <w:sz w:val="22"/>
          <w:szCs w:val="22"/>
        </w:rPr>
        <w:t xml:space="preserve">   </w:t>
      </w:r>
    </w:p>
    <w:p>
      <w:pPr>
        <w:pStyle w:val="Normal"/>
        <w:spacing w:lineRule="auto" w:line="240" w:before="60" w:after="60"/>
        <w:jc w:val="center"/>
        <w:rPr>
          <w:rFonts w:ascii="Times New Roman" w:hAnsi="Times New Roman" w:cs="Times New Roman"/>
          <w:b/>
          <w:bCs/>
        </w:rPr>
      </w:pPr>
      <w:r>
        <w:rPr>
          <w:rFonts w:cs="Times New Roman" w:ascii="Times New Roman" w:hAnsi="Times New Roman"/>
          <w:b/>
          <w:bCs/>
        </w:rPr>
        <w:t>§ 12</w:t>
      </w:r>
    </w:p>
    <w:p>
      <w:pPr>
        <w:pStyle w:val="Normal"/>
        <w:spacing w:lineRule="auto" w:line="240" w:before="60" w:after="60"/>
        <w:jc w:val="center"/>
        <w:rPr>
          <w:rFonts w:ascii="Times New Roman" w:hAnsi="Times New Roman" w:cs="Times New Roman"/>
          <w:b/>
          <w:bCs/>
        </w:rPr>
      </w:pPr>
      <w:r>
        <w:rPr>
          <w:rFonts w:cs="Times New Roman" w:ascii="Times New Roman" w:hAnsi="Times New Roman"/>
          <w:b/>
          <w:bCs/>
        </w:rPr>
        <w:t xml:space="preserve">Procedura przeniesienia danych i oprogramowania </w:t>
      </w:r>
    </w:p>
    <w:p>
      <w:pPr>
        <w:pStyle w:val="Default"/>
        <w:numPr>
          <w:ilvl w:val="0"/>
          <w:numId w:val="20"/>
        </w:numPr>
        <w:spacing w:before="60" w:after="60"/>
        <w:ind w:hanging="360" w:start="426"/>
        <w:jc w:val="both"/>
        <w:rPr>
          <w:color w:val="auto"/>
          <w:sz w:val="22"/>
          <w:szCs w:val="22"/>
        </w:rPr>
      </w:pPr>
      <w:r>
        <w:rPr>
          <w:color w:val="auto"/>
          <w:sz w:val="22"/>
          <w:szCs w:val="22"/>
        </w:rPr>
        <w:t>Wykonawca gwarantuje niniejszym, że w każdym momencie obowiązywania Umowy możliwe będzie przeniesienie danych i oprogramowania zgromadzonych i zainstalowanych w chmurze obliczeniowej do infrastruktury chmurowej lub fizycznej wskazanej przez Zamawiającego, innej niż ta zapewniana przez Wykonawcę („Przeniesienie”). Przeniesienie danych i oprogramowania, o ile Zamawiający skorzysta z tej możliwości nastąpi bez konieczności wskazywania jakiegokolwiek uzasadnienia. Wykonawca gwarantuje również, że możliwe będzie przeniesienie danych eksportowalnych, do innego usługodawcy wybranego przez Zamawiającego, bez utraty jakości i kompletności danych eksportowalnych,. W razie podjęcia przez Zamawiającego decyzji o przeniesieniu danych eksportowalnych i oprogramowania do innego usługodawcy lub na infrastrukturę on-premise, Wykonawca przeprowadzi takie przeniesienie na zasadach uzgodnionych przez Strony. Jeżeli będzie do potrzebne lub użyteczne dla dalszego prawidłowego i pełnego korzystania z danych eksportowalnych i oprogramowania, Wykonawca przekaże również w ramach Przeniesienia wszelkie metadane dotyczące danych i oprogramowania oraz aktywa cyfrowe Zamawiającego.</w:t>
      </w:r>
    </w:p>
    <w:p>
      <w:pPr>
        <w:pStyle w:val="Default"/>
        <w:numPr>
          <w:ilvl w:val="0"/>
          <w:numId w:val="20"/>
        </w:numPr>
        <w:spacing w:before="60" w:after="60"/>
        <w:ind w:hanging="360" w:start="426"/>
        <w:jc w:val="both"/>
        <w:rPr>
          <w:color w:val="auto"/>
          <w:sz w:val="22"/>
          <w:szCs w:val="22"/>
        </w:rPr>
      </w:pPr>
      <w:r>
        <w:rPr>
          <w:color w:val="auto"/>
          <w:sz w:val="22"/>
          <w:szCs w:val="22"/>
        </w:rPr>
        <w:t>W przypadku gdy Zamawiający zażąda Przeniesienia, Zamawiający i Wykonawca ustalą w drodze porozumienia szczegóły dotyczące wsparcia w zakresie Przeniesienia i zakończenia świadczenia przez Wykonawcę usług na podstawie niniejszej Umowy, w tym:</w:t>
      </w:r>
    </w:p>
    <w:p>
      <w:pPr>
        <w:pStyle w:val="Default"/>
        <w:numPr>
          <w:ilvl w:val="1"/>
          <w:numId w:val="21"/>
        </w:numPr>
        <w:spacing w:before="60" w:after="60"/>
        <w:jc w:val="both"/>
        <w:rPr>
          <w:color w:val="auto"/>
          <w:sz w:val="22"/>
          <w:szCs w:val="22"/>
        </w:rPr>
      </w:pPr>
      <w:r>
        <w:rPr>
          <w:color w:val="auto"/>
          <w:sz w:val="22"/>
          <w:szCs w:val="22"/>
        </w:rPr>
        <w:t>metody i formaty przenoszenia oraz kroki niezbędne do przeprowadzenia procesu Przeniesienia;</w:t>
      </w:r>
    </w:p>
    <w:p>
      <w:pPr>
        <w:pStyle w:val="Default"/>
        <w:numPr>
          <w:ilvl w:val="1"/>
          <w:numId w:val="21"/>
        </w:numPr>
        <w:spacing w:before="60" w:after="60"/>
        <w:jc w:val="both"/>
        <w:rPr>
          <w:color w:val="auto"/>
          <w:sz w:val="22"/>
          <w:szCs w:val="22"/>
        </w:rPr>
      </w:pPr>
      <w:r>
        <w:rPr>
          <w:color w:val="auto"/>
          <w:sz w:val="22"/>
          <w:szCs w:val="22"/>
        </w:rPr>
        <w:t>dane kontaktowe osób wyznaczonych przez Zamawiającego i Wykonawcę do realizacji Przeniesienia;</w:t>
      </w:r>
    </w:p>
    <w:p>
      <w:pPr>
        <w:pStyle w:val="Default"/>
        <w:numPr>
          <w:ilvl w:val="1"/>
          <w:numId w:val="21"/>
        </w:numPr>
        <w:spacing w:before="60" w:after="60"/>
        <w:jc w:val="both"/>
        <w:rPr>
          <w:color w:val="auto"/>
          <w:sz w:val="22"/>
          <w:szCs w:val="22"/>
        </w:rPr>
      </w:pPr>
      <w:r>
        <w:rPr>
          <w:color w:val="auto"/>
          <w:sz w:val="22"/>
          <w:szCs w:val="22"/>
        </w:rPr>
        <w:t>szacunkowy czas potrzebny na eksport i transfer danych eksportowalnych i oprogramowania ze środowiska źródłowego;</w:t>
      </w:r>
    </w:p>
    <w:p>
      <w:pPr>
        <w:pStyle w:val="Default"/>
        <w:numPr>
          <w:ilvl w:val="1"/>
          <w:numId w:val="21"/>
        </w:numPr>
        <w:spacing w:before="60" w:after="60"/>
        <w:jc w:val="both"/>
        <w:rPr>
          <w:color w:val="auto"/>
          <w:sz w:val="22"/>
          <w:szCs w:val="22"/>
        </w:rPr>
      </w:pPr>
      <w:r>
        <w:rPr>
          <w:color w:val="auto"/>
          <w:sz w:val="22"/>
          <w:szCs w:val="22"/>
        </w:rPr>
        <w:t>opis proponowanej sekwencji operacji przez Wykonawcę;</w:t>
      </w:r>
    </w:p>
    <w:p>
      <w:pPr>
        <w:pStyle w:val="Default"/>
        <w:numPr>
          <w:ilvl w:val="1"/>
          <w:numId w:val="21"/>
        </w:numPr>
        <w:spacing w:before="60" w:after="60"/>
        <w:jc w:val="both"/>
        <w:rPr>
          <w:color w:val="auto"/>
          <w:sz w:val="22"/>
          <w:szCs w:val="22"/>
        </w:rPr>
      </w:pPr>
      <w:r>
        <w:rPr>
          <w:color w:val="auto"/>
          <w:sz w:val="22"/>
          <w:szCs w:val="22"/>
        </w:rPr>
        <w:t>opis proponowanej metody testowania poprawności Przeniesienia</w:t>
      </w:r>
    </w:p>
    <w:p>
      <w:pPr>
        <w:pStyle w:val="Default"/>
        <w:numPr>
          <w:ilvl w:val="0"/>
          <w:numId w:val="20"/>
        </w:numPr>
        <w:spacing w:before="60" w:after="60"/>
        <w:ind w:hanging="360" w:start="426"/>
        <w:jc w:val="both"/>
        <w:rPr>
          <w:color w:val="auto"/>
          <w:sz w:val="22"/>
          <w:szCs w:val="22"/>
        </w:rPr>
      </w:pPr>
      <w:r>
        <w:rPr>
          <w:color w:val="auto"/>
          <w:sz w:val="22"/>
          <w:szCs w:val="22"/>
        </w:rPr>
        <w:t>Na żądanie Zamawiającego Wykonawca zobowiązany jest przekazać informacje wyjaśniające odpowiednie procedury wyznaczonemu personelowi Zamawiającego (lub innym podmiotom upoważnionym przez Zamawiającego).</w:t>
      </w:r>
    </w:p>
    <w:p>
      <w:pPr>
        <w:pStyle w:val="Default"/>
        <w:numPr>
          <w:ilvl w:val="0"/>
          <w:numId w:val="20"/>
        </w:numPr>
        <w:spacing w:before="60" w:after="60"/>
        <w:ind w:hanging="360" w:start="426"/>
        <w:jc w:val="both"/>
        <w:rPr>
          <w:color w:val="auto"/>
          <w:sz w:val="22"/>
          <w:szCs w:val="22"/>
        </w:rPr>
      </w:pPr>
      <w:r>
        <w:rPr>
          <w:color w:val="auto"/>
          <w:sz w:val="22"/>
          <w:szCs w:val="22"/>
        </w:rPr>
        <w:t>Przeniesienie i inne zobowiązania Wykonawcy w związku z Przeniesieniem:</w:t>
      </w:r>
    </w:p>
    <w:p>
      <w:pPr>
        <w:pStyle w:val="Default"/>
        <w:numPr>
          <w:ilvl w:val="1"/>
          <w:numId w:val="20"/>
        </w:numPr>
        <w:spacing w:before="60" w:after="60"/>
        <w:ind w:hanging="360" w:start="1418"/>
        <w:jc w:val="both"/>
        <w:rPr>
          <w:color w:val="auto"/>
          <w:sz w:val="22"/>
          <w:szCs w:val="22"/>
        </w:rPr>
      </w:pPr>
      <w:r>
        <w:rPr>
          <w:color w:val="auto"/>
          <w:sz w:val="22"/>
          <w:szCs w:val="22"/>
        </w:rPr>
        <w:t>Zamawiający przekaże Wykonawcy zawiadomienie o zamiarze rozpoczęcia Przeniesienia, z zachowaniem okresu wypowiedzenia wynoszącego 3 miesiące. Jeżeli Przeniesienie ma nastąpić tylko w odniesieniu do danych eksportowalnych  i oprogramowania (usług), Zamawiający wskaże takie informacje w zawiadomieniu;</w:t>
      </w:r>
    </w:p>
    <w:p>
      <w:pPr>
        <w:pStyle w:val="Default"/>
        <w:numPr>
          <w:ilvl w:val="1"/>
          <w:numId w:val="20"/>
        </w:numPr>
        <w:spacing w:before="60" w:after="60"/>
        <w:ind w:hanging="360" w:start="1418"/>
        <w:jc w:val="both"/>
        <w:rPr>
          <w:color w:val="auto"/>
          <w:sz w:val="22"/>
          <w:szCs w:val="22"/>
        </w:rPr>
      </w:pPr>
      <w:r>
        <w:rPr>
          <w:color w:val="auto"/>
          <w:sz w:val="22"/>
          <w:szCs w:val="22"/>
        </w:rPr>
        <w:t>zawiadomieniu o Przeniesieniu Zamawiający może wskazać, czy zamierza dokonać Przeniesienia:</w:t>
      </w:r>
    </w:p>
    <w:p>
      <w:pPr>
        <w:pStyle w:val="Default"/>
        <w:numPr>
          <w:ilvl w:val="2"/>
          <w:numId w:val="20"/>
        </w:numPr>
        <w:spacing w:before="60" w:after="60"/>
        <w:ind w:hanging="180" w:start="1418"/>
        <w:jc w:val="both"/>
        <w:rPr>
          <w:color w:val="auto"/>
          <w:sz w:val="22"/>
          <w:szCs w:val="22"/>
        </w:rPr>
      </w:pPr>
      <w:r>
        <w:rPr>
          <w:color w:val="auto"/>
          <w:sz w:val="22"/>
          <w:szCs w:val="22"/>
        </w:rPr>
        <w:t>do innego dostawcy, a w takim przypadku powinien podać dane nowego dostawcy;</w:t>
      </w:r>
    </w:p>
    <w:p>
      <w:pPr>
        <w:pStyle w:val="Default"/>
        <w:numPr>
          <w:ilvl w:val="2"/>
          <w:numId w:val="20"/>
        </w:numPr>
        <w:spacing w:before="60" w:after="60"/>
        <w:ind w:hanging="180" w:start="1418"/>
        <w:jc w:val="both"/>
        <w:rPr>
          <w:color w:val="auto"/>
          <w:sz w:val="22"/>
          <w:szCs w:val="22"/>
        </w:rPr>
      </w:pPr>
      <w:r>
        <w:rPr>
          <w:color w:val="auto"/>
          <w:sz w:val="22"/>
          <w:szCs w:val="22"/>
        </w:rPr>
        <w:t>na infrastrukturę ICT Zamawiającego</w:t>
      </w:r>
    </w:p>
    <w:p>
      <w:pPr>
        <w:pStyle w:val="Default"/>
        <w:numPr>
          <w:ilvl w:val="2"/>
          <w:numId w:val="20"/>
        </w:numPr>
        <w:spacing w:before="60" w:after="60"/>
        <w:ind w:hanging="180" w:start="1418"/>
        <w:jc w:val="both"/>
        <w:rPr>
          <w:color w:val="auto"/>
          <w:sz w:val="22"/>
          <w:szCs w:val="22"/>
        </w:rPr>
      </w:pPr>
      <w:r>
        <w:rPr>
          <w:color w:val="auto"/>
          <w:sz w:val="22"/>
          <w:szCs w:val="22"/>
        </w:rPr>
        <w:t>nie dokonywać Przeniesienia, lecz jedynie usunąć swoje dane z chmury obliczeniowej Wykonawcy</w:t>
      </w:r>
    </w:p>
    <w:p>
      <w:pPr>
        <w:pStyle w:val="Default"/>
        <w:numPr>
          <w:ilvl w:val="1"/>
          <w:numId w:val="20"/>
        </w:numPr>
        <w:spacing w:before="60" w:after="60"/>
        <w:ind w:hanging="360" w:start="1418"/>
        <w:jc w:val="both"/>
        <w:rPr>
          <w:color w:val="auto"/>
          <w:sz w:val="22"/>
          <w:szCs w:val="22"/>
        </w:rPr>
      </w:pPr>
      <w:r>
        <w:rPr>
          <w:color w:val="auto"/>
          <w:sz w:val="22"/>
          <w:szCs w:val="22"/>
        </w:rPr>
        <w:t>Wykonawca potwierdzi otrzymanie zawiadomienia o Przeniesieniu nie później niż w terminie 3 dni roboczych, przy użyciu tego samego środka komunikacji, który został użyty przez Zamawiającego;</w:t>
      </w:r>
    </w:p>
    <w:p>
      <w:pPr>
        <w:pStyle w:val="Default"/>
        <w:numPr>
          <w:ilvl w:val="1"/>
          <w:numId w:val="20"/>
        </w:numPr>
        <w:spacing w:before="60" w:after="60"/>
        <w:ind w:hanging="360" w:start="1418"/>
        <w:jc w:val="both"/>
        <w:rPr>
          <w:color w:val="auto"/>
          <w:sz w:val="22"/>
          <w:szCs w:val="22"/>
        </w:rPr>
      </w:pPr>
      <w:r>
        <w:rPr>
          <w:color w:val="auto"/>
          <w:sz w:val="22"/>
          <w:szCs w:val="22"/>
        </w:rPr>
        <w:t>Przeniesienie zostanie przeprowadzone przez Wykonawcę w terminie 14 dni roboczych od dnia zakończenia okresu wypowiedzenia wskazanego w pkt. 1) („Okres Przejściowy”). Jeżeli Wykonawca nie jest w stanie dotrzymać uzgodnionego Okresu Przejściowego z przyczyn technicznych, zobowiązuje się on do poinformowania Zamawiającego na piśmie, w tym za pomocą odpowiednich środków elektronicznych, w terminie 14 dni roboczych od otrzymania zawiadomienia o Przeniesieniu oraz wskazania alternatywnego Okresu Przejściowego, który nie może przekroczyć 3 miesięcy od daty zawiadomienia o Przeniesieniu. Wykonawca zobowiązany jest do przedstawienia należytego uzasadnienia technicznej niemożliwości dokonania Przeniesienia w Okresie Przejściowym;</w:t>
      </w:r>
    </w:p>
    <w:p>
      <w:pPr>
        <w:pStyle w:val="Default"/>
        <w:numPr>
          <w:ilvl w:val="1"/>
          <w:numId w:val="20"/>
        </w:numPr>
        <w:spacing w:before="60" w:after="60"/>
        <w:ind w:hanging="360" w:start="1418"/>
        <w:jc w:val="both"/>
        <w:rPr>
          <w:color w:val="auto"/>
          <w:sz w:val="22"/>
          <w:szCs w:val="22"/>
        </w:rPr>
      </w:pPr>
      <w:r>
        <w:rPr>
          <w:color w:val="auto"/>
          <w:sz w:val="22"/>
          <w:szCs w:val="22"/>
        </w:rPr>
        <w:t>Zamawiający może jednokrotnie przedłużyć Okres Przejściowy w ramach jednej procedury Przeniesienia, na okres, który uzna za bardziej odpowiedni dla własnych potrzeb, nie dłuższy jednak niż 3 miesiące. W takim przypadku Zamawiający zobowiązany jest poinformować Wykonawcę o zamiarze przedłużenia przed upływem pierwotnego Okresu Przejściowego oraz wskazać nowy Okres Przejściowy;</w:t>
      </w:r>
    </w:p>
    <w:p>
      <w:pPr>
        <w:pStyle w:val="Default"/>
        <w:numPr>
          <w:ilvl w:val="1"/>
          <w:numId w:val="20"/>
        </w:numPr>
        <w:spacing w:before="60" w:after="60"/>
        <w:ind w:hanging="360" w:start="1418"/>
        <w:jc w:val="both"/>
        <w:rPr>
          <w:color w:val="auto"/>
          <w:sz w:val="22"/>
          <w:szCs w:val="22"/>
        </w:rPr>
      </w:pPr>
      <w:r>
        <w:rPr>
          <w:color w:val="auto"/>
          <w:sz w:val="22"/>
          <w:szCs w:val="22"/>
        </w:rPr>
        <w:t>Wykonawca zobowiązuje się do zapewnienia Zamawiającemu oraz osobom trzecim upoważnionym przez Zamawiającego odpowiedniego wsparcia od momentu rozpoczęcia procesu Przeniesienia i przez cały jego czas trwania, tak aby umożliwić Zamawiającemu dokonanie Przeniesienia w ramach Okresu Przejściowego. W szczególności Wykonawca zobowiązuje się do:</w:t>
      </w:r>
    </w:p>
    <w:p>
      <w:pPr>
        <w:pStyle w:val="Default"/>
        <w:numPr>
          <w:ilvl w:val="2"/>
          <w:numId w:val="20"/>
        </w:numPr>
        <w:spacing w:before="60" w:after="60"/>
        <w:jc w:val="both"/>
        <w:rPr>
          <w:color w:val="auto"/>
          <w:sz w:val="22"/>
          <w:szCs w:val="22"/>
        </w:rPr>
      </w:pPr>
      <w:r>
        <w:rPr>
          <w:color w:val="auto"/>
          <w:sz w:val="22"/>
          <w:szCs w:val="22"/>
        </w:rPr>
        <w:t>zapewnienia funkcjonalności, odpowiednich informacji (w tym dokumentacji niezbędnej do przeprowadzenia Przeniesienia) oraz wsparcia technicznego;</w:t>
      </w:r>
    </w:p>
    <w:p>
      <w:pPr>
        <w:pStyle w:val="Default"/>
        <w:numPr>
          <w:ilvl w:val="2"/>
          <w:numId w:val="20"/>
        </w:numPr>
        <w:spacing w:before="60" w:after="60"/>
        <w:jc w:val="both"/>
        <w:rPr>
          <w:color w:val="auto"/>
          <w:sz w:val="22"/>
          <w:szCs w:val="22"/>
        </w:rPr>
      </w:pPr>
      <w:r>
        <w:rPr>
          <w:color w:val="auto"/>
          <w:sz w:val="22"/>
          <w:szCs w:val="22"/>
        </w:rPr>
        <w:t>w przypadku wykrycia problemów, Wykonawca przeanalizuje przyczyny i zaproponuje rozwiązania, a następnie Strony w dobrej wierze uzgodnią jakie rozwiązania zostaną zastosowane;</w:t>
      </w:r>
    </w:p>
    <w:p>
      <w:pPr>
        <w:pStyle w:val="Default"/>
        <w:numPr>
          <w:ilvl w:val="2"/>
          <w:numId w:val="20"/>
        </w:numPr>
        <w:spacing w:before="60" w:after="60"/>
        <w:jc w:val="both"/>
        <w:rPr>
          <w:color w:val="auto"/>
          <w:sz w:val="22"/>
          <w:szCs w:val="22"/>
        </w:rPr>
      </w:pPr>
      <w:r>
        <w:rPr>
          <w:color w:val="auto"/>
          <w:sz w:val="22"/>
          <w:szCs w:val="22"/>
        </w:rPr>
        <w:t>działania z należytą starannością w celu zapewnienia ciągłości oraz dalszego świadczenia funkcji lub usług objętych Umową</w:t>
      </w:r>
    </w:p>
    <w:p>
      <w:pPr>
        <w:pStyle w:val="Default"/>
        <w:numPr>
          <w:ilvl w:val="2"/>
          <w:numId w:val="20"/>
        </w:numPr>
        <w:spacing w:before="60" w:after="60"/>
        <w:jc w:val="both"/>
        <w:rPr>
          <w:color w:val="auto"/>
          <w:sz w:val="22"/>
          <w:szCs w:val="22"/>
        </w:rPr>
      </w:pPr>
      <w:r>
        <w:rPr>
          <w:color w:val="auto"/>
          <w:sz w:val="22"/>
          <w:szCs w:val="22"/>
        </w:rPr>
        <w:t>utrzymania wysokiego poziomu bezpieczeństwa przez cały proces Przeniesienia, w szczególności w zakresie bezpieczeństwa danych podczas ich transferu</w:t>
      </w:r>
    </w:p>
    <w:p>
      <w:pPr>
        <w:pStyle w:val="Default"/>
        <w:numPr>
          <w:ilvl w:val="1"/>
          <w:numId w:val="20"/>
        </w:numPr>
        <w:spacing w:before="60" w:after="60"/>
        <w:ind w:hanging="360" w:start="1418"/>
        <w:jc w:val="both"/>
        <w:rPr>
          <w:color w:val="auto"/>
          <w:sz w:val="22"/>
          <w:szCs w:val="22"/>
        </w:rPr>
      </w:pPr>
      <w:r>
        <w:rPr>
          <w:color w:val="auto"/>
          <w:sz w:val="22"/>
          <w:szCs w:val="22"/>
        </w:rPr>
        <w:t>Zamawiający zobowiązuje się do podjęcia uzasadnionych działań w celu skutecznego przeprowadzenia Przeniesienia, a także do poszanowania praw własności intelektualnej do wszelkich materiałów udostępnionych przez Wykonawcę w ramach procesu Przeniesienia, jak również do zachowania w poufności tajemnic handlowych Wykonawcy. Zamawiający zobowiązuje się do zapewnienia dostępu do tych materiałów osobom trzecim lub nowemu dostawcy wyłącznie w zakresie niezbędnym do zakończenia procesu Przeniesienia w uzgodnionym Okresie Przejściowym.</w:t>
      </w:r>
    </w:p>
    <w:p>
      <w:pPr>
        <w:pStyle w:val="Default"/>
        <w:numPr>
          <w:ilvl w:val="0"/>
          <w:numId w:val="20"/>
        </w:numPr>
        <w:spacing w:before="60" w:after="60"/>
        <w:ind w:hanging="360" w:start="426"/>
        <w:jc w:val="both"/>
        <w:rPr>
          <w:color w:val="auto"/>
          <w:sz w:val="22"/>
          <w:szCs w:val="22"/>
        </w:rPr>
      </w:pPr>
      <w:r>
        <w:rPr>
          <w:color w:val="auto"/>
          <w:sz w:val="22"/>
          <w:szCs w:val="22"/>
        </w:rPr>
        <w:t>Zamawiający może odzyskać lub usunąć swoje Dane w uzgodnionym okresie odzyskiwania danych („Okres Odzyskiwania Danych”), nie dłuższym niż 3 miesiące od dnia zakończenia Przeniesienia, a Wykonawca zobowiązany jest do ich dalszego przechowywania w niezmienionej wersji w swoich zasobach w tym okresie. Po zakończeniu uzgodnionego Okresu Odzyskiwania Danych i skutecznym zakończeniu procesu Przeniesienia, co zostanie potwierdzone protokołem zdawczo-odbiorczym podpisanym przez Strony, Wykonawca zobowiązuje się do usunięcia wszystkich Danych Zamawiającego lub bezpośrednio z nimi związanych, oraz do potwierdzenia Zamawiającemu wykonania tej czynności, z wyjątkiem danych osobowych, które Wykonawca jest zobowiązany przechowywać zgodnie z przepisami prawa UE lub prawa krajowego.</w:t>
      </w:r>
    </w:p>
    <w:p>
      <w:pPr>
        <w:pStyle w:val="Default"/>
        <w:numPr>
          <w:ilvl w:val="0"/>
          <w:numId w:val="20"/>
        </w:numPr>
        <w:spacing w:before="60" w:after="60"/>
        <w:ind w:hanging="360" w:start="426"/>
        <w:jc w:val="both"/>
        <w:rPr>
          <w:color w:val="auto"/>
          <w:sz w:val="22"/>
          <w:szCs w:val="22"/>
        </w:rPr>
      </w:pPr>
      <w:r>
        <w:rPr>
          <w:color w:val="auto"/>
          <w:sz w:val="22"/>
          <w:szCs w:val="22"/>
        </w:rPr>
        <w:t>Po potwierdzeniu przez Strony skutecznego zakończenia procesu Przeniesienia w pisemnym protokole zdawczo-odbiorczym, Wykonawca potwierdzi Zamawiającemu rozwiązanie Umowy. Jeżeli Zamawiający będzie uchylał się od podpisania takiego protokołu zdawczo-odbiorczego lub nie poinformuje Wykonawcy w inny sposób o skutecznym Przeniesieniu lub jego braku, a Wykonawca ma uzasadnione podstawy, by sądzić, że Przeniesienie zostało skutecznie zakończone, może on wystąpić do Zamawiającego z prośbą o potwierdzenie. Brak potwierdzenia w terminie 30 dni roboczych od takiego żądania oznacza, że Przeniesienie nie zostało skutecznie zakończone, a Umowa nie zostaje rozwiązana i obowiązuje nadal na dotychczasowych warunkach.</w:t>
      </w:r>
    </w:p>
    <w:p>
      <w:pPr>
        <w:pStyle w:val="Default"/>
        <w:numPr>
          <w:ilvl w:val="0"/>
          <w:numId w:val="20"/>
        </w:numPr>
        <w:spacing w:before="60" w:after="60"/>
        <w:ind w:hanging="360" w:start="426"/>
        <w:jc w:val="both"/>
        <w:rPr>
          <w:color w:val="auto"/>
          <w:sz w:val="22"/>
          <w:szCs w:val="22"/>
        </w:rPr>
      </w:pPr>
      <w:r>
        <w:rPr>
          <w:color w:val="auto"/>
          <w:sz w:val="22"/>
          <w:szCs w:val="22"/>
        </w:rPr>
        <w:t>Jeżeli Zamawiający nie zamierza dokonać Przeniesienia, lecz jedynie usunąć swoje Dane z systemów Wykonawcy, Wykonawca zobowiązuje się do poinformowania Zamawiającego o rozwiązaniu Umowy po upływie uzgodnionego Okresu Wypowiedzenia.</w:t>
      </w:r>
    </w:p>
    <w:p>
      <w:pPr>
        <w:pStyle w:val="Default"/>
        <w:numPr>
          <w:ilvl w:val="0"/>
          <w:numId w:val="20"/>
        </w:numPr>
        <w:spacing w:before="60" w:after="60"/>
        <w:ind w:hanging="360" w:start="426"/>
        <w:jc w:val="both"/>
        <w:rPr>
          <w:color w:val="auto"/>
          <w:sz w:val="22"/>
          <w:szCs w:val="22"/>
        </w:rPr>
      </w:pPr>
      <w:r>
        <w:rPr>
          <w:color w:val="auto"/>
          <w:sz w:val="22"/>
          <w:szCs w:val="22"/>
        </w:rPr>
        <w:t>Postanowienia odnoszące się do Przeniesienia, w szczególności ust. 1 do 6 stosuje się odpowiednio w przypadku wypowiedzenia umowy przez którąkolwiek ze Stron.</w:t>
      </w:r>
    </w:p>
    <w:p>
      <w:pPr>
        <w:pStyle w:val="Normal"/>
        <w:spacing w:lineRule="auto" w:line="240" w:before="60" w:after="60"/>
        <w:jc w:val="center"/>
        <w:rPr>
          <w:rFonts w:ascii="Times New Roman" w:hAnsi="Times New Roman" w:cs="Times New Roman"/>
          <w:b/>
          <w:bCs/>
        </w:rPr>
      </w:pPr>
      <w:r>
        <w:rPr>
          <w:rFonts w:cs="Times New Roman" w:ascii="Times New Roman" w:hAnsi="Times New Roman"/>
          <w:b/>
          <w:bCs/>
        </w:rPr>
      </w:r>
    </w:p>
    <w:p>
      <w:pPr>
        <w:pStyle w:val="NormalWeb"/>
        <w:spacing w:lineRule="auto" w:line="240" w:beforeAutospacing="0" w:before="0" w:after="60"/>
        <w:jc w:val="center"/>
        <w:rPr>
          <w:b/>
          <w:bCs/>
          <w:sz w:val="22"/>
          <w:szCs w:val="22"/>
        </w:rPr>
      </w:pPr>
      <w:r>
        <w:rPr>
          <w:b/>
          <w:bCs/>
          <w:sz w:val="22"/>
          <w:szCs w:val="22"/>
        </w:rPr>
        <w:t>§ 13</w:t>
      </w:r>
    </w:p>
    <w:p>
      <w:pPr>
        <w:pStyle w:val="NormalWeb"/>
        <w:spacing w:lineRule="auto" w:line="240" w:before="280" w:after="60"/>
        <w:jc w:val="center"/>
        <w:rPr>
          <w:b/>
          <w:bCs/>
          <w:sz w:val="22"/>
          <w:szCs w:val="22"/>
        </w:rPr>
      </w:pPr>
      <w:r>
        <w:rPr>
          <w:b/>
          <w:bCs/>
          <w:sz w:val="22"/>
          <w:szCs w:val="22"/>
        </w:rPr>
        <w:t>Kary umowne</w:t>
      </w:r>
    </w:p>
    <w:p>
      <w:pPr>
        <w:pStyle w:val="NormalWeb"/>
        <w:spacing w:lineRule="auto" w:line="240" w:beforeAutospacing="0" w:before="0" w:after="60"/>
        <w:rPr>
          <w:sz w:val="22"/>
          <w:szCs w:val="22"/>
        </w:rPr>
      </w:pPr>
      <w:r>
        <w:rPr>
          <w:sz w:val="22"/>
          <w:szCs w:val="22"/>
        </w:rPr>
        <w:t>1. Strony ustalają, że niezależnie od kar umownych przewidzianych w innych postanowieniach Umowy, w przypadku niewykonania lub nienależytego wykonania Umowy Wykonawca zapłaci Zamawiającemu kary umowne określone w niniejszym paragrafie.</w:t>
      </w:r>
    </w:p>
    <w:p>
      <w:pPr>
        <w:pStyle w:val="NormalWeb"/>
        <w:spacing w:lineRule="auto" w:line="240" w:beforeAutospacing="0" w:before="0" w:after="60"/>
        <w:rPr>
          <w:sz w:val="22"/>
          <w:szCs w:val="22"/>
        </w:rPr>
      </w:pPr>
      <w:r>
        <w:rPr>
          <w:sz w:val="22"/>
          <w:szCs w:val="22"/>
        </w:rPr>
        <w:t>2. W przypadku zwłoki Wykonawcy w realizacji przedmiotu Umowy w stosunku do terminów określonych w Harmonogramie wdrożenia – Załącznik nr 5 do Umowy, Wykonawca zapłaci karę umowną w wysokości 0,01% wynagrodzenia netto określonego w § 7 ust. 1 za każdy rozpoczęty dzień zwłoki.</w:t>
      </w:r>
    </w:p>
    <w:p>
      <w:pPr>
        <w:pStyle w:val="NormalWeb"/>
        <w:spacing w:lineRule="auto" w:line="240" w:beforeAutospacing="0" w:before="0" w:after="60"/>
        <w:rPr>
          <w:sz w:val="22"/>
          <w:szCs w:val="22"/>
        </w:rPr>
      </w:pPr>
      <w:r>
        <w:rPr>
          <w:sz w:val="22"/>
          <w:szCs w:val="22"/>
        </w:rPr>
        <w:t>3. W przypadku dostarczenia systemu niezgodnego z Opisem Przedmiotu Zamówienia lub ofertą Wykonawcy, w tym braku dostarczenia lub wdrożenia wszystkich wymaganych modułów zgodnie z Opisem Przedmiotu Zamówienia, Zamawiający ma prawo:</w:t>
      </w:r>
    </w:p>
    <w:p>
      <w:pPr>
        <w:pStyle w:val="NormalWeb"/>
        <w:spacing w:lineRule="auto" w:line="240" w:beforeAutospacing="0" w:before="0" w:after="60"/>
        <w:rPr>
          <w:sz w:val="22"/>
          <w:szCs w:val="22"/>
        </w:rPr>
      </w:pPr>
      <w:r>
        <w:rPr>
          <w:sz w:val="22"/>
          <w:szCs w:val="22"/>
        </w:rPr>
        <w:t xml:space="preserve">        </w:t>
      </w:r>
      <w:r>
        <w:rPr>
          <w:sz w:val="22"/>
          <w:szCs w:val="22"/>
        </w:rPr>
        <w:t>1)  naliczyć karę umowną w wysokości 5 % wynagrodzenia netto określonego w § 7 ust. 1, oraz</w:t>
      </w:r>
    </w:p>
    <w:p>
      <w:pPr>
        <w:pStyle w:val="NormalWeb"/>
        <w:spacing w:lineRule="auto" w:line="240" w:beforeAutospacing="0" w:before="0" w:after="60"/>
        <w:rPr>
          <w:sz w:val="22"/>
          <w:szCs w:val="22"/>
        </w:rPr>
      </w:pPr>
      <w:r>
        <w:rPr>
          <w:sz w:val="22"/>
          <w:szCs w:val="22"/>
        </w:rPr>
        <w:t xml:space="preserve">        </w:t>
      </w:r>
      <w:r>
        <w:rPr>
          <w:sz w:val="22"/>
          <w:szCs w:val="22"/>
        </w:rPr>
        <w:t>2) żądać doprowadzenia systemu do zgodności w wyznaczonym terminie, a w razie jego bezskutecznego upływu – odstąpić od Umowy z winy Wykonawcy.</w:t>
      </w:r>
    </w:p>
    <w:p>
      <w:pPr>
        <w:pStyle w:val="NormalWeb"/>
        <w:spacing w:lineRule="auto" w:line="240" w:beforeAutospacing="0" w:before="0" w:after="60"/>
        <w:rPr>
          <w:sz w:val="22"/>
          <w:szCs w:val="22"/>
        </w:rPr>
      </w:pPr>
      <w:r>
        <w:rPr>
          <w:sz w:val="22"/>
          <w:szCs w:val="22"/>
        </w:rPr>
        <w:t>4. W przypadku odstąpienia od Umowy przez Zamawiającego z przyczyn leżących po stronie Wykonawcy, Wykonawca zapłaci karę umowną w wysokości 10% wynagrodzenia netto określonego w § 7 ust. 1.</w:t>
      </w:r>
    </w:p>
    <w:p>
      <w:pPr>
        <w:pStyle w:val="NormalWeb"/>
        <w:spacing w:lineRule="auto" w:line="240" w:beforeAutospacing="0" w:before="0" w:after="60"/>
        <w:rPr>
          <w:sz w:val="22"/>
          <w:szCs w:val="22"/>
        </w:rPr>
      </w:pPr>
      <w:r>
        <w:rPr>
          <w:sz w:val="22"/>
          <w:szCs w:val="22"/>
        </w:rPr>
        <w:t xml:space="preserve">5. Zamawiający ma prawo dochodzić kar umownych także w przypadku kumulacji naruszeń, a naliczenie jednej kary nie wyłącza możliwości naliczenia innych kar przewidzianych Umową, przy czym łączna wysokość naliczonych kar przez cały okres obowiązywania umowy nie może przekroczyć 100 % wartości całego zamówienia, określonego w § 7 ust. 1. </w:t>
      </w:r>
    </w:p>
    <w:p>
      <w:pPr>
        <w:pStyle w:val="NormalWeb"/>
        <w:spacing w:lineRule="auto" w:line="240" w:beforeAutospacing="0" w:before="0" w:after="60"/>
        <w:rPr>
          <w:sz w:val="22"/>
          <w:szCs w:val="22"/>
        </w:rPr>
      </w:pPr>
      <w:r>
        <w:rPr>
          <w:sz w:val="22"/>
          <w:szCs w:val="22"/>
        </w:rPr>
        <w:t>6. Ograniczenie odpowiedzialności Wykonawcy wyłącznie do szkody rzeczywistej nie ma zastosowania do szkód powstałych z winy umyślnej, rażącego niedbalstwa lub naruszenia obowiązków wynikających z Umowy.</w:t>
      </w:r>
    </w:p>
    <w:p>
      <w:pPr>
        <w:pStyle w:val="NormalWeb"/>
        <w:spacing w:lineRule="auto" w:line="240" w:beforeAutospacing="0" w:before="0" w:after="60"/>
        <w:rPr>
          <w:sz w:val="22"/>
          <w:szCs w:val="22"/>
        </w:rPr>
      </w:pPr>
      <w:r>
        <w:rPr>
          <w:sz w:val="22"/>
          <w:szCs w:val="22"/>
        </w:rPr>
        <w:t>7. Zamawiający jest uprawniony do potrącenia naliczonych kar umownych z wynagrodzenia należnego Wykonawcy, na co Wykonawca wyraża zgodę.</w:t>
      </w:r>
    </w:p>
    <w:p>
      <w:pPr>
        <w:pStyle w:val="NormalWeb"/>
        <w:spacing w:lineRule="auto" w:line="240" w:beforeAutospacing="0" w:before="0" w:after="60"/>
        <w:rPr>
          <w:sz w:val="22"/>
          <w:szCs w:val="22"/>
        </w:rPr>
      </w:pPr>
      <w:r>
        <w:rPr>
          <w:sz w:val="22"/>
          <w:szCs w:val="22"/>
        </w:rPr>
        <w:t>8. Zapłata kar umownych nie wyłącza prawa Zamawiającego do dochodzenia odszkodowania przewyższającego wysokość zastrzeżonych kar umownych na zasadach ogólnych. Zamawiający ma prawo dochodzić odszkodowania w pełnej wysokości w przypadku, gdy szkoda przewyższa wysokość zastrzeżonych kar umownych.</w:t>
      </w:r>
    </w:p>
    <w:p>
      <w:pPr>
        <w:pStyle w:val="NormalWeb"/>
        <w:spacing w:lineRule="auto" w:line="240" w:beforeAutospacing="0" w:before="0" w:after="60"/>
        <w:rPr>
          <w:sz w:val="22"/>
          <w:szCs w:val="22"/>
        </w:rPr>
      </w:pPr>
      <w:r>
        <w:rPr>
          <w:sz w:val="22"/>
          <w:szCs w:val="22"/>
        </w:rPr>
      </w:r>
    </w:p>
    <w:p>
      <w:pPr>
        <w:pStyle w:val="NormalWeb"/>
        <w:spacing w:lineRule="auto" w:line="240" w:beforeAutospacing="0" w:before="0" w:after="0"/>
        <w:jc w:val="center"/>
        <w:rPr>
          <w:b/>
          <w:bCs/>
          <w:sz w:val="22"/>
          <w:szCs w:val="22"/>
        </w:rPr>
      </w:pPr>
      <w:r>
        <w:rPr>
          <w:b/>
          <w:bCs/>
          <w:sz w:val="22"/>
          <w:szCs w:val="22"/>
        </w:rPr>
        <w:t>§ 14</w:t>
      </w:r>
    </w:p>
    <w:p>
      <w:pPr>
        <w:pStyle w:val="NormalWeb"/>
        <w:spacing w:lineRule="auto" w:line="240" w:beforeAutospacing="0" w:before="0" w:after="0"/>
        <w:jc w:val="center"/>
        <w:rPr>
          <w:b/>
          <w:bCs/>
          <w:sz w:val="22"/>
          <w:szCs w:val="22"/>
        </w:rPr>
      </w:pPr>
      <w:r>
        <w:rPr>
          <w:b/>
          <w:bCs/>
          <w:sz w:val="22"/>
          <w:szCs w:val="22"/>
        </w:rPr>
        <w:t>Rozwiązanie umowy i odstąpienie od umowy</w:t>
      </w:r>
    </w:p>
    <w:p>
      <w:pPr>
        <w:pStyle w:val="NormalWeb"/>
        <w:spacing w:lineRule="auto" w:line="240" w:beforeAutospacing="0" w:before="0" w:after="0"/>
        <w:rPr>
          <w:sz w:val="22"/>
          <w:szCs w:val="22"/>
        </w:rPr>
      </w:pPr>
      <w:r>
        <w:rPr>
          <w:sz w:val="22"/>
          <w:szCs w:val="22"/>
        </w:rPr>
      </w:r>
    </w:p>
    <w:p>
      <w:pPr>
        <w:pStyle w:val="NormalWeb"/>
        <w:numPr>
          <w:ilvl w:val="0"/>
          <w:numId w:val="25"/>
        </w:numPr>
        <w:spacing w:lineRule="auto" w:line="240" w:beforeAutospacing="0" w:before="0" w:after="0"/>
        <w:jc w:val="start"/>
        <w:rPr>
          <w:sz w:val="22"/>
          <w:szCs w:val="22"/>
        </w:rPr>
      </w:pPr>
      <w:r>
        <w:rPr>
          <w:sz w:val="22"/>
          <w:szCs w:val="22"/>
        </w:rPr>
        <w:t>Zamawiający jest uprawniony do odstąpienia od Umowy w całości lub w części ze skutkiem natychmiastowym, w przypadku gdy:</w:t>
      </w:r>
    </w:p>
    <w:p>
      <w:pPr>
        <w:pStyle w:val="NormalWeb"/>
        <w:numPr>
          <w:ilvl w:val="3"/>
          <w:numId w:val="25"/>
        </w:numPr>
        <w:spacing w:lineRule="auto" w:line="240" w:beforeAutospacing="0" w:before="0" w:after="0"/>
        <w:ind w:hanging="360" w:start="993"/>
        <w:jc w:val="start"/>
        <w:rPr>
          <w:sz w:val="22"/>
          <w:szCs w:val="22"/>
        </w:rPr>
      </w:pPr>
      <w:r>
        <w:rPr>
          <w:sz w:val="22"/>
          <w:szCs w:val="22"/>
        </w:rPr>
        <w:t>Wykonawca pozostaje w zwłoce z realizacją któregokolwiek z etapów określonych w Harmonogramie o więcej niż 30 dni roboczych,</w:t>
      </w:r>
    </w:p>
    <w:p>
      <w:pPr>
        <w:pStyle w:val="NormalWeb"/>
        <w:numPr>
          <w:ilvl w:val="3"/>
          <w:numId w:val="25"/>
        </w:numPr>
        <w:spacing w:lineRule="auto" w:line="240" w:beforeAutospacing="0" w:before="0" w:after="0"/>
        <w:ind w:hanging="360" w:start="993"/>
        <w:jc w:val="start"/>
        <w:rPr>
          <w:sz w:val="22"/>
          <w:szCs w:val="22"/>
        </w:rPr>
      </w:pPr>
      <w:r>
        <w:rPr>
          <w:sz w:val="22"/>
          <w:szCs w:val="22"/>
        </w:rPr>
        <w:t>z okoliczności sprawy wynika, że wykonawca nie będzie w stanie wykonywać Umowy  w terminie określonym w Haromonogramie,</w:t>
      </w:r>
    </w:p>
    <w:p>
      <w:pPr>
        <w:pStyle w:val="NormalWeb"/>
        <w:numPr>
          <w:ilvl w:val="3"/>
          <w:numId w:val="25"/>
        </w:numPr>
        <w:spacing w:lineRule="auto" w:line="240" w:beforeAutospacing="0" w:before="0" w:after="0"/>
        <w:ind w:hanging="360" w:start="993"/>
        <w:jc w:val="start"/>
        <w:rPr>
          <w:sz w:val="22"/>
          <w:szCs w:val="22"/>
        </w:rPr>
      </w:pPr>
      <w:r>
        <w:rPr>
          <w:sz w:val="22"/>
          <w:szCs w:val="22"/>
        </w:rPr>
        <w:t>dostarczony System nie spełnia wymagań określonych w Opisie Przedmiotu Zamówienia, a Wykonawca nie doprowadzi go do zgodności w terminie wyznaczonym przez Zamawiającego,</w:t>
      </w:r>
    </w:p>
    <w:p>
      <w:pPr>
        <w:pStyle w:val="NormalWeb"/>
        <w:numPr>
          <w:ilvl w:val="0"/>
          <w:numId w:val="26"/>
        </w:numPr>
        <w:spacing w:lineRule="auto" w:line="240" w:beforeAutospacing="0" w:before="0" w:after="0"/>
        <w:jc w:val="start"/>
        <w:rPr>
          <w:sz w:val="22"/>
          <w:szCs w:val="22"/>
        </w:rPr>
      </w:pPr>
      <w:r>
        <w:rPr>
          <w:sz w:val="22"/>
          <w:szCs w:val="22"/>
        </w:rPr>
        <w:t>Zamawiający może wypowiedzieć Umowę ze skutkiem na koniec miesiąca kalendarzowego z zachowaniem 14 dniowego okresu wypowiedzenia w przypadku:</w:t>
      </w:r>
    </w:p>
    <w:p>
      <w:pPr>
        <w:pStyle w:val="Default"/>
        <w:ind w:start="709"/>
        <w:rPr>
          <w:b/>
          <w:bCs/>
          <w:color w:val="auto"/>
          <w:sz w:val="22"/>
          <w:szCs w:val="22"/>
        </w:rPr>
      </w:pPr>
      <w:r>
        <w:rPr>
          <w:color w:val="auto"/>
          <w:sz w:val="22"/>
          <w:szCs w:val="22"/>
        </w:rPr>
        <w:t>1) Wykonawca nie zapewnia świadczenia usług serwisowych, o których mowa w § 11 ust. 2</w:t>
      </w:r>
    </w:p>
    <w:p>
      <w:pPr>
        <w:pStyle w:val="Default"/>
        <w:ind w:start="709"/>
        <w:rPr>
          <w:color w:val="auto"/>
          <w:sz w:val="22"/>
          <w:szCs w:val="22"/>
        </w:rPr>
      </w:pPr>
      <w:r>
        <w:rPr>
          <w:color w:val="auto"/>
          <w:sz w:val="22"/>
          <w:szCs w:val="22"/>
        </w:rPr>
        <w:t xml:space="preserve"> </w:t>
      </w:r>
      <w:r>
        <w:rPr>
          <w:color w:val="auto"/>
          <w:sz w:val="22"/>
          <w:szCs w:val="22"/>
        </w:rPr>
        <w:t>zgodnie z Umową, w sposób powtarzający się (co najmniej trzykrotnie w okresie miesiąca</w:t>
      </w:r>
    </w:p>
    <w:p>
      <w:pPr>
        <w:pStyle w:val="Default"/>
        <w:ind w:start="709"/>
        <w:rPr>
          <w:color w:val="auto"/>
          <w:sz w:val="22"/>
          <w:szCs w:val="22"/>
        </w:rPr>
      </w:pPr>
      <w:r>
        <w:rPr>
          <w:color w:val="auto"/>
          <w:sz w:val="22"/>
          <w:szCs w:val="22"/>
        </w:rPr>
        <w:t>kalendarzowego),</w:t>
      </w:r>
    </w:p>
    <w:p>
      <w:pPr>
        <w:pStyle w:val="Default"/>
        <w:ind w:start="709"/>
        <w:rPr>
          <w:color w:val="auto"/>
          <w:sz w:val="22"/>
          <w:szCs w:val="22"/>
        </w:rPr>
      </w:pPr>
      <w:r>
        <w:rPr>
          <w:color w:val="auto"/>
          <w:sz w:val="22"/>
          <w:szCs w:val="22"/>
        </w:rPr>
        <w:t>2) utraty przez System zdolności do realizacji funkcji określonych w Umowie, a Wykonawca nie doprowadzi go do zgodności w terminie wyznaczonym przez Zamawiającego,</w:t>
      </w:r>
    </w:p>
    <w:p>
      <w:pPr>
        <w:pStyle w:val="NormalWeb"/>
        <w:spacing w:lineRule="auto" w:line="240" w:beforeAutospacing="0" w:before="0" w:after="0"/>
        <w:ind w:start="709"/>
        <w:jc w:val="start"/>
        <w:rPr>
          <w:sz w:val="22"/>
          <w:szCs w:val="22"/>
        </w:rPr>
      </w:pPr>
      <w:r>
        <w:rPr>
          <w:sz w:val="22"/>
          <w:szCs w:val="22"/>
        </w:rPr>
        <w:t>3) Wykonawca utraci zdolność do realizacji Umowy, w szczególności w wyniku wszczęcia postępowania upadłościowego, restrukturyzacyjnego lub likwidacyjnego,</w:t>
      </w:r>
    </w:p>
    <w:p>
      <w:pPr>
        <w:pStyle w:val="NormalWeb"/>
        <w:spacing w:lineRule="auto" w:line="240" w:beforeAutospacing="0" w:before="0" w:after="0"/>
        <w:ind w:start="709"/>
        <w:jc w:val="start"/>
        <w:rPr>
          <w:sz w:val="22"/>
          <w:szCs w:val="22"/>
        </w:rPr>
      </w:pPr>
      <w:r>
        <w:rPr>
          <w:sz w:val="22"/>
          <w:szCs w:val="22"/>
        </w:rPr>
        <w:t>4) Wykonawca naruszy prawa osób trzecich, w szczególności w zakresie praw autorskich lub licencyjnych.</w:t>
      </w:r>
    </w:p>
    <w:p>
      <w:pPr>
        <w:pStyle w:val="NormalWeb"/>
        <w:numPr>
          <w:ilvl w:val="0"/>
          <w:numId w:val="27"/>
        </w:numPr>
        <w:spacing w:lineRule="auto" w:line="240" w:beforeAutospacing="0" w:before="0" w:after="0"/>
        <w:rPr>
          <w:sz w:val="22"/>
          <w:szCs w:val="22"/>
        </w:rPr>
      </w:pPr>
      <w:r>
        <w:rPr>
          <w:sz w:val="22"/>
          <w:szCs w:val="22"/>
        </w:rPr>
        <w:t>W przypadku odstąpienia od Umowy przez Zamawiającego z przyczyn leżących po stronie Wykonawcy:</w:t>
      </w:r>
    </w:p>
    <w:p>
      <w:pPr>
        <w:pStyle w:val="NormalWeb"/>
        <w:numPr>
          <w:ilvl w:val="2"/>
          <w:numId w:val="27"/>
        </w:numPr>
        <w:spacing w:lineRule="auto" w:line="240" w:beforeAutospacing="0" w:before="0" w:after="0"/>
        <w:ind w:hanging="317" w:start="1418"/>
        <w:rPr>
          <w:sz w:val="22"/>
          <w:szCs w:val="22"/>
        </w:rPr>
      </w:pPr>
      <w:r>
        <w:rPr>
          <w:sz w:val="22"/>
          <w:szCs w:val="22"/>
        </w:rPr>
        <w:t>Wykonawca zobowiązany jest do zwrotu wynagrodzenia otrzymanego za niewykonaną część Umowy,</w:t>
      </w:r>
    </w:p>
    <w:p>
      <w:pPr>
        <w:pStyle w:val="NormalWeb"/>
        <w:numPr>
          <w:ilvl w:val="2"/>
          <w:numId w:val="27"/>
        </w:numPr>
        <w:spacing w:lineRule="auto" w:line="240" w:beforeAutospacing="0" w:before="0" w:after="0"/>
        <w:ind w:hanging="360" w:start="1418"/>
        <w:rPr>
          <w:sz w:val="22"/>
          <w:szCs w:val="22"/>
        </w:rPr>
      </w:pPr>
      <w:r>
        <w:rPr>
          <w:sz w:val="22"/>
          <w:szCs w:val="22"/>
        </w:rPr>
        <w:t>Zamawiający zachowuje prawo do naliczenia kar umownych,</w:t>
      </w:r>
    </w:p>
    <w:p>
      <w:pPr>
        <w:pStyle w:val="NormalWeb"/>
        <w:numPr>
          <w:ilvl w:val="2"/>
          <w:numId w:val="27"/>
        </w:numPr>
        <w:spacing w:lineRule="auto" w:line="240" w:beforeAutospacing="0" w:before="0" w:after="0"/>
        <w:ind w:hanging="360" w:start="1418"/>
        <w:rPr>
          <w:sz w:val="22"/>
          <w:szCs w:val="22"/>
        </w:rPr>
      </w:pPr>
      <w:r>
        <w:rPr>
          <w:sz w:val="22"/>
          <w:szCs w:val="22"/>
        </w:rPr>
        <w:t xml:space="preserve">Zamawiający ma prawo dochodzić odszkodowania uzupełniającego przewyższającego kary umowne. </w:t>
      </w:r>
    </w:p>
    <w:p>
      <w:pPr>
        <w:pStyle w:val="NormalWeb"/>
        <w:numPr>
          <w:ilvl w:val="0"/>
          <w:numId w:val="28"/>
        </w:numPr>
        <w:spacing w:lineRule="auto" w:line="240" w:beforeAutospacing="0" w:before="0" w:after="0"/>
        <w:rPr>
          <w:sz w:val="22"/>
          <w:szCs w:val="22"/>
        </w:rPr>
      </w:pPr>
      <w:r>
        <w:rPr>
          <w:sz w:val="22"/>
          <w:szCs w:val="22"/>
        </w:rPr>
        <w:t>W przypadku rozwiązania lub odstąpienia od Umowy Wykonawca zobowiązuje się:</w:t>
      </w:r>
    </w:p>
    <w:p>
      <w:pPr>
        <w:pStyle w:val="NormalWeb"/>
        <w:numPr>
          <w:ilvl w:val="1"/>
          <w:numId w:val="28"/>
        </w:numPr>
        <w:spacing w:lineRule="auto" w:line="240" w:beforeAutospacing="0" w:before="0" w:after="0"/>
        <w:rPr>
          <w:sz w:val="22"/>
          <w:szCs w:val="22"/>
        </w:rPr>
      </w:pPr>
      <w:r>
        <w:rPr>
          <w:sz w:val="22"/>
          <w:szCs w:val="22"/>
        </w:rPr>
        <w:t>przekazać Zamawiającemu wszystkie dane zgromadzone w Systemie w ustrukturyzowanej i powszechnie stosowanej formie,</w:t>
      </w:r>
    </w:p>
    <w:p>
      <w:pPr>
        <w:pStyle w:val="NormalWeb"/>
        <w:numPr>
          <w:ilvl w:val="1"/>
          <w:numId w:val="28"/>
        </w:numPr>
        <w:spacing w:lineRule="auto" w:line="240" w:beforeAutospacing="0" w:before="0" w:after="0"/>
        <w:rPr>
          <w:sz w:val="22"/>
          <w:szCs w:val="22"/>
        </w:rPr>
      </w:pPr>
      <w:r>
        <w:rPr>
          <w:sz w:val="22"/>
          <w:szCs w:val="22"/>
        </w:rPr>
        <w:t>przekazać dokumentację Systemu oraz konfiguracji,</w:t>
      </w:r>
    </w:p>
    <w:p>
      <w:pPr>
        <w:pStyle w:val="NormalWeb"/>
        <w:numPr>
          <w:ilvl w:val="1"/>
          <w:numId w:val="28"/>
        </w:numPr>
        <w:spacing w:lineRule="auto" w:line="240" w:beforeAutospacing="0" w:before="0" w:after="0"/>
        <w:rPr>
          <w:sz w:val="22"/>
          <w:szCs w:val="22"/>
        </w:rPr>
      </w:pPr>
      <w:r>
        <w:rPr>
          <w:sz w:val="22"/>
          <w:szCs w:val="22"/>
        </w:rPr>
        <w:t>współdziałać przy migracji danych i Systemu do innego rozwiązania przez okres co najmniej 30 dni od rozwiązania Umowy, bez dodatkowego wynagrodzenia (w zakresie niezbędnym do zapewnienia ciągłości działania),</w:t>
      </w:r>
    </w:p>
    <w:p>
      <w:pPr>
        <w:pStyle w:val="NormalWeb"/>
        <w:numPr>
          <w:ilvl w:val="1"/>
          <w:numId w:val="28"/>
        </w:numPr>
        <w:spacing w:lineRule="auto" w:line="240" w:beforeAutospacing="0" w:before="0" w:after="0"/>
        <w:rPr>
          <w:sz w:val="22"/>
          <w:szCs w:val="22"/>
        </w:rPr>
      </w:pPr>
      <w:r>
        <w:rPr>
          <w:sz w:val="22"/>
          <w:szCs w:val="22"/>
        </w:rPr>
        <w:t>zaprzestać korzystania z danych Zamawiającego i trwale je usunąć (z wyjątkiem przypadków wymaganych przepisami prawa).</w:t>
      </w:r>
    </w:p>
    <w:p>
      <w:pPr>
        <w:pStyle w:val="NormalWeb"/>
        <w:numPr>
          <w:ilvl w:val="0"/>
          <w:numId w:val="29"/>
        </w:numPr>
        <w:spacing w:lineRule="auto" w:line="240" w:beforeAutospacing="0" w:before="0" w:after="0"/>
        <w:rPr>
          <w:sz w:val="22"/>
          <w:szCs w:val="22"/>
        </w:rPr>
      </w:pPr>
      <w:r>
        <w:rPr>
          <w:sz w:val="22"/>
          <w:szCs w:val="22"/>
        </w:rPr>
        <w:t>Odstąpienie od Umowy może nastąpić w terminie do 30 dni od dnia powzięcia przez Zamawiającego informacji o okoliczności uzasadniającej odstąpienie.</w:t>
      </w:r>
    </w:p>
    <w:p>
      <w:pPr>
        <w:pStyle w:val="NormalWeb"/>
        <w:numPr>
          <w:ilvl w:val="0"/>
          <w:numId w:val="29"/>
        </w:numPr>
        <w:spacing w:lineRule="auto" w:line="240" w:beforeAutospacing="0" w:before="0" w:after="0"/>
        <w:rPr>
          <w:sz w:val="22"/>
          <w:szCs w:val="22"/>
        </w:rPr>
      </w:pPr>
      <w:r>
        <w:rPr>
          <w:sz w:val="22"/>
          <w:szCs w:val="22"/>
        </w:rPr>
        <w:t>Rozwiązanie Umowy nie wpływa na:</w:t>
      </w:r>
    </w:p>
    <w:p>
      <w:pPr>
        <w:pStyle w:val="NormalWeb"/>
        <w:numPr>
          <w:ilvl w:val="2"/>
          <w:numId w:val="29"/>
        </w:numPr>
        <w:spacing w:lineRule="auto" w:line="240" w:beforeAutospacing="0" w:before="0" w:after="0"/>
        <w:ind w:hanging="360" w:start="1276"/>
        <w:rPr>
          <w:sz w:val="22"/>
          <w:szCs w:val="22"/>
        </w:rPr>
      </w:pPr>
      <w:r>
        <w:rPr>
          <w:sz w:val="22"/>
          <w:szCs w:val="22"/>
        </w:rPr>
        <w:t xml:space="preserve">obowiązywanie udzielonych licencji w zakresie odpowiadającym wynagrodzeniu zapłaconemu przez Zamawiającego oraz w zakresie niezbędnym do zapewnienia ciągłości działania Systemu, </w:t>
      </w:r>
    </w:p>
    <w:p>
      <w:pPr>
        <w:pStyle w:val="NormalWeb"/>
        <w:numPr>
          <w:ilvl w:val="2"/>
          <w:numId w:val="29"/>
        </w:numPr>
        <w:spacing w:lineRule="auto" w:line="240" w:beforeAutospacing="0" w:before="0" w:after="0"/>
        <w:ind w:hanging="360" w:start="1276"/>
        <w:rPr>
          <w:sz w:val="22"/>
          <w:szCs w:val="22"/>
        </w:rPr>
      </w:pPr>
      <w:r>
        <w:rPr>
          <w:sz w:val="22"/>
          <w:szCs w:val="22"/>
        </w:rPr>
        <w:t>prawa Zamawiającego do korzystania z Systemu w zakresie niezbędnym do zachowania ciągłości działania,</w:t>
      </w:r>
    </w:p>
    <w:p>
      <w:pPr>
        <w:pStyle w:val="NormalWeb"/>
        <w:numPr>
          <w:ilvl w:val="2"/>
          <w:numId w:val="29"/>
        </w:numPr>
        <w:spacing w:lineRule="auto" w:line="240" w:beforeAutospacing="0" w:before="0" w:after="0"/>
        <w:ind w:hanging="360" w:start="1276"/>
        <w:rPr>
          <w:sz w:val="22"/>
          <w:szCs w:val="22"/>
        </w:rPr>
      </w:pPr>
      <w:r>
        <w:rPr>
          <w:sz w:val="22"/>
          <w:szCs w:val="22"/>
        </w:rPr>
        <w:t>postanowienia dotyczące kar umownych i odpowiedzialności.</w:t>
      </w:r>
    </w:p>
    <w:p>
      <w:pPr>
        <w:pStyle w:val="NormalWeb"/>
        <w:spacing w:lineRule="auto" w:line="240" w:beforeAutospacing="0" w:before="0" w:after="0"/>
        <w:ind w:start="1276"/>
        <w:rPr>
          <w:color w:val="C00000"/>
          <w:sz w:val="22"/>
          <w:szCs w:val="22"/>
        </w:rPr>
      </w:pPr>
      <w:r>
        <w:rPr>
          <w:color w:val="C00000"/>
          <w:sz w:val="22"/>
          <w:szCs w:val="22"/>
        </w:rPr>
      </w:r>
    </w:p>
    <w:p>
      <w:pPr>
        <w:pStyle w:val="Normal"/>
        <w:spacing w:lineRule="auto" w:line="240" w:before="60" w:after="60"/>
        <w:jc w:val="center"/>
        <w:rPr>
          <w:rFonts w:ascii="Times New Roman" w:hAnsi="Times New Roman" w:cs="Times New Roman"/>
          <w:b/>
          <w:bCs/>
        </w:rPr>
      </w:pPr>
      <w:r>
        <w:rPr>
          <w:rFonts w:cs="Times New Roman" w:ascii="Times New Roman" w:hAnsi="Times New Roman"/>
          <w:b/>
          <w:bCs/>
        </w:rPr>
        <w:t>§ 15</w:t>
      </w:r>
    </w:p>
    <w:p>
      <w:pPr>
        <w:pStyle w:val="Normal"/>
        <w:spacing w:lineRule="auto" w:line="240" w:before="60" w:after="60"/>
        <w:jc w:val="center"/>
        <w:rPr>
          <w:rFonts w:ascii="Times New Roman" w:hAnsi="Times New Roman" w:cs="Times New Roman"/>
          <w:b/>
          <w:bCs/>
        </w:rPr>
      </w:pPr>
      <w:r>
        <w:rPr>
          <w:rFonts w:cs="Times New Roman" w:ascii="Times New Roman" w:hAnsi="Times New Roman"/>
          <w:b/>
          <w:bCs/>
        </w:rPr>
        <w:t xml:space="preserve">Postanowienia końcowe </w:t>
      </w:r>
    </w:p>
    <w:p>
      <w:pPr>
        <w:pStyle w:val="Default"/>
        <w:numPr>
          <w:ilvl w:val="3"/>
          <w:numId w:val="9"/>
        </w:numPr>
        <w:spacing w:before="60" w:after="60"/>
        <w:ind w:hanging="425" w:start="425"/>
        <w:jc w:val="both"/>
        <w:rPr>
          <w:color w:val="auto"/>
          <w:sz w:val="22"/>
          <w:szCs w:val="22"/>
        </w:rPr>
      </w:pPr>
      <w:r>
        <w:rPr>
          <w:color w:val="auto"/>
          <w:sz w:val="22"/>
          <w:szCs w:val="22"/>
        </w:rPr>
        <w:t xml:space="preserve">Osoby upoważnione do kontaktu ze Strony Zamawiającego: </w:t>
      </w:r>
    </w:p>
    <w:p>
      <w:pPr>
        <w:pStyle w:val="Default"/>
        <w:spacing w:before="60" w:after="60"/>
        <w:ind w:start="426"/>
        <w:jc w:val="both"/>
        <w:rPr>
          <w:color w:val="auto"/>
          <w:sz w:val="22"/>
          <w:szCs w:val="22"/>
        </w:rPr>
      </w:pPr>
      <w:r>
        <w:rPr>
          <w:color w:val="auto"/>
          <w:sz w:val="22"/>
          <w:szCs w:val="22"/>
        </w:rPr>
        <w:t>……………………</w:t>
      </w:r>
      <w:r>
        <w:rPr>
          <w:color w:val="auto"/>
          <w:sz w:val="22"/>
          <w:szCs w:val="22"/>
        </w:rPr>
        <w:t xml:space="preserve">.. tel. ………………. e-mail …………………………………. </w:t>
      </w:r>
    </w:p>
    <w:p>
      <w:pPr>
        <w:pStyle w:val="Default"/>
        <w:numPr>
          <w:ilvl w:val="3"/>
          <w:numId w:val="9"/>
        </w:numPr>
        <w:spacing w:before="60" w:after="60"/>
        <w:ind w:hanging="425" w:start="425"/>
        <w:jc w:val="both"/>
        <w:rPr>
          <w:color w:val="auto"/>
          <w:sz w:val="22"/>
          <w:szCs w:val="22"/>
        </w:rPr>
      </w:pPr>
      <w:r>
        <w:rPr>
          <w:color w:val="auto"/>
          <w:sz w:val="22"/>
          <w:szCs w:val="22"/>
        </w:rPr>
        <w:t xml:space="preserve">Osoby upoważnione do kontaktu ze Strony Wykonawcy: </w:t>
      </w:r>
    </w:p>
    <w:p>
      <w:pPr>
        <w:pStyle w:val="Default"/>
        <w:spacing w:before="60" w:after="60"/>
        <w:ind w:start="425"/>
        <w:jc w:val="both"/>
        <w:rPr>
          <w:color w:val="auto"/>
          <w:sz w:val="22"/>
          <w:szCs w:val="22"/>
        </w:rPr>
      </w:pPr>
      <w:r>
        <w:rPr>
          <w:color w:val="auto"/>
          <w:sz w:val="22"/>
          <w:szCs w:val="22"/>
        </w:rPr>
        <w:t>……………………</w:t>
      </w:r>
      <w:r>
        <w:rPr>
          <w:color w:val="auto"/>
          <w:sz w:val="22"/>
          <w:szCs w:val="22"/>
        </w:rPr>
        <w:t xml:space="preserve">.. tel. ………………. e-mail …………………………………. </w:t>
      </w:r>
    </w:p>
    <w:p>
      <w:pPr>
        <w:pStyle w:val="Default"/>
        <w:numPr>
          <w:ilvl w:val="3"/>
          <w:numId w:val="9"/>
        </w:numPr>
        <w:spacing w:before="60" w:after="60"/>
        <w:ind w:hanging="425" w:start="425"/>
        <w:jc w:val="both"/>
        <w:rPr>
          <w:color w:val="auto"/>
          <w:sz w:val="22"/>
          <w:szCs w:val="22"/>
        </w:rPr>
      </w:pPr>
      <w:r>
        <w:rPr>
          <w:color w:val="auto"/>
          <w:sz w:val="22"/>
          <w:szCs w:val="22"/>
        </w:rPr>
        <w:t xml:space="preserve">Strony uprawnione są do dokonywania według własnego uznania zmian osób upoważnionych do kontaktu, co nie stanowiło będzie zmiany niniejszej umowy i o czym powiadomią się niezwłocznie na piśmie. </w:t>
      </w:r>
    </w:p>
    <w:p>
      <w:pPr>
        <w:pStyle w:val="Default"/>
        <w:numPr>
          <w:ilvl w:val="3"/>
          <w:numId w:val="9"/>
        </w:numPr>
        <w:spacing w:before="60" w:after="60"/>
        <w:ind w:hanging="425" w:start="425"/>
        <w:jc w:val="both"/>
        <w:rPr>
          <w:color w:val="auto"/>
          <w:sz w:val="22"/>
          <w:szCs w:val="22"/>
        </w:rPr>
      </w:pPr>
      <w:r>
        <w:rPr>
          <w:color w:val="auto"/>
          <w:sz w:val="22"/>
          <w:szCs w:val="22"/>
        </w:rPr>
        <w:t xml:space="preserve">W sprawach nieuregulowanych niniejszą umową mają zastosowanie właściwe przepisy kodeksu cywilnego, przepisy powołane w Zapytaniu ofertowym i niniejszej Umowie oraz w następującej kolejności: </w:t>
      </w:r>
    </w:p>
    <w:p>
      <w:pPr>
        <w:pStyle w:val="Default"/>
        <w:numPr>
          <w:ilvl w:val="0"/>
          <w:numId w:val="10"/>
        </w:numPr>
        <w:tabs>
          <w:tab w:val="clear" w:pos="708"/>
          <w:tab w:val="left" w:pos="851" w:leader="none"/>
        </w:tabs>
        <w:spacing w:before="60" w:after="60"/>
        <w:ind w:hanging="426" w:start="851"/>
        <w:jc w:val="both"/>
        <w:rPr>
          <w:color w:val="auto"/>
          <w:sz w:val="22"/>
          <w:szCs w:val="22"/>
        </w:rPr>
      </w:pPr>
      <w:r>
        <w:rPr>
          <w:color w:val="auto"/>
          <w:sz w:val="22"/>
          <w:szCs w:val="22"/>
        </w:rPr>
        <w:t>treść zapytania ofertowego,</w:t>
      </w:r>
    </w:p>
    <w:p>
      <w:pPr>
        <w:pStyle w:val="Default"/>
        <w:numPr>
          <w:ilvl w:val="0"/>
          <w:numId w:val="10"/>
        </w:numPr>
        <w:tabs>
          <w:tab w:val="clear" w:pos="708"/>
          <w:tab w:val="left" w:pos="851" w:leader="none"/>
        </w:tabs>
        <w:spacing w:before="60" w:after="60"/>
        <w:ind w:hanging="426" w:start="851"/>
        <w:jc w:val="both"/>
        <w:rPr>
          <w:color w:val="auto"/>
          <w:sz w:val="22"/>
          <w:szCs w:val="22"/>
        </w:rPr>
      </w:pPr>
      <w:r>
        <w:rPr>
          <w:color w:val="auto"/>
          <w:sz w:val="22"/>
          <w:szCs w:val="22"/>
        </w:rPr>
        <w:t>treść oferty złożonej przez Wykonawcę.</w:t>
      </w:r>
    </w:p>
    <w:p>
      <w:pPr>
        <w:pStyle w:val="Default"/>
        <w:numPr>
          <w:ilvl w:val="3"/>
          <w:numId w:val="9"/>
        </w:numPr>
        <w:spacing w:before="60" w:after="60"/>
        <w:ind w:hanging="425" w:start="425"/>
        <w:jc w:val="both"/>
        <w:rPr>
          <w:color w:val="auto"/>
          <w:sz w:val="22"/>
          <w:szCs w:val="22"/>
        </w:rPr>
      </w:pPr>
      <w:r>
        <w:rPr>
          <w:color w:val="auto"/>
          <w:sz w:val="22"/>
          <w:szCs w:val="22"/>
        </w:rPr>
        <w:t xml:space="preserve">Spory wynikłe na tle realizacji niniejszej umowy będą rozstrzygane przez sąd właściwy dla siedziby Zamawiającego. </w:t>
      </w:r>
    </w:p>
    <w:p>
      <w:pPr>
        <w:pStyle w:val="Default"/>
        <w:numPr>
          <w:ilvl w:val="3"/>
          <w:numId w:val="9"/>
        </w:numPr>
        <w:spacing w:before="60" w:after="60"/>
        <w:ind w:hanging="425" w:start="425"/>
        <w:jc w:val="both"/>
        <w:rPr>
          <w:color w:val="auto"/>
          <w:sz w:val="22"/>
          <w:szCs w:val="22"/>
        </w:rPr>
      </w:pPr>
      <w:r>
        <w:rPr>
          <w:color w:val="auto"/>
          <w:sz w:val="22"/>
          <w:szCs w:val="22"/>
        </w:rPr>
        <w:t xml:space="preserve">Wszelkie zmiany w umowie lub jej załącznikach muszą być dokonane w formie pisemnej pod rygorem nieważności. </w:t>
      </w:r>
    </w:p>
    <w:p>
      <w:pPr>
        <w:pStyle w:val="Default"/>
        <w:numPr>
          <w:ilvl w:val="3"/>
          <w:numId w:val="9"/>
        </w:numPr>
        <w:spacing w:before="60" w:after="60"/>
        <w:ind w:hanging="425" w:start="425"/>
        <w:jc w:val="both"/>
        <w:rPr>
          <w:color w:val="auto"/>
          <w:sz w:val="22"/>
          <w:szCs w:val="22"/>
        </w:rPr>
      </w:pPr>
      <w:r>
        <w:rPr>
          <w:color w:val="auto"/>
          <w:sz w:val="22"/>
          <w:szCs w:val="22"/>
        </w:rPr>
        <w:t xml:space="preserve">Strony mają obowiązek wzajemnego powiadomienia o każdej zmianie adresu do korespondencji wskazanego w niniejszej umowie pod rygorem uznania korespondencji kierowanej na dotychczasowy adres za doręczoną prawidłowo. </w:t>
      </w:r>
    </w:p>
    <w:p>
      <w:pPr>
        <w:pStyle w:val="Default"/>
        <w:numPr>
          <w:ilvl w:val="3"/>
          <w:numId w:val="9"/>
        </w:numPr>
        <w:spacing w:before="60" w:after="60"/>
        <w:ind w:hanging="425" w:start="425"/>
        <w:jc w:val="both"/>
        <w:rPr>
          <w:color w:val="auto"/>
          <w:sz w:val="22"/>
          <w:szCs w:val="22"/>
        </w:rPr>
      </w:pPr>
      <w:r>
        <w:rPr>
          <w:color w:val="auto"/>
          <w:sz w:val="22"/>
          <w:szCs w:val="22"/>
        </w:rPr>
        <w:t xml:space="preserve">Umowę sporządzono w dwóch jednobrzmiących egzemplarzach, po jednym dla każdej ze Stron. </w:t>
      </w:r>
    </w:p>
    <w:p>
      <w:pPr>
        <w:pStyle w:val="Default"/>
        <w:spacing w:before="60" w:after="60"/>
        <w:ind w:start="425"/>
        <w:jc w:val="both"/>
        <w:rPr>
          <w:color w:val="auto"/>
          <w:sz w:val="22"/>
          <w:szCs w:val="22"/>
        </w:rPr>
      </w:pPr>
      <w:r>
        <w:rPr>
          <w:color w:val="auto"/>
          <w:sz w:val="22"/>
          <w:szCs w:val="22"/>
        </w:rPr>
      </w:r>
    </w:p>
    <w:p>
      <w:pPr>
        <w:pStyle w:val="Default"/>
        <w:spacing w:before="0" w:after="60"/>
        <w:rPr>
          <w:b/>
          <w:bCs/>
          <w:color w:val="auto"/>
          <w:sz w:val="22"/>
          <w:szCs w:val="22"/>
        </w:rPr>
      </w:pPr>
      <w:r>
        <w:rPr>
          <w:b/>
          <w:bCs/>
          <w:color w:val="auto"/>
          <w:sz w:val="22"/>
          <w:szCs w:val="22"/>
        </w:rPr>
        <w:t>Załączniki:</w:t>
      </w:r>
    </w:p>
    <w:p>
      <w:pPr>
        <w:pStyle w:val="Default"/>
        <w:spacing w:before="0" w:after="60"/>
        <w:rPr>
          <w:color w:val="auto"/>
          <w:sz w:val="22"/>
          <w:szCs w:val="22"/>
        </w:rPr>
      </w:pPr>
      <w:r>
        <w:rPr>
          <w:color w:val="auto"/>
          <w:sz w:val="22"/>
          <w:szCs w:val="22"/>
        </w:rPr>
        <w:t>Załącznik nr 1 Powierzenie przetwarzania danych osobowych</w:t>
      </w:r>
    </w:p>
    <w:p>
      <w:pPr>
        <w:pStyle w:val="Default"/>
        <w:spacing w:before="0" w:after="60"/>
        <w:rPr>
          <w:color w:val="auto"/>
          <w:sz w:val="22"/>
          <w:szCs w:val="22"/>
        </w:rPr>
      </w:pPr>
      <w:r>
        <w:rPr>
          <w:color w:val="auto"/>
          <w:sz w:val="22"/>
          <w:szCs w:val="22"/>
        </w:rPr>
        <w:t>Załącznik nr 2 Specyfikacja Warunków Zamówienia</w:t>
      </w:r>
    </w:p>
    <w:p>
      <w:pPr>
        <w:pStyle w:val="Default"/>
        <w:spacing w:before="0" w:after="60"/>
        <w:rPr>
          <w:color w:val="auto"/>
          <w:sz w:val="22"/>
          <w:szCs w:val="22"/>
        </w:rPr>
      </w:pPr>
      <w:r>
        <w:rPr>
          <w:color w:val="auto"/>
          <w:sz w:val="22"/>
          <w:szCs w:val="22"/>
        </w:rPr>
        <w:t>Załącznik nr 3 Opis przedmiotu zamówienia</w:t>
      </w:r>
    </w:p>
    <w:p>
      <w:pPr>
        <w:pStyle w:val="Default"/>
        <w:spacing w:before="0" w:after="60"/>
        <w:rPr>
          <w:color w:val="auto"/>
          <w:sz w:val="22"/>
          <w:szCs w:val="22"/>
        </w:rPr>
      </w:pPr>
      <w:r>
        <w:rPr>
          <w:color w:val="auto"/>
          <w:sz w:val="22"/>
          <w:szCs w:val="22"/>
        </w:rPr>
        <w:t>Załącznik nr 4 Oferta Wykonawcy</w:t>
      </w:r>
    </w:p>
    <w:p>
      <w:pPr>
        <w:pStyle w:val="Default"/>
        <w:spacing w:before="0" w:after="60"/>
        <w:rPr>
          <w:color w:val="auto"/>
          <w:sz w:val="22"/>
          <w:szCs w:val="22"/>
        </w:rPr>
      </w:pPr>
      <w:r>
        <w:rPr>
          <w:color w:val="auto"/>
          <w:sz w:val="22"/>
          <w:szCs w:val="22"/>
        </w:rPr>
        <w:t>Załącznik nr 5 Harmonogram wdrożenia</w:t>
      </w:r>
    </w:p>
    <w:p>
      <w:pPr>
        <w:pStyle w:val="Default"/>
        <w:spacing w:before="0" w:after="60"/>
        <w:rPr>
          <w:color w:val="auto"/>
          <w:sz w:val="22"/>
          <w:szCs w:val="22"/>
        </w:rPr>
      </w:pPr>
      <w:r>
        <w:rPr>
          <w:color w:val="auto"/>
          <w:sz w:val="22"/>
          <w:szCs w:val="22"/>
        </w:rPr>
      </w:r>
    </w:p>
    <w:p>
      <w:pPr>
        <w:pStyle w:val="Default"/>
        <w:spacing w:before="0" w:after="60"/>
        <w:rPr>
          <w:color w:val="auto"/>
          <w:sz w:val="22"/>
          <w:szCs w:val="22"/>
        </w:rPr>
      </w:pPr>
      <w:r>
        <w:rPr>
          <w:color w:val="auto"/>
          <w:sz w:val="22"/>
          <w:szCs w:val="22"/>
        </w:rPr>
      </w:r>
    </w:p>
    <w:p>
      <w:pPr>
        <w:pStyle w:val="Normal"/>
        <w:spacing w:lineRule="auto" w:line="240" w:before="0" w:after="60"/>
        <w:ind w:firstLine="426"/>
        <w:jc w:val="center"/>
        <w:rPr>
          <w:rFonts w:ascii="Times New Roman" w:hAnsi="Times New Roman" w:cs="Times New Roman"/>
          <w:b/>
          <w:bCs/>
        </w:rPr>
      </w:pPr>
      <w:r>
        <w:rPr>
          <w:rFonts w:cs="Times New Roman" w:ascii="Times New Roman" w:hAnsi="Times New Roman"/>
          <w:b/>
          <w:bCs/>
        </w:rPr>
        <w:t>Zamawiający</w:t>
        <w:tab/>
        <w:tab/>
        <w:tab/>
        <w:tab/>
        <w:tab/>
        <w:tab/>
        <w:tab/>
        <w:t>Wykonawca</w:t>
      </w:r>
    </w:p>
    <w:p>
      <w:pPr>
        <w:pStyle w:val="Normal"/>
        <w:spacing w:lineRule="auto" w:line="240" w:before="0" w:after="60"/>
        <w:rPr>
          <w:rFonts w:ascii="Times New Roman" w:hAnsi="Times New Roman" w:cs="Times New Roman"/>
          <w:i/>
          <w:iCs/>
        </w:rPr>
      </w:pPr>
      <w:r>
        <w:rPr>
          <w:rFonts w:cs="Times New Roman" w:ascii="Times New Roman" w:hAnsi="Times New Roman"/>
          <w:i/>
          <w:iCs/>
        </w:rPr>
      </w:r>
    </w:p>
    <w:p>
      <w:pPr>
        <w:pStyle w:val="Normal"/>
        <w:spacing w:lineRule="auto" w:line="240" w:before="0" w:after="60"/>
        <w:jc w:val="both"/>
        <w:rPr>
          <w:rFonts w:ascii="Times New Roman" w:hAnsi="Times New Roman" w:eastAsia="Tahoma,Bold" w:cs="Times New Roman"/>
          <w:i/>
          <w:iCs/>
        </w:rPr>
      </w:pPr>
      <w:r>
        <w:rPr>
          <w:rFonts w:eastAsia="Tahoma,Bold" w:cs="Times New Roman" w:ascii="Times New Roman" w:hAnsi="Times New Roman"/>
          <w:i/>
          <w:iCs/>
        </w:rPr>
      </w:r>
      <w:r>
        <w:br w:type="page"/>
      </w:r>
    </w:p>
    <w:p>
      <w:pPr>
        <w:pStyle w:val="Normal"/>
        <w:spacing w:lineRule="auto" w:line="240" w:before="0" w:after="60"/>
        <w:jc w:val="end"/>
        <w:rPr>
          <w:rFonts w:ascii="Times New Roman" w:hAnsi="Times New Roman" w:eastAsia="Arial Narrow" w:cs="Times New Roman"/>
          <w:b/>
          <w:color w:themeColor="text1" w:val="000000"/>
        </w:rPr>
      </w:pPr>
      <w:r>
        <w:rPr>
          <w:rFonts w:eastAsia="Arial Narrow" w:cs="Times New Roman" w:ascii="Times New Roman" w:hAnsi="Times New Roman"/>
          <w:b/>
          <w:color w:themeColor="text1" w:val="000000"/>
        </w:rPr>
      </w:r>
    </w:p>
    <w:p>
      <w:pPr>
        <w:pStyle w:val="Normal"/>
        <w:spacing w:lineRule="auto" w:line="240" w:before="0" w:after="60"/>
        <w:jc w:val="end"/>
        <w:rPr>
          <w:rFonts w:ascii="Times New Roman" w:hAnsi="Times New Roman" w:eastAsia="Arial Narrow" w:cs="Times New Roman"/>
          <w:b/>
          <w:color w:themeColor="text1" w:val="000000"/>
        </w:rPr>
      </w:pPr>
      <w:r>
        <w:rPr>
          <w:rFonts w:eastAsia="Arial Narrow" w:cs="Times New Roman" w:ascii="Times New Roman" w:hAnsi="Times New Roman"/>
          <w:b/>
          <w:color w:themeColor="text1" w:val="000000"/>
        </w:rPr>
        <w:t>Załącznik nr 1</w:t>
      </w:r>
    </w:p>
    <w:p>
      <w:pPr>
        <w:pStyle w:val="Normal"/>
        <w:spacing w:lineRule="auto" w:line="240" w:before="0" w:after="60"/>
        <w:jc w:val="center"/>
        <w:rPr>
          <w:rFonts w:ascii="Times New Roman" w:hAnsi="Times New Roman" w:eastAsia="Arial Narrow" w:cs="Times New Roman"/>
          <w:b/>
          <w:color w:themeColor="text1" w:val="000000"/>
        </w:rPr>
      </w:pPr>
      <w:r>
        <w:rPr>
          <w:rFonts w:eastAsia="Arial Narrow" w:cs="Times New Roman" w:ascii="Times New Roman" w:hAnsi="Times New Roman"/>
          <w:b/>
          <w:color w:themeColor="text1" w:val="000000"/>
        </w:rPr>
      </w:r>
    </w:p>
    <w:p>
      <w:pPr>
        <w:pStyle w:val="Normal"/>
        <w:spacing w:lineRule="auto" w:line="240" w:before="0" w:after="60"/>
        <w:jc w:val="center"/>
        <w:rPr>
          <w:rFonts w:ascii="Times New Roman" w:hAnsi="Times New Roman" w:eastAsia="Arial Narrow" w:cs="Times New Roman"/>
          <w:b/>
          <w:color w:themeColor="text1" w:val="000000"/>
        </w:rPr>
      </w:pPr>
      <w:r>
        <w:rPr>
          <w:rFonts w:cs="Times New Roman" w:ascii="Times New Roman" w:hAnsi="Times New Roman"/>
          <w:b/>
          <w:color w:themeColor="text1" w:val="000000"/>
        </w:rPr>
        <w:t>POWIERZENIE PRZETWARZANIA DANYCH OSOBOWYCH</w:t>
      </w:r>
    </w:p>
    <w:p>
      <w:pPr>
        <w:pStyle w:val="Normal"/>
        <w:spacing w:lineRule="auto" w:line="240" w:before="0" w:after="60"/>
        <w:jc w:val="center"/>
        <w:rPr>
          <w:rFonts w:ascii="Times New Roman" w:hAnsi="Times New Roman" w:eastAsia="Arial Narrow" w:cs="Times New Roman"/>
          <w:b/>
        </w:rPr>
      </w:pPr>
      <w:r>
        <w:rPr>
          <w:rFonts w:eastAsia="Arial Narrow" w:cs="Times New Roman" w:ascii="Times New Roman" w:hAnsi="Times New Roman"/>
          <w:b/>
        </w:rPr>
      </w:r>
    </w:p>
    <w:p>
      <w:pPr>
        <w:pStyle w:val="Normal"/>
        <w:spacing w:lineRule="auto" w:line="240" w:before="0" w:after="60"/>
        <w:jc w:val="center"/>
        <w:rPr>
          <w:rFonts w:ascii="Times New Roman" w:hAnsi="Times New Roman" w:eastAsia="Arial Narrow" w:cs="Times New Roman"/>
          <w:b/>
        </w:rPr>
      </w:pPr>
      <w:r>
        <w:rPr>
          <w:rFonts w:eastAsia="Arial Narrow" w:cs="Times New Roman" w:ascii="Times New Roman" w:hAnsi="Times New Roman"/>
          <w:b/>
        </w:rPr>
      </w:r>
    </w:p>
    <w:p>
      <w:pPr>
        <w:pStyle w:val="Normal"/>
        <w:spacing w:lineRule="auto" w:line="240" w:before="0" w:after="60"/>
        <w:jc w:val="center"/>
        <w:rPr>
          <w:rFonts w:ascii="Times New Roman" w:hAnsi="Times New Roman" w:eastAsia="Arial Narrow" w:cs="Times New Roman"/>
          <w:b/>
        </w:rPr>
      </w:pPr>
      <w:r>
        <w:rPr>
          <w:rFonts w:eastAsia="Arial Narrow" w:cs="Times New Roman" w:ascii="Times New Roman" w:hAnsi="Times New Roman"/>
          <w:b/>
        </w:rPr>
        <w:t>§ 1</w:t>
      </w:r>
    </w:p>
    <w:p>
      <w:pPr>
        <w:pStyle w:val="Normal"/>
        <w:spacing w:lineRule="auto" w:line="240" w:before="0" w:after="60"/>
        <w:jc w:val="center"/>
        <w:rPr>
          <w:rFonts w:ascii="Times New Roman" w:hAnsi="Times New Roman" w:eastAsia="Arial Narrow" w:cs="Times New Roman"/>
          <w:b/>
        </w:rPr>
      </w:pPr>
      <w:r>
        <w:rPr>
          <w:rFonts w:eastAsia="Arial Narrow" w:cs="Times New Roman" w:ascii="Times New Roman" w:hAnsi="Times New Roman"/>
          <w:b/>
        </w:rPr>
        <w:t>Postanowienia ogólne</w:t>
      </w:r>
    </w:p>
    <w:p>
      <w:pPr>
        <w:pStyle w:val="Normal"/>
        <w:numPr>
          <w:ilvl w:val="0"/>
          <w:numId w:val="14"/>
        </w:numPr>
        <w:pBdr/>
        <w:spacing w:lineRule="auto" w:line="240" w:before="0" w:after="60"/>
        <w:ind w:hanging="360" w:start="426"/>
        <w:jc w:val="both"/>
        <w:rPr>
          <w:rFonts w:ascii="Times New Roman" w:hAnsi="Times New Roman" w:eastAsia="Arial Narrow" w:cs="Times New Roman"/>
        </w:rPr>
      </w:pPr>
      <w:r>
        <w:rPr>
          <w:rFonts w:eastAsia="Arial Narrow" w:cs="Times New Roman" w:ascii="Times New Roman" w:hAnsi="Times New Roman"/>
        </w:rPr>
        <w:t xml:space="preserve">Zamawiający jest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Rozporządzenie), administratorem danych osobowych przetwarzanych w bazach danych w jego siedzibie oraz jednostkach organizacyjnych. </w:t>
      </w:r>
    </w:p>
    <w:p>
      <w:pPr>
        <w:pStyle w:val="Normal"/>
        <w:numPr>
          <w:ilvl w:val="0"/>
          <w:numId w:val="14"/>
        </w:numPr>
        <w:pBdr/>
        <w:spacing w:lineRule="auto" w:line="240" w:before="0" w:after="60"/>
        <w:ind w:hanging="360" w:start="426"/>
        <w:jc w:val="both"/>
        <w:rPr>
          <w:rFonts w:ascii="Times New Roman" w:hAnsi="Times New Roman" w:eastAsia="Arial Narrow" w:cs="Times New Roman"/>
        </w:rPr>
      </w:pPr>
      <w:r>
        <w:rPr>
          <w:rFonts w:eastAsia="Arial Narrow" w:cs="Times New Roman" w:ascii="Times New Roman" w:hAnsi="Times New Roman"/>
        </w:rPr>
        <w:t>Wykonawca świadczy na rzecz Zamawiającego obowiązki z Umowy nr …. dotyczące udzielenia licencji na systemu wspomagający zarządzanie przedsiębiorstwem komunalnym autorstwa …………………….. z siedzibą ………………. oraz usługi serwisowej tego oprogramowania.</w:t>
      </w:r>
    </w:p>
    <w:p>
      <w:pPr>
        <w:pStyle w:val="Normal"/>
        <w:numPr>
          <w:ilvl w:val="0"/>
          <w:numId w:val="14"/>
        </w:numPr>
        <w:pBdr/>
        <w:spacing w:lineRule="auto" w:line="240" w:before="0" w:after="60"/>
        <w:ind w:hanging="360" w:start="426"/>
        <w:jc w:val="both"/>
        <w:rPr>
          <w:rFonts w:ascii="Times New Roman" w:hAnsi="Times New Roman" w:eastAsia="Arial Narrow" w:cs="Times New Roman"/>
        </w:rPr>
      </w:pPr>
      <w:r>
        <w:rPr>
          <w:rFonts w:eastAsia="Arial Narrow" w:cs="Times New Roman" w:ascii="Times New Roman" w:hAnsi="Times New Roman"/>
        </w:rPr>
        <w:t>Należyte wykonanie ww. obowiązków wymaga przetwarzania danych osobowych, którymi administruje Zamawiający.</w:t>
      </w:r>
    </w:p>
    <w:p>
      <w:pPr>
        <w:pStyle w:val="Normal"/>
        <w:numPr>
          <w:ilvl w:val="0"/>
          <w:numId w:val="14"/>
        </w:numPr>
        <w:pBdr/>
        <w:spacing w:lineRule="auto" w:line="240" w:before="0" w:after="60"/>
        <w:ind w:hanging="360" w:start="426"/>
        <w:jc w:val="both"/>
        <w:rPr>
          <w:rFonts w:ascii="Times New Roman" w:hAnsi="Times New Roman" w:eastAsia="Arial Narrow" w:cs="Times New Roman"/>
        </w:rPr>
      </w:pPr>
      <w:r>
        <w:rPr>
          <w:rFonts w:eastAsia="Arial Narrow" w:cs="Times New Roman" w:ascii="Times New Roman" w:hAnsi="Times New Roman"/>
        </w:rPr>
        <w:t>Wykonawca zapewnia wystarczające gwarancje wdrożenia odpowiednich środków technicznych i organizacyjnych, by przetwarzanie spełniało wymogi Rozporządzenia i chroniło prawa osób, których dane dotyczą.</w:t>
      </w:r>
    </w:p>
    <w:p>
      <w:pPr>
        <w:pStyle w:val="Normal"/>
        <w:numPr>
          <w:ilvl w:val="0"/>
          <w:numId w:val="14"/>
        </w:numPr>
        <w:pBdr/>
        <w:spacing w:lineRule="auto" w:line="240" w:before="0" w:after="60"/>
        <w:ind w:hanging="360" w:start="426"/>
        <w:jc w:val="both"/>
        <w:rPr>
          <w:rFonts w:ascii="Times New Roman" w:hAnsi="Times New Roman" w:eastAsia="Arial Narrow" w:cs="Times New Roman"/>
        </w:rPr>
      </w:pPr>
      <w:r>
        <w:rPr>
          <w:rFonts w:eastAsia="Arial Narrow" w:cs="Times New Roman" w:ascii="Times New Roman" w:hAnsi="Times New Roman"/>
        </w:rPr>
        <w:t>Wykonawca oświadcza, iż wdrożył w swojej organizacji dokumentację określającą zasady zapewnienia zgodności z zapisami Rozporządzenia.</w:t>
      </w:r>
    </w:p>
    <w:p>
      <w:pPr>
        <w:pStyle w:val="Normal"/>
        <w:numPr>
          <w:ilvl w:val="0"/>
          <w:numId w:val="14"/>
        </w:numPr>
        <w:pBdr/>
        <w:spacing w:lineRule="auto" w:line="240" w:before="0" w:after="60"/>
        <w:ind w:hanging="360" w:start="426"/>
        <w:jc w:val="both"/>
        <w:rPr>
          <w:rFonts w:ascii="Times New Roman" w:hAnsi="Times New Roman" w:eastAsia="Arial Narrow" w:cs="Times New Roman"/>
        </w:rPr>
      </w:pPr>
      <w:r>
        <w:rPr>
          <w:rFonts w:eastAsia="Arial Narrow" w:cs="Times New Roman" w:ascii="Times New Roman" w:hAnsi="Times New Roman"/>
        </w:rPr>
        <w:t>Czyniąc zadość wymogom art. 28 Rozporządzenia, uzgodniono co następuje:</w:t>
      </w:r>
    </w:p>
    <w:p>
      <w:pPr>
        <w:pStyle w:val="Normal"/>
        <w:spacing w:lineRule="auto" w:line="240" w:before="0" w:after="60"/>
        <w:jc w:val="center"/>
        <w:rPr>
          <w:rFonts w:ascii="Times New Roman" w:hAnsi="Times New Roman" w:eastAsia="Arial Narrow" w:cs="Times New Roman"/>
          <w:b/>
        </w:rPr>
      </w:pPr>
      <w:r>
        <w:rPr>
          <w:rFonts w:eastAsia="Arial Narrow" w:cs="Times New Roman" w:ascii="Times New Roman" w:hAnsi="Times New Roman"/>
          <w:b/>
        </w:rPr>
      </w:r>
    </w:p>
    <w:p>
      <w:pPr>
        <w:pStyle w:val="Normal"/>
        <w:spacing w:lineRule="auto" w:line="240" w:before="0" w:after="60"/>
        <w:jc w:val="center"/>
        <w:rPr>
          <w:rFonts w:ascii="Times New Roman" w:hAnsi="Times New Roman" w:eastAsia="Arial Narrow" w:cs="Times New Roman"/>
          <w:b/>
        </w:rPr>
      </w:pPr>
      <w:r>
        <w:rPr>
          <w:rFonts w:eastAsia="Arial Narrow" w:cs="Times New Roman" w:ascii="Times New Roman" w:hAnsi="Times New Roman"/>
          <w:b/>
        </w:rPr>
        <w:t>§ 2</w:t>
      </w:r>
    </w:p>
    <w:p>
      <w:pPr>
        <w:pStyle w:val="Normal"/>
        <w:spacing w:lineRule="auto" w:line="240" w:before="0" w:after="60"/>
        <w:jc w:val="center"/>
        <w:rPr>
          <w:rFonts w:ascii="Times New Roman" w:hAnsi="Times New Roman" w:eastAsia="Arial Narrow" w:cs="Times New Roman"/>
          <w:b/>
        </w:rPr>
      </w:pPr>
      <w:r>
        <w:rPr>
          <w:rFonts w:eastAsia="Arial Narrow" w:cs="Times New Roman" w:ascii="Times New Roman" w:hAnsi="Times New Roman"/>
          <w:b/>
        </w:rPr>
        <w:t xml:space="preserve">Zakres, cel i kategorie powierzonych do przetwarzania danych osobowych. </w:t>
        <w:br/>
        <w:t>Charakter przetwarzania</w:t>
      </w:r>
    </w:p>
    <w:p>
      <w:pPr>
        <w:pStyle w:val="Normal"/>
        <w:numPr>
          <w:ilvl w:val="0"/>
          <w:numId w:val="16"/>
        </w:numPr>
        <w:pBdr/>
        <w:spacing w:lineRule="auto" w:line="240" w:before="0" w:after="60"/>
        <w:ind w:hanging="360" w:start="426"/>
        <w:jc w:val="both"/>
        <w:rPr>
          <w:rFonts w:ascii="Times New Roman" w:hAnsi="Times New Roman" w:eastAsia="Arial Narrow" w:cs="Times New Roman"/>
        </w:rPr>
      </w:pPr>
      <w:r>
        <w:rPr>
          <w:rFonts w:eastAsia="Arial Narrow" w:cs="Times New Roman" w:ascii="Times New Roman" w:hAnsi="Times New Roman"/>
        </w:rPr>
        <w:t>Zamawiający powierza Wykonawcy, a Wykonawca przyjmuje do przetwarzania dane osobowe zgromadzone w organizacji Zamawiającego w celu i zakresie niezbędnym do świadczenia usług opisanych w §</w:t>
      </w:r>
      <w:r>
        <w:rPr>
          <w:rFonts w:eastAsia="Arial Narrow" w:cs="Times New Roman" w:ascii="Times New Roman" w:hAnsi="Times New Roman"/>
          <w:b/>
        </w:rPr>
        <w:t xml:space="preserve"> </w:t>
      </w:r>
      <w:r>
        <w:rPr>
          <w:rFonts w:eastAsia="Arial Narrow" w:cs="Times New Roman" w:ascii="Times New Roman" w:hAnsi="Times New Roman"/>
        </w:rPr>
        <w:t>1 ust. 2 powyżej (z uwzględnieniem migracji danych z obecnego środowiska Zamawiającego do docelowej infrastruktury systemu wspomagającego zarządzanie przedsiębiorstwem komunalnym).</w:t>
      </w:r>
    </w:p>
    <w:p>
      <w:pPr>
        <w:pStyle w:val="Normal"/>
        <w:numPr>
          <w:ilvl w:val="0"/>
          <w:numId w:val="16"/>
        </w:numPr>
        <w:pBdr/>
        <w:spacing w:lineRule="auto" w:line="240" w:before="0" w:after="60"/>
        <w:ind w:hanging="360" w:start="426"/>
        <w:jc w:val="both"/>
        <w:rPr>
          <w:rFonts w:ascii="Times New Roman" w:hAnsi="Times New Roman" w:eastAsia="Arial Narrow" w:cs="Times New Roman"/>
        </w:rPr>
      </w:pPr>
      <w:r>
        <w:rPr>
          <w:rFonts w:eastAsia="Arial Narrow" w:cs="Times New Roman" w:ascii="Times New Roman" w:hAnsi="Times New Roman"/>
        </w:rPr>
        <w:t>Szczegółowy zakres powierzonych danych osobowych określa załącznik nr 2 do niniejszej umowy.</w:t>
      </w:r>
    </w:p>
    <w:p>
      <w:pPr>
        <w:pStyle w:val="Normal"/>
        <w:numPr>
          <w:ilvl w:val="0"/>
          <w:numId w:val="16"/>
        </w:numPr>
        <w:pBdr/>
        <w:spacing w:lineRule="auto" w:line="240" w:before="0" w:after="60"/>
        <w:ind w:hanging="360" w:start="426"/>
        <w:jc w:val="both"/>
        <w:rPr>
          <w:rFonts w:ascii="Times New Roman" w:hAnsi="Times New Roman" w:eastAsia="Arial Narrow" w:cs="Times New Roman"/>
        </w:rPr>
      </w:pPr>
      <w:r>
        <w:rPr>
          <w:rFonts w:eastAsia="Arial Narrow" w:cs="Times New Roman" w:ascii="Times New Roman" w:hAnsi="Times New Roman"/>
        </w:rPr>
        <w:t>Dane będą przetwarzane w sposób zautomatyzowany lub częściowo zautomatyzowany, zgodnie z ustalonymi pomiędzy Stronami procesami biznesowymi.</w:t>
      </w:r>
    </w:p>
    <w:p>
      <w:pPr>
        <w:pStyle w:val="Normal"/>
        <w:numPr>
          <w:ilvl w:val="0"/>
          <w:numId w:val="16"/>
        </w:numPr>
        <w:pBdr/>
        <w:spacing w:lineRule="auto" w:line="240" w:before="0" w:after="60"/>
        <w:ind w:hanging="360" w:start="426"/>
        <w:jc w:val="both"/>
        <w:rPr>
          <w:rFonts w:ascii="Times New Roman" w:hAnsi="Times New Roman" w:eastAsia="Arial Narrow" w:cs="Times New Roman"/>
        </w:rPr>
      </w:pPr>
      <w:r>
        <w:rPr>
          <w:rFonts w:eastAsia="Arial Narrow" w:cs="Times New Roman" w:ascii="Times New Roman" w:hAnsi="Times New Roman"/>
        </w:rPr>
        <w:t>Kategorię czynności przetwarzania stanowi wykonywanie serwisu zgodnie z umową, o której mowa w §1 ust 2 niniejszej umowy.</w:t>
      </w:r>
    </w:p>
    <w:p>
      <w:pPr>
        <w:pStyle w:val="Normal"/>
        <w:spacing w:lineRule="auto" w:line="240" w:before="0" w:after="60"/>
        <w:jc w:val="center"/>
        <w:rPr>
          <w:rFonts w:ascii="Times New Roman" w:hAnsi="Times New Roman" w:eastAsia="Arial Narrow" w:cs="Times New Roman"/>
          <w:b/>
        </w:rPr>
      </w:pPr>
      <w:r>
        <w:rPr>
          <w:rFonts w:eastAsia="Arial Narrow" w:cs="Times New Roman" w:ascii="Times New Roman" w:hAnsi="Times New Roman"/>
          <w:b/>
        </w:rPr>
      </w:r>
    </w:p>
    <w:p>
      <w:pPr>
        <w:pStyle w:val="Normal"/>
        <w:spacing w:lineRule="auto" w:line="240" w:before="0" w:after="60"/>
        <w:jc w:val="center"/>
        <w:rPr>
          <w:rFonts w:ascii="Times New Roman" w:hAnsi="Times New Roman" w:cs="Times New Roman"/>
          <w:b/>
          <w:color w:val="00796B"/>
        </w:rPr>
      </w:pPr>
      <w:r>
        <w:rPr>
          <w:rFonts w:eastAsia="Arial Narrow" w:cs="Times New Roman" w:ascii="Times New Roman" w:hAnsi="Times New Roman"/>
          <w:b/>
        </w:rPr>
        <w:t>§ 3</w:t>
      </w:r>
    </w:p>
    <w:p>
      <w:pPr>
        <w:pStyle w:val="Normal"/>
        <w:spacing w:lineRule="auto" w:line="240" w:before="0" w:after="60"/>
        <w:jc w:val="center"/>
        <w:rPr>
          <w:rFonts w:ascii="Times New Roman" w:hAnsi="Times New Roman" w:cs="Times New Roman"/>
          <w:b/>
        </w:rPr>
      </w:pPr>
      <w:r>
        <w:rPr>
          <w:rFonts w:cs="Times New Roman" w:ascii="Times New Roman" w:hAnsi="Times New Roman"/>
          <w:b/>
        </w:rPr>
        <w:t>Realizacja powierzenia przetwarzania danych osobowych. Obowiązki Wykonawcy</w:t>
      </w:r>
    </w:p>
    <w:p>
      <w:pPr>
        <w:pStyle w:val="Normal"/>
        <w:numPr>
          <w:ilvl w:val="0"/>
          <w:numId w:val="18"/>
        </w:numPr>
        <w:pBdr/>
        <w:spacing w:lineRule="auto" w:line="240" w:before="0" w:after="60"/>
        <w:ind w:hanging="360" w:start="425"/>
        <w:jc w:val="both"/>
        <w:rPr>
          <w:rFonts w:ascii="Times New Roman" w:hAnsi="Times New Roman" w:cs="Times New Roman"/>
        </w:rPr>
      </w:pPr>
      <w:r>
        <w:rPr>
          <w:rFonts w:cs="Times New Roman" w:ascii="Times New Roman" w:hAnsi="Times New Roman"/>
        </w:rPr>
        <w:t xml:space="preserve">Przetwarzanie danych osobowych odbywać się będzie w infrastrukturze Zamawiającego lub Wykonawcy, zgodnie z udokumentowanym poleceniem Zamawiającego. </w:t>
      </w:r>
    </w:p>
    <w:p>
      <w:pPr>
        <w:pStyle w:val="Normal"/>
        <w:numPr>
          <w:ilvl w:val="0"/>
          <w:numId w:val="18"/>
        </w:numPr>
        <w:pBdr/>
        <w:spacing w:lineRule="auto" w:line="240" w:before="0" w:after="60"/>
        <w:ind w:hanging="360" w:start="425"/>
        <w:jc w:val="both"/>
        <w:rPr>
          <w:rFonts w:ascii="Times New Roman" w:hAnsi="Times New Roman" w:cs="Times New Roman"/>
        </w:rPr>
      </w:pPr>
      <w:r>
        <w:rPr>
          <w:rFonts w:cs="Times New Roman" w:ascii="Times New Roman" w:hAnsi="Times New Roman"/>
        </w:rPr>
        <w:t xml:space="preserve">Dostęp do przetwarzania danych Zamawiającego mają tylko </w:t>
      </w:r>
      <w:r>
        <w:rPr>
          <w:rFonts w:eastAsia="Arial Narrow" w:cs="Times New Roman" w:ascii="Times New Roman" w:hAnsi="Times New Roman"/>
        </w:rPr>
        <w:t>osoby posiadające</w:t>
      </w:r>
      <w:r>
        <w:rPr>
          <w:rFonts w:cs="Times New Roman" w:ascii="Times New Roman" w:hAnsi="Times New Roman"/>
        </w:rPr>
        <w:t xml:space="preserve"> odpowiednie upoważnienia nadane przez Wykonawcę. Każda upoważniona osoba, przed przystąpieniem do wykonywania usług wynikających z niniejszej umowy, zostanie zobowiązana do zachowania poufności powierzonych danych oraz przeszkolona w zakresie ochrony danych osobowych.</w:t>
      </w:r>
    </w:p>
    <w:p>
      <w:pPr>
        <w:pStyle w:val="Normal"/>
        <w:spacing w:lineRule="auto" w:line="240" w:before="0" w:after="60"/>
        <w:jc w:val="center"/>
        <w:rPr>
          <w:rFonts w:ascii="Times New Roman" w:hAnsi="Times New Roman" w:cs="Times New Roman"/>
          <w:b/>
        </w:rPr>
      </w:pPr>
      <w:r>
        <w:rPr>
          <w:rFonts w:cs="Times New Roman" w:ascii="Times New Roman" w:hAnsi="Times New Roman"/>
          <w:b/>
        </w:rPr>
      </w:r>
    </w:p>
    <w:p>
      <w:pPr>
        <w:pStyle w:val="Normal"/>
        <w:spacing w:lineRule="auto" w:line="240" w:before="0" w:after="60"/>
        <w:jc w:val="center"/>
        <w:rPr>
          <w:rFonts w:ascii="Times New Roman" w:hAnsi="Times New Roman" w:cs="Times New Roman"/>
          <w:b/>
        </w:rPr>
      </w:pPr>
      <w:r>
        <w:rPr>
          <w:rFonts w:cs="Times New Roman" w:ascii="Times New Roman" w:hAnsi="Times New Roman"/>
          <w:b/>
        </w:rPr>
        <w:t>§ 4</w:t>
      </w:r>
    </w:p>
    <w:p>
      <w:pPr>
        <w:pStyle w:val="Normal"/>
        <w:spacing w:lineRule="auto" w:line="240" w:before="0" w:after="60"/>
        <w:jc w:val="center"/>
        <w:rPr>
          <w:rFonts w:ascii="Times New Roman" w:hAnsi="Times New Roman" w:cs="Times New Roman"/>
          <w:b/>
        </w:rPr>
      </w:pPr>
      <w:r>
        <w:rPr>
          <w:rFonts w:cs="Times New Roman" w:ascii="Times New Roman" w:hAnsi="Times New Roman"/>
          <w:b/>
        </w:rPr>
        <w:t>Zobowiązania Wykonawcy</w:t>
      </w:r>
    </w:p>
    <w:p>
      <w:pPr>
        <w:pStyle w:val="Normal"/>
        <w:numPr>
          <w:ilvl w:val="0"/>
          <w:numId w:val="19"/>
        </w:numPr>
        <w:pBdr/>
        <w:spacing w:lineRule="auto" w:line="240" w:before="0" w:after="60"/>
        <w:ind w:hanging="360" w:start="426"/>
        <w:jc w:val="both"/>
        <w:rPr>
          <w:rFonts w:ascii="Times New Roman" w:hAnsi="Times New Roman" w:eastAsia="Arial Narrow" w:cs="Times New Roman"/>
        </w:rPr>
      </w:pPr>
      <w:r>
        <w:rPr>
          <w:rFonts w:eastAsia="Arial Narrow" w:cs="Times New Roman" w:ascii="Times New Roman" w:hAnsi="Times New Roman"/>
        </w:rPr>
        <w:t>Wykonawca wdroży i utrzyma przez czas przetwarzania wszelkie adekwatne środki i zabezpieczenia, w szczególności zgodnie z wymaganiami art. 32 Rozporządzenia.</w:t>
      </w:r>
    </w:p>
    <w:p>
      <w:pPr>
        <w:pStyle w:val="Normal"/>
        <w:numPr>
          <w:ilvl w:val="0"/>
          <w:numId w:val="19"/>
        </w:numPr>
        <w:pBdr/>
        <w:spacing w:lineRule="auto" w:line="240" w:before="0" w:after="60"/>
        <w:ind w:hanging="360" w:start="425"/>
        <w:jc w:val="both"/>
        <w:rPr>
          <w:rFonts w:ascii="Times New Roman" w:hAnsi="Times New Roman" w:eastAsia="Arial Narrow" w:cs="Times New Roman"/>
        </w:rPr>
      </w:pPr>
      <w:r>
        <w:rPr>
          <w:rFonts w:eastAsia="Arial Narrow" w:cs="Times New Roman" w:ascii="Times New Roman" w:hAnsi="Times New Roman"/>
        </w:rPr>
        <w:t>Wykonawca w miarę możliwości współdziałać będzie z Zamawiającym przy wywiązywaniu się Zamawiającego z jego obowiązków informacyjnych wobec podmiotów danych, a także obowiązków określonych w art. 32–36 Rozporządzenia.</w:t>
      </w:r>
    </w:p>
    <w:p>
      <w:pPr>
        <w:pStyle w:val="Normal"/>
        <w:numPr>
          <w:ilvl w:val="0"/>
          <w:numId w:val="19"/>
        </w:numPr>
        <w:pBdr/>
        <w:spacing w:lineRule="auto" w:line="240" w:before="0" w:after="60"/>
        <w:ind w:hanging="360" w:start="425"/>
        <w:jc w:val="both"/>
        <w:rPr>
          <w:rFonts w:ascii="Times New Roman" w:hAnsi="Times New Roman" w:eastAsia="Arial Narrow" w:cs="Times New Roman"/>
        </w:rPr>
      </w:pPr>
      <w:r>
        <w:rPr>
          <w:rFonts w:eastAsia="Arial Narrow" w:cs="Times New Roman" w:ascii="Times New Roman" w:hAnsi="Times New Roman"/>
        </w:rPr>
        <w:t xml:space="preserve">Wykonawca będzie niezwłocznie - w miarę możliwości, nie później niż w terminie 72 godzin po stwierdzeniu incydentu, informować Zamawiającego o zakłóceniach w przetwarzaniu danych, stwierdzonych próbach złamania zabezpieczeń lub czynnościach kontrolnych ze strony uprawnionych organów. Zapisu zd. 1 nie stosuje się, jeśli nie jest prawdopodobne, by naruszenie skutkowało ryzykiem naruszenia praw lub wolności osób fizycznych. </w:t>
      </w:r>
    </w:p>
    <w:p>
      <w:pPr>
        <w:pStyle w:val="Normal"/>
        <w:numPr>
          <w:ilvl w:val="0"/>
          <w:numId w:val="19"/>
        </w:numPr>
        <w:pBdr/>
        <w:spacing w:lineRule="auto" w:line="240" w:before="0" w:after="60"/>
        <w:jc w:val="both"/>
        <w:rPr>
          <w:rFonts w:ascii="Times New Roman" w:hAnsi="Times New Roman" w:eastAsia="Arial Narrow" w:cs="Times New Roman"/>
        </w:rPr>
      </w:pPr>
      <w:r>
        <w:rPr>
          <w:rFonts w:eastAsia="Arial Narrow" w:cs="Times New Roman" w:ascii="Times New Roman" w:hAnsi="Times New Roman"/>
        </w:rPr>
        <w:t>O ile jest to możliwe bez zbędnej zwłoki, informacja do Zamawiającego:</w:t>
      </w:r>
    </w:p>
    <w:p>
      <w:pPr>
        <w:pStyle w:val="Normal"/>
        <w:numPr>
          <w:ilvl w:val="1"/>
          <w:numId w:val="19"/>
        </w:numPr>
        <w:pBdr/>
        <w:spacing w:lineRule="auto" w:line="240" w:before="0" w:after="60"/>
        <w:jc w:val="both"/>
        <w:rPr>
          <w:rFonts w:ascii="Times New Roman" w:hAnsi="Times New Roman" w:eastAsia="Arial Narrow" w:cs="Times New Roman"/>
        </w:rPr>
      </w:pPr>
      <w:r>
        <w:rPr>
          <w:rFonts w:eastAsia="Arial Narrow" w:cs="Times New Roman" w:ascii="Times New Roman" w:hAnsi="Times New Roman"/>
        </w:rPr>
        <w:t xml:space="preserve">opisywać będzie charakter naruszenia ochrony danych osobowych, w tym w miarę możliwości wskazywać kategorie i przybliżoną liczbę osób, których dane dotyczą, oraz kategorie i przybliżoną liczbę wpisów danych osobowych, których dotyczy naruszenie; </w:t>
      </w:r>
    </w:p>
    <w:p>
      <w:pPr>
        <w:pStyle w:val="Normal"/>
        <w:numPr>
          <w:ilvl w:val="1"/>
          <w:numId w:val="19"/>
        </w:numPr>
        <w:pBdr/>
        <w:spacing w:lineRule="auto" w:line="240" w:before="0" w:after="60"/>
        <w:jc w:val="both"/>
        <w:rPr>
          <w:rFonts w:ascii="Times New Roman" w:hAnsi="Times New Roman" w:eastAsia="Arial Narrow" w:cs="Times New Roman"/>
        </w:rPr>
      </w:pPr>
      <w:r>
        <w:rPr>
          <w:rFonts w:eastAsia="Arial Narrow" w:cs="Times New Roman" w:ascii="Times New Roman" w:hAnsi="Times New Roman"/>
        </w:rPr>
        <w:t xml:space="preserve">zawierać imię i nazwisko osoby, od której można uzyskać więcej informacji; </w:t>
      </w:r>
    </w:p>
    <w:p>
      <w:pPr>
        <w:pStyle w:val="Normal"/>
        <w:numPr>
          <w:ilvl w:val="1"/>
          <w:numId w:val="19"/>
        </w:numPr>
        <w:pBdr/>
        <w:spacing w:lineRule="auto" w:line="240" w:before="0" w:after="60"/>
        <w:jc w:val="both"/>
        <w:rPr>
          <w:rFonts w:ascii="Times New Roman" w:hAnsi="Times New Roman" w:eastAsia="Arial Narrow" w:cs="Times New Roman"/>
        </w:rPr>
      </w:pPr>
      <w:r>
        <w:rPr>
          <w:rFonts w:eastAsia="Arial Narrow" w:cs="Times New Roman" w:ascii="Times New Roman" w:hAnsi="Times New Roman"/>
        </w:rPr>
        <w:t xml:space="preserve">opisywać możliwe konsekwencje naruszenia ochrony danych osobowych; </w:t>
      </w:r>
    </w:p>
    <w:p>
      <w:pPr>
        <w:pStyle w:val="Normal"/>
        <w:numPr>
          <w:ilvl w:val="1"/>
          <w:numId w:val="19"/>
        </w:numPr>
        <w:pBdr/>
        <w:spacing w:lineRule="auto" w:line="240" w:before="0" w:after="60"/>
        <w:jc w:val="both"/>
        <w:rPr>
          <w:rFonts w:ascii="Times New Roman" w:hAnsi="Times New Roman" w:eastAsia="Arial Narrow" w:cs="Times New Roman"/>
        </w:rPr>
      </w:pPr>
      <w:r>
        <w:rPr>
          <w:rFonts w:eastAsia="Arial Narrow" w:cs="Times New Roman" w:ascii="Times New Roman" w:hAnsi="Times New Roman"/>
        </w:rPr>
        <w:t>opisywać środki zastosowane lub proponowane w celu zaradzenia naruszeniu ochrony danych osobowych, w tym w stosownych przypadkach środki w celu zminimalizowania jego ewentualnych negatywnych skutków.</w:t>
      </w:r>
    </w:p>
    <w:p>
      <w:pPr>
        <w:pStyle w:val="Normal"/>
        <w:numPr>
          <w:ilvl w:val="0"/>
          <w:numId w:val="19"/>
        </w:numPr>
        <w:pBdr/>
        <w:spacing w:lineRule="auto" w:line="240" w:before="0" w:after="60"/>
        <w:ind w:hanging="360" w:start="425"/>
        <w:jc w:val="both"/>
        <w:rPr>
          <w:rFonts w:ascii="Times New Roman" w:hAnsi="Times New Roman" w:eastAsia="Arial Narrow" w:cs="Times New Roman"/>
        </w:rPr>
      </w:pPr>
      <w:r>
        <w:rPr>
          <w:rFonts w:eastAsia="Arial Narrow" w:cs="Times New Roman" w:ascii="Times New Roman" w:hAnsi="Times New Roman"/>
        </w:rPr>
        <w:t>Zamawiający jest uprawniony do kontrolowania Wykonawcy w zakresie przetwarzanych danych w dni robocze, za wcześniejszym 3-dniowym uprzedzeniem. Wykonawca udostępni wszelkie informacje niezbędne do wykazania spełnienia obowiązków określonych w niniejszej umowie oraz umożliwi Zamawiającemu (lub upoważnionemu audytorowi) przeprowadzenie takiej kontroli.</w:t>
      </w:r>
    </w:p>
    <w:p>
      <w:pPr>
        <w:pStyle w:val="Normal"/>
        <w:spacing w:lineRule="auto" w:line="240" w:before="0" w:after="60"/>
        <w:ind w:start="425"/>
        <w:jc w:val="center"/>
        <w:rPr>
          <w:rFonts w:ascii="Times New Roman" w:hAnsi="Times New Roman" w:eastAsia="Arial Narrow" w:cs="Times New Roman"/>
          <w:b/>
        </w:rPr>
      </w:pPr>
      <w:r>
        <w:rPr>
          <w:rFonts w:eastAsia="Arial Narrow" w:cs="Times New Roman" w:ascii="Times New Roman" w:hAnsi="Times New Roman"/>
          <w:b/>
        </w:rPr>
      </w:r>
    </w:p>
    <w:p>
      <w:pPr>
        <w:pStyle w:val="Normal"/>
        <w:spacing w:lineRule="auto" w:line="240" w:before="0" w:after="60"/>
        <w:jc w:val="center"/>
        <w:rPr>
          <w:rFonts w:ascii="Times New Roman" w:hAnsi="Times New Roman" w:cs="Times New Roman"/>
          <w:b/>
        </w:rPr>
      </w:pPr>
      <w:r>
        <w:rPr>
          <w:rFonts w:cs="Times New Roman" w:ascii="Times New Roman" w:hAnsi="Times New Roman"/>
          <w:b/>
        </w:rPr>
        <w:t>§ 5</w:t>
      </w:r>
    </w:p>
    <w:p>
      <w:pPr>
        <w:pStyle w:val="Normal"/>
        <w:spacing w:lineRule="auto" w:line="240" w:before="0" w:after="60"/>
        <w:jc w:val="center"/>
        <w:rPr>
          <w:rFonts w:ascii="Times New Roman" w:hAnsi="Times New Roman" w:cs="Times New Roman"/>
          <w:b/>
        </w:rPr>
      </w:pPr>
      <w:r>
        <w:rPr>
          <w:rFonts w:cs="Times New Roman" w:ascii="Times New Roman" w:hAnsi="Times New Roman"/>
          <w:b/>
        </w:rPr>
        <w:t>Podwykonawcy</w:t>
      </w:r>
    </w:p>
    <w:p>
      <w:pPr>
        <w:pStyle w:val="Normal"/>
        <w:numPr>
          <w:ilvl w:val="0"/>
          <w:numId w:val="17"/>
        </w:numPr>
        <w:pBdr/>
        <w:spacing w:lineRule="auto" w:line="240" w:before="0" w:after="60"/>
        <w:ind w:hanging="360" w:start="425"/>
        <w:jc w:val="both"/>
        <w:rPr>
          <w:rFonts w:ascii="Times New Roman" w:hAnsi="Times New Roman" w:cs="Times New Roman"/>
        </w:rPr>
      </w:pPr>
      <w:r>
        <w:rPr>
          <w:rFonts w:cs="Times New Roman" w:ascii="Times New Roman" w:hAnsi="Times New Roman"/>
        </w:rPr>
        <w:t>Zamawiający wyraża niniejszym ogólną pisemną zgodę na korzystanie przez Wykonawcę z usług dalszych podmiotów przetwarzających (podwykonawców).</w:t>
      </w:r>
    </w:p>
    <w:p>
      <w:pPr>
        <w:pStyle w:val="Normal"/>
        <w:numPr>
          <w:ilvl w:val="0"/>
          <w:numId w:val="17"/>
        </w:numPr>
        <w:pBdr/>
        <w:spacing w:lineRule="auto" w:line="240" w:before="0" w:after="60"/>
        <w:ind w:hanging="360" w:start="425"/>
        <w:jc w:val="both"/>
        <w:rPr>
          <w:rFonts w:ascii="Times New Roman" w:hAnsi="Times New Roman" w:cs="Times New Roman"/>
        </w:rPr>
      </w:pPr>
      <w:r>
        <w:rPr>
          <w:rFonts w:cs="Times New Roman" w:ascii="Times New Roman" w:hAnsi="Times New Roman"/>
        </w:rPr>
        <w:t>Wykonawca w każdym przypadku poinformuje w sposób udokumentowany Zamawiającego o zamiarze skorzystania z usług innego podmiotu przetwarzającego.</w:t>
      </w:r>
    </w:p>
    <w:p>
      <w:pPr>
        <w:pStyle w:val="Normal"/>
        <w:numPr>
          <w:ilvl w:val="0"/>
          <w:numId w:val="17"/>
        </w:numPr>
        <w:pBdr/>
        <w:spacing w:lineRule="auto" w:line="240" w:before="0" w:after="60"/>
        <w:ind w:hanging="360" w:start="425"/>
        <w:jc w:val="both"/>
        <w:rPr>
          <w:rFonts w:ascii="Times New Roman" w:hAnsi="Times New Roman" w:cs="Times New Roman"/>
        </w:rPr>
      </w:pPr>
      <w:r>
        <w:rPr>
          <w:rFonts w:cs="Times New Roman" w:ascii="Times New Roman" w:hAnsi="Times New Roman"/>
        </w:rPr>
        <w:t xml:space="preserve">W przypadku braku zgłoszenia w udokumentowanej formie zastrzeżeń ze strony Zamawiającego w terminie 10 dni od dnia zawiadomienia, o którym mowa w ust. 2 powyżej Wykonawca nabywa prawo do dalszego powierzenia przetwarzania danych osobowych. </w:t>
      </w:r>
    </w:p>
    <w:p>
      <w:pPr>
        <w:pStyle w:val="Normal"/>
        <w:numPr>
          <w:ilvl w:val="0"/>
          <w:numId w:val="17"/>
        </w:numPr>
        <w:pBdr/>
        <w:spacing w:lineRule="auto" w:line="240" w:before="0" w:after="60"/>
        <w:ind w:hanging="360" w:start="425"/>
        <w:jc w:val="both"/>
        <w:rPr>
          <w:rFonts w:ascii="Times New Roman" w:hAnsi="Times New Roman" w:cs="Times New Roman"/>
        </w:rPr>
      </w:pPr>
      <w:r>
        <w:rPr>
          <w:rFonts w:cs="Times New Roman" w:ascii="Times New Roman" w:hAnsi="Times New Roman"/>
        </w:rPr>
        <w:t>Wykonawca zapewni i zagwarantuje, w szczególności stosując należyte zapisy w pisemnych umowach z podwykonawcami, iż dalsi podwykonawcy podejmą i wdrożą przed rozpoczęciem świadczenia usług, środki zabezpieczające dane, a zabezpieczenia te będą co najmniej równoważne środkom stosowanym przez Wykonawcę. Na Wykonawcy spoczywa pełna odpowiedzialność wobec Zamawiającego za wypełnienie przez podwykonawcę swoich obowiązków w niniejszym zakresie.</w:t>
      </w:r>
    </w:p>
    <w:p>
      <w:pPr>
        <w:pStyle w:val="Normal"/>
        <w:spacing w:lineRule="auto" w:line="240" w:before="0" w:after="60"/>
        <w:jc w:val="center"/>
        <w:rPr>
          <w:rFonts w:ascii="Times New Roman" w:hAnsi="Times New Roman" w:cs="Times New Roman"/>
          <w:b/>
        </w:rPr>
      </w:pPr>
      <w:r>
        <w:rPr>
          <w:rFonts w:cs="Times New Roman" w:ascii="Times New Roman" w:hAnsi="Times New Roman"/>
          <w:b/>
        </w:rPr>
      </w:r>
    </w:p>
    <w:p>
      <w:pPr>
        <w:pStyle w:val="Normal"/>
        <w:spacing w:lineRule="auto" w:line="240" w:before="0" w:after="60"/>
        <w:jc w:val="center"/>
        <w:rPr>
          <w:rFonts w:ascii="Times New Roman" w:hAnsi="Times New Roman" w:cs="Times New Roman"/>
          <w:b/>
        </w:rPr>
      </w:pPr>
      <w:r>
        <w:rPr>
          <w:rFonts w:cs="Times New Roman" w:ascii="Times New Roman" w:hAnsi="Times New Roman"/>
          <w:b/>
        </w:rPr>
      </w:r>
    </w:p>
    <w:p>
      <w:pPr>
        <w:pStyle w:val="Normal"/>
        <w:spacing w:lineRule="auto" w:line="240" w:before="0" w:after="60"/>
        <w:jc w:val="center"/>
        <w:rPr>
          <w:rFonts w:ascii="Times New Roman" w:hAnsi="Times New Roman" w:cs="Times New Roman"/>
          <w:b/>
        </w:rPr>
      </w:pPr>
      <w:r>
        <w:rPr>
          <w:rFonts w:cs="Times New Roman" w:ascii="Times New Roman" w:hAnsi="Times New Roman"/>
          <w:b/>
        </w:rPr>
        <w:t>§ 6</w:t>
      </w:r>
    </w:p>
    <w:p>
      <w:pPr>
        <w:pStyle w:val="Normal"/>
        <w:spacing w:lineRule="auto" w:line="240" w:before="0" w:after="60"/>
        <w:jc w:val="center"/>
        <w:rPr>
          <w:rFonts w:ascii="Times New Roman" w:hAnsi="Times New Roman" w:cs="Times New Roman"/>
          <w:b/>
        </w:rPr>
      </w:pPr>
      <w:r>
        <w:rPr>
          <w:rFonts w:cs="Times New Roman" w:ascii="Times New Roman" w:hAnsi="Times New Roman"/>
          <w:b/>
        </w:rPr>
        <w:t>Postanowienia końcowe</w:t>
      </w:r>
    </w:p>
    <w:p>
      <w:pPr>
        <w:pStyle w:val="Normal"/>
        <w:numPr>
          <w:ilvl w:val="0"/>
          <w:numId w:val="15"/>
        </w:numPr>
        <w:pBdr/>
        <w:spacing w:lineRule="auto" w:line="240" w:before="0" w:after="60"/>
        <w:ind w:hanging="360" w:start="425"/>
        <w:jc w:val="both"/>
        <w:rPr>
          <w:rFonts w:ascii="Times New Roman" w:hAnsi="Times New Roman" w:eastAsia="Arial Narrow" w:cs="Times New Roman"/>
        </w:rPr>
      </w:pPr>
      <w:r>
        <w:rPr>
          <w:rFonts w:cs="Times New Roman" w:ascii="Times New Roman" w:hAnsi="Times New Roman"/>
        </w:rPr>
        <w:t xml:space="preserve">Zapisy niniejszej umowy należy traktować jak udokumentowane polecenie administratora, o którym </w:t>
      </w:r>
      <w:r>
        <w:rPr>
          <w:rFonts w:eastAsia="Arial Narrow" w:cs="Times New Roman" w:ascii="Times New Roman" w:hAnsi="Times New Roman"/>
        </w:rPr>
        <w:t>mowa w art. 28 ust. 3a Rozporządzenia.</w:t>
      </w:r>
    </w:p>
    <w:p>
      <w:pPr>
        <w:pStyle w:val="Normal"/>
        <w:numPr>
          <w:ilvl w:val="0"/>
          <w:numId w:val="15"/>
        </w:numPr>
        <w:pBdr/>
        <w:spacing w:lineRule="auto" w:line="240" w:before="0" w:after="60"/>
        <w:ind w:hanging="360" w:start="425"/>
        <w:jc w:val="both"/>
        <w:rPr>
          <w:rFonts w:ascii="Times New Roman" w:hAnsi="Times New Roman" w:eastAsia="Arial Narrow" w:cs="Times New Roman"/>
        </w:rPr>
      </w:pPr>
      <w:r>
        <w:rPr>
          <w:rFonts w:cs="Times New Roman" w:ascii="Times New Roman" w:hAnsi="Times New Roman"/>
        </w:rPr>
        <w:t>Z zastrzeżeniem ust. 3 poniżej, wszelkie zmiany niniejszej umowy wymagają formy pisemnej pod rygorem nieważności.</w:t>
      </w:r>
    </w:p>
    <w:p>
      <w:pPr>
        <w:pStyle w:val="Normal"/>
        <w:numPr>
          <w:ilvl w:val="0"/>
          <w:numId w:val="15"/>
        </w:numPr>
        <w:pBdr/>
        <w:spacing w:lineRule="auto" w:line="240" w:before="0" w:after="60"/>
        <w:ind w:hanging="360" w:start="425"/>
        <w:jc w:val="both"/>
        <w:rPr>
          <w:rFonts w:ascii="Times New Roman" w:hAnsi="Times New Roman" w:eastAsia="Arial Narrow" w:cs="Times New Roman"/>
        </w:rPr>
      </w:pPr>
      <w:r>
        <w:rPr>
          <w:rFonts w:eastAsia="Arial Narrow" w:cs="Times New Roman" w:ascii="Times New Roman" w:hAnsi="Times New Roman"/>
        </w:rPr>
        <w:t>Niniejsza umowa obowiązuje przez okres realizacji zadań określonych umową, o której mowa w §1 ust. 2 z uwzględnieniem zapisów niniejszego paragrafu. W przypadku zakończenia obowiązywania niniejszej umowy, zależnie od decyzji Zamawiającego, Wykonawca w ustalonym wspólnie terminie usunie lub zwróci mu wszelkie dane osobowe oraz usunie wszelkie ich istniejące kopie. Zapisy niniejszej umowy obejmują również okres niezbędny na wykonanie przez Wykonawcę czynności, o których mowa w zdaniu poprzednim.</w:t>
      </w:r>
    </w:p>
    <w:p>
      <w:pPr>
        <w:pStyle w:val="Normal"/>
        <w:numPr>
          <w:ilvl w:val="0"/>
          <w:numId w:val="15"/>
        </w:numPr>
        <w:pBdr/>
        <w:spacing w:lineRule="auto" w:line="240" w:before="0" w:after="60"/>
        <w:ind w:hanging="360" w:start="425"/>
        <w:jc w:val="both"/>
        <w:rPr>
          <w:rFonts w:ascii="Times New Roman" w:hAnsi="Times New Roman" w:eastAsia="Arial Narrow" w:cs="Times New Roman"/>
        </w:rPr>
      </w:pPr>
      <w:r>
        <w:rPr>
          <w:rFonts w:eastAsia="Arial Narrow" w:cs="Times New Roman" w:ascii="Times New Roman" w:hAnsi="Times New Roman"/>
        </w:rPr>
        <w:t>Umowa podlega prawu polskiemu.</w:t>
      </w:r>
    </w:p>
    <w:p>
      <w:pPr>
        <w:pStyle w:val="Normal"/>
        <w:numPr>
          <w:ilvl w:val="0"/>
          <w:numId w:val="15"/>
        </w:numPr>
        <w:pBdr/>
        <w:spacing w:lineRule="auto" w:line="240" w:before="0" w:after="60"/>
        <w:ind w:hanging="360" w:start="425"/>
        <w:jc w:val="both"/>
        <w:rPr>
          <w:rFonts w:ascii="Times New Roman" w:hAnsi="Times New Roman" w:eastAsia="Arial Narrow" w:cs="Times New Roman"/>
        </w:rPr>
      </w:pPr>
      <w:r>
        <w:rPr>
          <w:rFonts w:eastAsia="Arial Narrow" w:cs="Times New Roman" w:ascii="Times New Roman" w:hAnsi="Times New Roman"/>
        </w:rPr>
        <w:t>W sprawach nieuregulowanych, pomocniczo stosuje się przepisy Kodeksu cywilnego oraz Rozporządzenia.</w:t>
      </w:r>
    </w:p>
    <w:p>
      <w:pPr>
        <w:pStyle w:val="Normal"/>
        <w:spacing w:lineRule="auto" w:line="240" w:before="0" w:after="60"/>
        <w:rPr>
          <w:rFonts w:ascii="Times New Roman" w:hAnsi="Times New Roman" w:cs="Times New Roman"/>
          <w:iCs/>
        </w:rPr>
      </w:pPr>
      <w:r>
        <w:rPr>
          <w:rFonts w:cs="Times New Roman" w:ascii="Times New Roman" w:hAnsi="Times New Roman"/>
          <w:iCs/>
        </w:rPr>
      </w:r>
    </w:p>
    <w:p>
      <w:pPr>
        <w:pStyle w:val="Normal"/>
        <w:spacing w:lineRule="auto" w:line="240" w:before="0" w:after="60"/>
        <w:jc w:val="center"/>
        <w:rPr>
          <w:rFonts w:ascii="Times New Roman" w:hAnsi="Times New Roman" w:cs="Times New Roman"/>
          <w:iCs/>
        </w:rPr>
      </w:pPr>
      <w:r>
        <w:rPr>
          <w:rFonts w:cs="Times New Roman" w:ascii="Times New Roman" w:hAnsi="Times New Roman"/>
          <w:iCs/>
        </w:rPr>
      </w:r>
    </w:p>
    <w:sectPr>
      <w:footerReference w:type="even" r:id="rId3"/>
      <w:footerReference w:type="default" r:id="rId4"/>
      <w:footerReference w:type="first" r:id="rId5"/>
      <w:type w:val="nextPage"/>
      <w:pgSz w:w="11906" w:h="16838"/>
      <w:pgMar w:left="1417" w:right="1417" w:gutter="0" w:header="0"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Liberation Sans">
    <w:altName w:val="Arial"/>
    <w:charset w:val="ee" w:characterSet="windows-1250"/>
    <w:family w:val="swiss"/>
    <w:pitch w:val="variable"/>
  </w:font>
  <w:font w:name="Times New Roman">
    <w:charset w:val="ee" w:characterSet="windows-125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2120369770"/>
      <w:docPartObj>
        <w:docPartGallery w:val="Page Numbers (Bottom of Page)"/>
        <w:docPartUnique w:val="true"/>
      </w:docPartObj>
    </w:sdtPr>
    <w:sdtContent>
      <w:p>
        <w:pPr>
          <w:pStyle w:val="Footer"/>
          <w:jc w:val="center"/>
          <w:rPr/>
        </w:pPr>
        <w:r>
          <w:rPr/>
          <w:fldChar w:fldCharType="begin"/>
        </w:r>
        <w:r>
          <w:rPr/>
          <w:instrText xml:space="preserve"> PAGE </w:instrText>
        </w:r>
        <w:r>
          <w:rPr/>
          <w:fldChar w:fldCharType="separate"/>
        </w:r>
        <w:r>
          <w:rPr/>
          <w:t>17</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2120369770"/>
      <w:docPartObj>
        <w:docPartGallery w:val="Page Numbers (Bottom of Page)"/>
        <w:docPartUnique w:val="true"/>
      </w:docPartObj>
    </w:sdtPr>
    <w:sdtContent>
      <w:p>
        <w:pPr>
          <w:pStyle w:val="Footer"/>
          <w:jc w:val="center"/>
          <w:rPr/>
        </w:pPr>
        <w:r>
          <w:rPr/>
          <w:fldChar w:fldCharType="begin"/>
        </w:r>
        <w:r>
          <w:rPr/>
          <w:instrText xml:space="preserve"> PAGE </w:instrText>
        </w:r>
        <w:r>
          <w:rPr/>
          <w:fldChar w:fldCharType="separate"/>
        </w:r>
        <w:r>
          <w:rPr/>
          <w:t>17</w:t>
        </w:r>
        <w:r>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36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
    <w:lvl w:ilvl="0">
      <w:start w:val="1"/>
      <w:numFmt w:val="decimal"/>
      <w:lvlText w:val="%1."/>
      <w:lvlJc w:val="start"/>
      <w:pPr>
        <w:tabs>
          <w:tab w:val="num" w:pos="0"/>
        </w:tabs>
        <w:ind w:start="720" w:hanging="360"/>
      </w:pPr>
      <w:rPr>
        <w:b w:val="false"/>
        <w:bCs/>
        <w:color w:val="auto"/>
      </w:rPr>
    </w:lvl>
    <w:lvl w:ilvl="1">
      <w:start w:val="1"/>
      <w:numFmt w:val="lowerLetter"/>
      <w:lvlText w:val="%2."/>
      <w:lvlJc w:val="start"/>
      <w:pPr>
        <w:tabs>
          <w:tab w:val="num" w:pos="0"/>
        </w:tabs>
        <w:ind w:start="1440" w:hanging="360"/>
      </w:pPr>
      <w:rPr/>
    </w:lvl>
    <w:lvl w:ilvl="2">
      <w:start w:val="1"/>
      <w:numFmt w:val="lowerLetter"/>
      <w:lvlText w:val="%3)"/>
      <w:lvlJc w:val="start"/>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
    <w:lvl w:ilvl="0">
      <w:start w:val="1"/>
      <w:numFmt w:val="decimal"/>
      <w:lvlText w:val="%1."/>
      <w:lvlJc w:val="start"/>
      <w:pPr>
        <w:tabs>
          <w:tab w:val="num" w:pos="0"/>
        </w:tabs>
        <w:ind w:start="144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
    <w:lvl w:ilvl="0">
      <w:start w:val="1"/>
      <w:numFmt w:val="decimal"/>
      <w:lvlText w:val="%1."/>
      <w:lvlJc w:val="start"/>
      <w:pPr>
        <w:tabs>
          <w:tab w:val="num" w:pos="0"/>
        </w:tabs>
        <w:ind w:start="144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5">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6">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7">
    <w:lvl w:ilvl="0">
      <w:start w:val="1"/>
      <w:numFmt w:val="decimal"/>
      <w:lvlText w:val="%1)"/>
      <w:lvlJc w:val="start"/>
      <w:pPr>
        <w:tabs>
          <w:tab w:val="num" w:pos="0"/>
        </w:tabs>
        <w:ind w:start="1146" w:hanging="360"/>
      </w:pPr>
      <w:rPr>
        <w:b w:val="false"/>
        <w:bCs/>
        <w:color w:val="auto"/>
      </w:rPr>
    </w:lvl>
    <w:lvl w:ilvl="1">
      <w:start w:val="1"/>
      <w:numFmt w:val="bullet"/>
      <w:lvlText w:val="o"/>
      <w:lvlJc w:val="start"/>
      <w:pPr>
        <w:tabs>
          <w:tab w:val="num" w:pos="0"/>
        </w:tabs>
        <w:ind w:start="1866" w:hanging="360"/>
      </w:pPr>
      <w:rPr>
        <w:rFonts w:ascii="Courier New" w:hAnsi="Courier New" w:cs="Courier New" w:hint="default"/>
      </w:rPr>
    </w:lvl>
    <w:lvl w:ilvl="2">
      <w:start w:val="1"/>
      <w:numFmt w:val="bullet"/>
      <w:lvlText w:val=""/>
      <w:lvlJc w:val="start"/>
      <w:pPr>
        <w:tabs>
          <w:tab w:val="num" w:pos="0"/>
        </w:tabs>
        <w:ind w:start="2586" w:hanging="360"/>
      </w:pPr>
      <w:rPr>
        <w:rFonts w:ascii="Wingdings" w:hAnsi="Wingdings" w:cs="Wingdings" w:hint="default"/>
      </w:rPr>
    </w:lvl>
    <w:lvl w:ilvl="3">
      <w:start w:val="1"/>
      <w:numFmt w:val="bullet"/>
      <w:lvlText w:val=""/>
      <w:lvlJc w:val="start"/>
      <w:pPr>
        <w:tabs>
          <w:tab w:val="num" w:pos="0"/>
        </w:tabs>
        <w:ind w:start="3306" w:hanging="360"/>
      </w:pPr>
      <w:rPr>
        <w:rFonts w:ascii="Symbol" w:hAnsi="Symbol" w:cs="Symbol" w:hint="default"/>
      </w:rPr>
    </w:lvl>
    <w:lvl w:ilvl="4">
      <w:start w:val="1"/>
      <w:numFmt w:val="bullet"/>
      <w:lvlText w:val="o"/>
      <w:lvlJc w:val="start"/>
      <w:pPr>
        <w:tabs>
          <w:tab w:val="num" w:pos="0"/>
        </w:tabs>
        <w:ind w:start="4026" w:hanging="360"/>
      </w:pPr>
      <w:rPr>
        <w:rFonts w:ascii="Courier New" w:hAnsi="Courier New" w:cs="Courier New" w:hint="default"/>
      </w:rPr>
    </w:lvl>
    <w:lvl w:ilvl="5">
      <w:start w:val="1"/>
      <w:numFmt w:val="bullet"/>
      <w:lvlText w:val=""/>
      <w:lvlJc w:val="start"/>
      <w:pPr>
        <w:tabs>
          <w:tab w:val="num" w:pos="0"/>
        </w:tabs>
        <w:ind w:start="4746" w:hanging="360"/>
      </w:pPr>
      <w:rPr>
        <w:rFonts w:ascii="Wingdings" w:hAnsi="Wingdings" w:cs="Wingdings" w:hint="default"/>
      </w:rPr>
    </w:lvl>
    <w:lvl w:ilvl="6">
      <w:start w:val="1"/>
      <w:numFmt w:val="bullet"/>
      <w:lvlText w:val=""/>
      <w:lvlJc w:val="start"/>
      <w:pPr>
        <w:tabs>
          <w:tab w:val="num" w:pos="0"/>
        </w:tabs>
        <w:ind w:start="5466" w:hanging="360"/>
      </w:pPr>
      <w:rPr>
        <w:rFonts w:ascii="Symbol" w:hAnsi="Symbol" w:cs="Symbol" w:hint="default"/>
      </w:rPr>
    </w:lvl>
    <w:lvl w:ilvl="7">
      <w:start w:val="1"/>
      <w:numFmt w:val="bullet"/>
      <w:lvlText w:val="o"/>
      <w:lvlJc w:val="start"/>
      <w:pPr>
        <w:tabs>
          <w:tab w:val="num" w:pos="0"/>
        </w:tabs>
        <w:ind w:start="6186" w:hanging="360"/>
      </w:pPr>
      <w:rPr>
        <w:rFonts w:ascii="Courier New" w:hAnsi="Courier New" w:cs="Courier New" w:hint="default"/>
      </w:rPr>
    </w:lvl>
    <w:lvl w:ilvl="8">
      <w:start w:val="1"/>
      <w:numFmt w:val="bullet"/>
      <w:lvlText w:val=""/>
      <w:lvlJc w:val="start"/>
      <w:pPr>
        <w:tabs>
          <w:tab w:val="num" w:pos="0"/>
        </w:tabs>
        <w:ind w:start="6906" w:hanging="360"/>
      </w:pPr>
      <w:rPr>
        <w:rFonts w:ascii="Wingdings" w:hAnsi="Wingdings" w:cs="Wingdings" w:hint="default"/>
      </w:rPr>
    </w:lvl>
  </w:abstractNum>
  <w:abstractNum w:abstractNumId="8">
    <w:lvl w:ilvl="0">
      <w:start w:val="1"/>
      <w:numFmt w:val="decimal"/>
      <w:lvlText w:val="%1)"/>
      <w:lvlJc w:val="start"/>
      <w:pPr>
        <w:tabs>
          <w:tab w:val="num" w:pos="0"/>
        </w:tabs>
        <w:ind w:start="720" w:hanging="360"/>
      </w:pPr>
      <w:rPr>
        <w:b w:val="false"/>
        <w:bCs/>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9">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0">
    <w:lvl w:ilvl="0">
      <w:start w:val="1"/>
      <w:numFmt w:val="lowerLetter"/>
      <w:lvlText w:val="%1)"/>
      <w:lvlJc w:val="start"/>
      <w:pPr>
        <w:tabs>
          <w:tab w:val="num" w:pos="0"/>
        </w:tabs>
        <w:ind w:start="785" w:hanging="360"/>
      </w:pPr>
      <w:rPr/>
    </w:lvl>
    <w:lvl w:ilvl="1">
      <w:start w:val="1"/>
      <w:numFmt w:val="lowerLetter"/>
      <w:lvlText w:val="%2."/>
      <w:lvlJc w:val="start"/>
      <w:pPr>
        <w:tabs>
          <w:tab w:val="num" w:pos="0"/>
        </w:tabs>
        <w:ind w:start="1505" w:hanging="360"/>
      </w:pPr>
      <w:rPr/>
    </w:lvl>
    <w:lvl w:ilvl="2">
      <w:start w:val="1"/>
      <w:numFmt w:val="lowerRoman"/>
      <w:lvlText w:val="%3."/>
      <w:lvlJc w:val="end"/>
      <w:pPr>
        <w:tabs>
          <w:tab w:val="num" w:pos="0"/>
        </w:tabs>
        <w:ind w:start="2225" w:hanging="180"/>
      </w:pPr>
      <w:rPr/>
    </w:lvl>
    <w:lvl w:ilvl="3">
      <w:start w:val="1"/>
      <w:numFmt w:val="decimal"/>
      <w:lvlText w:val="%4."/>
      <w:lvlJc w:val="start"/>
      <w:pPr>
        <w:tabs>
          <w:tab w:val="num" w:pos="0"/>
        </w:tabs>
        <w:ind w:start="2945" w:hanging="360"/>
      </w:pPr>
      <w:rPr/>
    </w:lvl>
    <w:lvl w:ilvl="4">
      <w:start w:val="1"/>
      <w:numFmt w:val="lowerLetter"/>
      <w:lvlText w:val="%5."/>
      <w:lvlJc w:val="start"/>
      <w:pPr>
        <w:tabs>
          <w:tab w:val="num" w:pos="0"/>
        </w:tabs>
        <w:ind w:start="3665" w:hanging="360"/>
      </w:pPr>
      <w:rPr/>
    </w:lvl>
    <w:lvl w:ilvl="5">
      <w:start w:val="1"/>
      <w:numFmt w:val="lowerRoman"/>
      <w:lvlText w:val="%6."/>
      <w:lvlJc w:val="end"/>
      <w:pPr>
        <w:tabs>
          <w:tab w:val="num" w:pos="0"/>
        </w:tabs>
        <w:ind w:start="4385" w:hanging="180"/>
      </w:pPr>
      <w:rPr/>
    </w:lvl>
    <w:lvl w:ilvl="6">
      <w:start w:val="1"/>
      <w:numFmt w:val="decimal"/>
      <w:lvlText w:val="%7."/>
      <w:lvlJc w:val="start"/>
      <w:pPr>
        <w:tabs>
          <w:tab w:val="num" w:pos="0"/>
        </w:tabs>
        <w:ind w:start="5105" w:hanging="360"/>
      </w:pPr>
      <w:rPr/>
    </w:lvl>
    <w:lvl w:ilvl="7">
      <w:start w:val="1"/>
      <w:numFmt w:val="lowerLetter"/>
      <w:lvlText w:val="%8."/>
      <w:lvlJc w:val="start"/>
      <w:pPr>
        <w:tabs>
          <w:tab w:val="num" w:pos="0"/>
        </w:tabs>
        <w:ind w:start="5825" w:hanging="360"/>
      </w:pPr>
      <w:rPr/>
    </w:lvl>
    <w:lvl w:ilvl="8">
      <w:start w:val="1"/>
      <w:numFmt w:val="lowerRoman"/>
      <w:lvlText w:val="%9."/>
      <w:lvlJc w:val="end"/>
      <w:pPr>
        <w:tabs>
          <w:tab w:val="num" w:pos="0"/>
        </w:tabs>
        <w:ind w:start="6545" w:hanging="180"/>
      </w:pPr>
      <w:rPr/>
    </w:lvl>
  </w:abstractNum>
  <w:abstractNum w:abstractNumId="11">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2">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3">
    <w:lvl w:ilvl="0">
      <w:start w:val="1"/>
      <w:numFmt w:val="decimal"/>
      <w:lvlText w:val="%1."/>
      <w:lvlJc w:val="start"/>
      <w:pPr>
        <w:tabs>
          <w:tab w:val="num" w:pos="720"/>
        </w:tabs>
        <w:ind w:start="720" w:hanging="360"/>
      </w:pPr>
      <w:rPr>
        <w:color w:val="auto"/>
      </w:rPr>
    </w:lvl>
    <w:lvl w:ilvl="1">
      <w:start w:val="1"/>
      <w:numFmt w:val="decimal"/>
      <w:lvlText w:val="%2."/>
      <w:lvlJc w:val="start"/>
      <w:pPr>
        <w:tabs>
          <w:tab w:val="num" w:pos="1440"/>
        </w:tabs>
        <w:ind w:start="1440" w:hanging="360"/>
      </w:pPr>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14">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5">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6">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7">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8">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9">
    <w:lvl w:ilvl="0">
      <w:start w:val="1"/>
      <w:numFmt w:val="decimal"/>
      <w:lvlText w:val="%1."/>
      <w:lvlJc w:val="start"/>
      <w:pPr>
        <w:tabs>
          <w:tab w:val="num" w:pos="0"/>
        </w:tabs>
        <w:ind w:start="502"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0">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1">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2">
    <w:lvl w:ilvl="0">
      <w:start w:val="1"/>
      <w:numFmt w:val="decimal"/>
      <w:lvlText w:val="%1."/>
      <w:lvlJc w:val="start"/>
      <w:pPr>
        <w:tabs>
          <w:tab w:val="num" w:pos="0"/>
        </w:tabs>
        <w:ind w:start="1440" w:hanging="360"/>
      </w:pPr>
      <w:rPr/>
    </w:lvl>
    <w:lvl w:ilvl="1">
      <w:start w:val="1"/>
      <w:numFmt w:val="lowerLetter"/>
      <w:lvlText w:val="%2."/>
      <w:lvlJc w:val="start"/>
      <w:pPr>
        <w:tabs>
          <w:tab w:val="num" w:pos="0"/>
        </w:tabs>
        <w:ind w:start="2520" w:hanging="360"/>
      </w:pPr>
      <w:rPr/>
    </w:lvl>
    <w:lvl w:ilvl="2">
      <w:start w:val="1"/>
      <w:numFmt w:val="lowerRoman"/>
      <w:lvlText w:val="%3."/>
      <w:lvlJc w:val="end"/>
      <w:pPr>
        <w:tabs>
          <w:tab w:val="num" w:pos="0"/>
        </w:tabs>
        <w:ind w:start="3240" w:hanging="180"/>
      </w:pPr>
      <w:rPr/>
    </w:lvl>
    <w:lvl w:ilvl="3">
      <w:start w:val="1"/>
      <w:numFmt w:val="decimal"/>
      <w:lvlText w:val="%4."/>
      <w:lvlJc w:val="start"/>
      <w:pPr>
        <w:tabs>
          <w:tab w:val="num" w:pos="0"/>
        </w:tabs>
        <w:ind w:start="3960" w:hanging="360"/>
      </w:pPr>
      <w:rPr/>
    </w:lvl>
    <w:lvl w:ilvl="4">
      <w:start w:val="1"/>
      <w:numFmt w:val="lowerLetter"/>
      <w:lvlText w:val="%5."/>
      <w:lvlJc w:val="start"/>
      <w:pPr>
        <w:tabs>
          <w:tab w:val="num" w:pos="0"/>
        </w:tabs>
        <w:ind w:start="4680" w:hanging="360"/>
      </w:pPr>
      <w:rPr/>
    </w:lvl>
    <w:lvl w:ilvl="5">
      <w:start w:val="1"/>
      <w:numFmt w:val="lowerRoman"/>
      <w:lvlText w:val="%6."/>
      <w:lvlJc w:val="end"/>
      <w:pPr>
        <w:tabs>
          <w:tab w:val="num" w:pos="0"/>
        </w:tabs>
        <w:ind w:start="5400" w:hanging="180"/>
      </w:pPr>
      <w:rPr/>
    </w:lvl>
    <w:lvl w:ilvl="6">
      <w:start w:val="1"/>
      <w:numFmt w:val="decimal"/>
      <w:lvlText w:val="%7."/>
      <w:lvlJc w:val="start"/>
      <w:pPr>
        <w:tabs>
          <w:tab w:val="num" w:pos="0"/>
        </w:tabs>
        <w:ind w:start="6120" w:hanging="360"/>
      </w:pPr>
      <w:rPr/>
    </w:lvl>
    <w:lvl w:ilvl="7">
      <w:start w:val="1"/>
      <w:numFmt w:val="lowerLetter"/>
      <w:lvlText w:val="%8."/>
      <w:lvlJc w:val="start"/>
      <w:pPr>
        <w:tabs>
          <w:tab w:val="num" w:pos="0"/>
        </w:tabs>
        <w:ind w:start="6840" w:hanging="360"/>
      </w:pPr>
      <w:rPr/>
    </w:lvl>
    <w:lvl w:ilvl="8">
      <w:start w:val="1"/>
      <w:numFmt w:val="lowerRoman"/>
      <w:lvlText w:val="%9."/>
      <w:lvlJc w:val="end"/>
      <w:pPr>
        <w:tabs>
          <w:tab w:val="num" w:pos="0"/>
        </w:tabs>
        <w:ind w:start="7560" w:hanging="180"/>
      </w:pPr>
      <w:rPr/>
    </w:lvl>
  </w:abstractNum>
  <w:abstractNum w:abstractNumId="23">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4">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5">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440"/>
        </w:tabs>
        <w:ind w:start="1440" w:hanging="360"/>
      </w:pPr>
      <w:rPr/>
    </w:lvl>
    <w:lvl w:ilvl="2">
      <w:start w:val="10"/>
      <w:numFmt w:val="decimal"/>
      <w:lvlText w:val="%3"/>
      <w:lvlJc w:val="start"/>
      <w:pPr>
        <w:tabs>
          <w:tab w:val="num" w:pos="0"/>
        </w:tabs>
        <w:ind w:start="2160" w:hanging="360"/>
      </w:pPr>
      <w:rPr/>
    </w:lvl>
    <w:lvl w:ilvl="3">
      <w:start w:val="1"/>
      <w:numFmt w:val="decimal"/>
      <w:lvlText w:val="%4)"/>
      <w:lvlJc w:val="start"/>
      <w:pPr>
        <w:tabs>
          <w:tab w:val="num" w:pos="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26">
    <w:lvl w:ilvl="0">
      <w:start w:val="2"/>
      <w:numFmt w:val="decimal"/>
      <w:lvlText w:val="%1."/>
      <w:lvlJc w:val="start"/>
      <w:pPr>
        <w:tabs>
          <w:tab w:val="num" w:pos="720"/>
        </w:tabs>
        <w:ind w:start="720" w:hanging="360"/>
      </w:pPr>
      <w:rPr/>
    </w:lvl>
    <w:lvl w:ilvl="1">
      <w:start w:val="1"/>
      <w:numFmt w:val="decimal"/>
      <w:lvlText w:val="%2)"/>
      <w:lvlJc w:val="start"/>
      <w:pPr>
        <w:tabs>
          <w:tab w:val="num" w:pos="1440"/>
        </w:tabs>
        <w:ind w:start="1440" w:hanging="360"/>
      </w:pPr>
      <w:rPr>
        <w:rFonts w:ascii="Times New Roman" w:hAnsi="Times New Roman" w:eastAsia="Times New Roman" w:cs="Times New Roman"/>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27">
    <w:lvl w:ilvl="0">
      <w:start w:val="3"/>
      <w:numFmt w:val="decimal"/>
      <w:lvlText w:val="%1."/>
      <w:lvlJc w:val="start"/>
      <w:pPr>
        <w:tabs>
          <w:tab w:val="num" w:pos="720"/>
        </w:tabs>
        <w:ind w:start="720" w:hanging="360"/>
      </w:pPr>
      <w:rPr/>
    </w:lvl>
    <w:lvl w:ilvl="1">
      <w:start w:val="1"/>
      <w:numFmt w:val="decimal"/>
      <w:lvlText w:val="%2."/>
      <w:lvlJc w:val="start"/>
      <w:pPr>
        <w:tabs>
          <w:tab w:val="num" w:pos="1440"/>
        </w:tabs>
        <w:ind w:start="1440" w:hanging="360"/>
      </w:pPr>
      <w:rPr/>
    </w:lvl>
    <w:lvl w:ilvl="2">
      <w:start w:val="1"/>
      <w:numFmt w:val="decimal"/>
      <w:lvlText w:val="%3)"/>
      <w:lvlJc w:val="start"/>
      <w:pPr>
        <w:tabs>
          <w:tab w:val="num" w:pos="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28">
    <w:lvl w:ilvl="0">
      <w:start w:val="4"/>
      <w:numFmt w:val="decimal"/>
      <w:lvlText w:val="%1."/>
      <w:lvlJc w:val="start"/>
      <w:pPr>
        <w:tabs>
          <w:tab w:val="num" w:pos="720"/>
        </w:tabs>
        <w:ind w:start="720" w:hanging="360"/>
      </w:pPr>
      <w:rPr/>
    </w:lvl>
    <w:lvl w:ilvl="1">
      <w:start w:val="1"/>
      <w:numFmt w:val="decimal"/>
      <w:lvlText w:val="%2)"/>
      <w:lvlJc w:val="start"/>
      <w:pPr>
        <w:tabs>
          <w:tab w:val="num" w:pos="1440"/>
        </w:tabs>
        <w:ind w:start="1440" w:hanging="360"/>
      </w:pPr>
      <w:rPr>
        <w:rFonts w:ascii="Times New Roman" w:hAnsi="Times New Roman" w:eastAsia="Times New Roman" w:cs="Times New Roman"/>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29">
    <w:lvl w:ilvl="0">
      <w:start w:val="5"/>
      <w:numFmt w:val="decimal"/>
      <w:lvlText w:val="%1."/>
      <w:lvlJc w:val="start"/>
      <w:pPr>
        <w:tabs>
          <w:tab w:val="num" w:pos="720"/>
        </w:tabs>
        <w:ind w:start="720" w:hanging="360"/>
      </w:pPr>
      <w:rPr/>
    </w:lvl>
    <w:lvl w:ilvl="1">
      <w:start w:val="1"/>
      <w:numFmt w:val="decimal"/>
      <w:lvlText w:val="%2."/>
      <w:lvlJc w:val="start"/>
      <w:pPr>
        <w:tabs>
          <w:tab w:val="num" w:pos="1440"/>
        </w:tabs>
        <w:ind w:start="1440" w:hanging="360"/>
      </w:pPr>
      <w:rPr/>
    </w:lvl>
    <w:lvl w:ilvl="2">
      <w:start w:val="1"/>
      <w:numFmt w:val="decimal"/>
      <w:lvlText w:val="%3)"/>
      <w:lvlJc w:val="start"/>
      <w:pPr>
        <w:tabs>
          <w:tab w:val="num" w:pos="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30">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2"/>
    <w:lvlOverride w:ilvl="0">
      <w:startOverride w:val="1"/>
    </w:lvlOverride>
  </w:num>
  <w:num w:numId="32">
    <w:abstractNumId w:val="13"/>
    <w:lvlOverride w:ilvl="0">
      <w:startOverride w:val="1"/>
    </w:lvlOverride>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ne-NP"/>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Mangal" w:asciiTheme="minorHAnsi" w:cstheme="minorBidi" w:eastAsiaTheme="minorHAnsi" w:hAnsiTheme="minorHAnsi"/>
        <w:kern w:val="2"/>
        <w:sz w:val="22"/>
        <w:szCs w:val="22"/>
        <w:lang w:val="pl-PL"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36951"/>
    <w:pPr>
      <w:widowControl/>
      <w:bidi w:val="0"/>
      <w:spacing w:lineRule="auto" w:line="259" w:before="0" w:after="160"/>
      <w:jc w:val="start"/>
    </w:pPr>
    <w:rPr>
      <w:rFonts w:ascii="Calibri" w:hAnsi="Calibri" w:eastAsia="Calibri" w:cs="Mangal" w:asciiTheme="minorHAnsi" w:cstheme="minorBidi" w:eastAsiaTheme="minorHAnsi" w:hAnsiTheme="minorHAnsi"/>
      <w:color w:val="auto"/>
      <w:kern w:val="2"/>
      <w:sz w:val="22"/>
      <w:szCs w:val="22"/>
      <w:lang w:val="pl-PL" w:eastAsia="en-US" w:bidi="ar-SA"/>
      <w14:ligatures w14:val="standardContextual"/>
    </w:rPr>
  </w:style>
  <w:style w:type="character" w:styleId="DefaultParagraphFont" w:default="1">
    <w:name w:val="Default Paragraph Font"/>
    <w:uiPriority w:val="1"/>
    <w:semiHidden/>
    <w:unhideWhenUsed/>
    <w:qFormat/>
    <w:rPr/>
  </w:style>
  <w:style w:type="character" w:styleId="AkapitzlistZnak" w:customStyle="1">
    <w:name w:val="Akapit z listą Znak"/>
    <w:link w:val="ListParagraph"/>
    <w:uiPriority w:val="34"/>
    <w:qFormat/>
    <w:rsid w:val="009d6805"/>
    <w:rPr/>
  </w:style>
  <w:style w:type="character" w:styleId="NagwekZnak" w:customStyle="1">
    <w:name w:val="Nagłówek Znak"/>
    <w:basedOn w:val="DefaultParagraphFont"/>
    <w:uiPriority w:val="99"/>
    <w:qFormat/>
    <w:rsid w:val="009d6805"/>
    <w:rPr/>
  </w:style>
  <w:style w:type="character" w:styleId="StopkaZnak" w:customStyle="1">
    <w:name w:val="Stopka Znak"/>
    <w:basedOn w:val="DefaultParagraphFont"/>
    <w:uiPriority w:val="99"/>
    <w:qFormat/>
    <w:rsid w:val="009d6805"/>
    <w:rPr/>
  </w:style>
  <w:style w:type="character" w:styleId="Hyperlink">
    <w:name w:val="Hyperlink"/>
    <w:basedOn w:val="DefaultParagraphFont"/>
    <w:uiPriority w:val="99"/>
    <w:unhideWhenUsed/>
    <w:rsid w:val="006d65dd"/>
    <w:rPr>
      <w:color w:themeColor="hyperlink" w:val="0563C1"/>
      <w:u w:val="single"/>
    </w:rPr>
  </w:style>
  <w:style w:type="character" w:styleId="UnresolvedMention">
    <w:name w:val="Unresolved Mention"/>
    <w:basedOn w:val="DefaultParagraphFont"/>
    <w:uiPriority w:val="99"/>
    <w:semiHidden/>
    <w:unhideWhenUsed/>
    <w:qFormat/>
    <w:rsid w:val="006d65dd"/>
    <w:rPr>
      <w:color w:val="605E5C"/>
      <w:shd w:fill="E1DFDD" w:val="clear"/>
    </w:rPr>
  </w:style>
  <w:style w:type="character" w:styleId="CommentReference">
    <w:name w:val="annotation reference"/>
    <w:basedOn w:val="DefaultParagraphFont"/>
    <w:uiPriority w:val="99"/>
    <w:semiHidden/>
    <w:unhideWhenUsed/>
    <w:qFormat/>
    <w:rsid w:val="00e01283"/>
    <w:rPr>
      <w:sz w:val="16"/>
      <w:szCs w:val="16"/>
    </w:rPr>
  </w:style>
  <w:style w:type="character" w:styleId="TekstkomentarzaZnak" w:customStyle="1">
    <w:name w:val="Tekst komentarza Znak"/>
    <w:basedOn w:val="DefaultParagraphFont"/>
    <w:link w:val="CommentText"/>
    <w:uiPriority w:val="99"/>
    <w:semiHidden/>
    <w:qFormat/>
    <w:rsid w:val="00e01283"/>
    <w:rPr>
      <w:sz w:val="20"/>
      <w:szCs w:val="20"/>
    </w:rPr>
  </w:style>
  <w:style w:type="character" w:styleId="TematkomentarzaZnak" w:customStyle="1">
    <w:name w:val="Temat komentarza Znak"/>
    <w:basedOn w:val="TekstkomentarzaZnak"/>
    <w:link w:val="annotationsubject"/>
    <w:uiPriority w:val="99"/>
    <w:semiHidden/>
    <w:qFormat/>
    <w:rsid w:val="00e01283"/>
    <w:rPr>
      <w:b/>
      <w:bCs/>
      <w:sz w:val="20"/>
      <w:szCs w:val="20"/>
    </w:rPr>
  </w:style>
  <w:style w:type="paragraph" w:styleId="Nagwek">
    <w:name w:val="Nagłówek"/>
    <w:basedOn w:val="Normal"/>
    <w:next w:val="BodyText"/>
    <w:qFormat/>
    <w:pPr>
      <w:keepNext w:val="true"/>
      <w:spacing w:before="240" w:after="120"/>
    </w:pPr>
    <w:rPr>
      <w:rFonts w:ascii="Liberation Sans" w:hAnsi="Liberation Sans" w:eastAsia="Microsoft YaHei"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ks">
    <w:name w:val="Indeks"/>
    <w:basedOn w:val="Normal"/>
    <w:qFormat/>
    <w:pPr>
      <w:suppressLineNumbers/>
    </w:pPr>
    <w:rPr>
      <w:rFonts w:cs="Arial Unicode MS"/>
    </w:rPr>
  </w:style>
  <w:style w:type="paragraph" w:styleId="ListParagraph">
    <w:name w:val="List Paragraph"/>
    <w:basedOn w:val="Normal"/>
    <w:link w:val="AkapitzlistZnak"/>
    <w:uiPriority w:val="34"/>
    <w:qFormat/>
    <w:rsid w:val="009d6805"/>
    <w:pPr>
      <w:spacing w:before="0" w:after="160"/>
      <w:ind w:start="720"/>
      <w:contextualSpacing/>
    </w:pPr>
    <w:rPr/>
  </w:style>
  <w:style w:type="paragraph" w:styleId="Default" w:customStyle="1">
    <w:name w:val="Default"/>
    <w:qFormat/>
    <w:rsid w:val="009d6805"/>
    <w:pPr>
      <w:widowControl/>
      <w:bidi w:val="0"/>
      <w:spacing w:lineRule="auto" w:line="240" w:before="0" w:after="0"/>
      <w:jc w:val="start"/>
    </w:pPr>
    <w:rPr>
      <w:rFonts w:ascii="Times New Roman" w:hAnsi="Times New Roman" w:cs="Times New Roman" w:eastAsia="Calibri"/>
      <w:color w:val="000000"/>
      <w:kern w:val="0"/>
      <w:sz w:val="24"/>
      <w:szCs w:val="24"/>
      <w:lang w:val="pl-PL" w:eastAsia="en-US" w:bidi="ar-SA"/>
    </w:rPr>
  </w:style>
  <w:style w:type="paragraph" w:styleId="NormalWeb">
    <w:name w:val="Normal (Web)"/>
    <w:basedOn w:val="Normal"/>
    <w:uiPriority w:val="99"/>
    <w:unhideWhenUsed/>
    <w:qFormat/>
    <w:rsid w:val="009d6805"/>
    <w:pPr>
      <w:spacing w:lineRule="auto" w:line="360" w:beforeAutospacing="1" w:after="0"/>
      <w:jc w:val="both"/>
    </w:pPr>
    <w:rPr>
      <w:rFonts w:ascii="Times New Roman" w:hAnsi="Times New Roman" w:eastAsia="Times New Roman" w:cs="Times New Roman"/>
      <w:kern w:val="0"/>
      <w:sz w:val="24"/>
      <w:szCs w:val="24"/>
      <w:lang w:eastAsia="pl-PL"/>
      <w14:ligatures w14:val="none"/>
    </w:rPr>
  </w:style>
  <w:style w:type="paragraph" w:styleId="Gwkaistopka">
    <w:name w:val="Główka i stopka"/>
    <w:basedOn w:val="Normal"/>
    <w:qFormat/>
    <w:pPr/>
    <w:rPr/>
  </w:style>
  <w:style w:type="paragraph" w:styleId="Header">
    <w:name w:val="header"/>
    <w:basedOn w:val="Normal"/>
    <w:link w:val="NagwekZnak"/>
    <w:uiPriority w:val="99"/>
    <w:unhideWhenUsed/>
    <w:rsid w:val="009d6805"/>
    <w:pPr>
      <w:tabs>
        <w:tab w:val="clear" w:pos="708"/>
        <w:tab w:val="center" w:pos="4536" w:leader="none"/>
        <w:tab w:val="right" w:pos="9072" w:leader="none"/>
      </w:tabs>
      <w:spacing w:lineRule="auto" w:line="240" w:before="0" w:after="0"/>
    </w:pPr>
    <w:rPr/>
  </w:style>
  <w:style w:type="paragraph" w:styleId="Footer">
    <w:name w:val="footer"/>
    <w:basedOn w:val="Normal"/>
    <w:link w:val="StopkaZnak"/>
    <w:uiPriority w:val="99"/>
    <w:unhideWhenUsed/>
    <w:rsid w:val="009d6805"/>
    <w:pPr>
      <w:tabs>
        <w:tab w:val="clear" w:pos="708"/>
        <w:tab w:val="center" w:pos="4536" w:leader="none"/>
        <w:tab w:val="right" w:pos="9072" w:leader="none"/>
      </w:tabs>
      <w:spacing w:lineRule="auto" w:line="240" w:before="0" w:after="0"/>
    </w:pPr>
    <w:rPr/>
  </w:style>
  <w:style w:type="paragraph" w:styleId="CommentText">
    <w:name w:val="annotation text"/>
    <w:basedOn w:val="Normal"/>
    <w:link w:val="TekstkomentarzaZnak"/>
    <w:uiPriority w:val="99"/>
    <w:semiHidden/>
    <w:unhideWhenUsed/>
    <w:rsid w:val="00e01283"/>
    <w:pPr>
      <w:spacing w:lineRule="auto" w:line="240"/>
    </w:pPr>
    <w:rPr>
      <w:sz w:val="20"/>
      <w:szCs w:val="20"/>
    </w:rPr>
  </w:style>
  <w:style w:type="paragraph" w:styleId="annotationsubject">
    <w:name w:val="annotation subject"/>
    <w:basedOn w:val="CommentText"/>
    <w:next w:val="CommentText"/>
    <w:link w:val="TematkomentarzaZnak"/>
    <w:uiPriority w:val="99"/>
    <w:semiHidden/>
    <w:unhideWhenUsed/>
    <w:qFormat/>
    <w:rsid w:val="00e01283"/>
    <w:pPr/>
    <w:rPr>
      <w:b/>
      <w:bCs/>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zgk@zgk.wieliczka.eu" TargetMode="Externa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BEFEB-61B3-437B-93BF-5AC0D1273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Application>LibreOffice/26.2.1.2$Windows_X86_64 LibreOffice_project/620$Build-2</Application>
  <AppVersion>15.0000</AppVersion>
  <Pages>17</Pages>
  <Words>6396</Words>
  <Characters>43118</Characters>
  <CharactersWithSpaces>49279</CharactersWithSpaces>
  <Paragraphs>360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2026-04-14T06:28:00Z</dcterms:created>
  <dc:creator/>
  <dc:description/>
  <dc:language>pl-PL</dc:language>
  <cp:lastModifiedBy/>
  <dcterms:modified xsi:type="dcterms:W3CDTF">2026-04-21T07:01:17Z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