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B168FC" w14:textId="77777777" w:rsidR="00FB743D" w:rsidRPr="00DE2270" w:rsidRDefault="00FB743D" w:rsidP="00FB743D">
      <w:pPr>
        <w:tabs>
          <w:tab w:val="left" w:pos="2835"/>
        </w:tabs>
        <w:spacing w:after="120" w:line="276" w:lineRule="auto"/>
        <w:ind w:left="2835" w:hanging="2835"/>
        <w:rPr>
          <w:rFonts w:ascii="Verdana" w:hAnsi="Verdana" w:cs="Calibri"/>
          <w:b/>
        </w:rPr>
      </w:pPr>
      <w:r w:rsidRPr="00013A53">
        <w:rPr>
          <w:rFonts w:ascii="Verdana" w:hAnsi="Verdana" w:cs="Calibri"/>
          <w:i/>
        </w:rPr>
        <w:t>Załącznik nr 2 do SWZ</w:t>
      </w:r>
      <w:r w:rsidRPr="00DE2270">
        <w:rPr>
          <w:rFonts w:ascii="Verdana" w:hAnsi="Verdana" w:cs="Calibri"/>
          <w:b/>
        </w:rPr>
        <w:t xml:space="preserve"> – FORMULARZ OFERTY  </w:t>
      </w:r>
    </w:p>
    <w:p w14:paraId="041586E2" w14:textId="77777777" w:rsidR="00FB743D" w:rsidRPr="00DE2270" w:rsidRDefault="00FB743D" w:rsidP="00B94395">
      <w:pPr>
        <w:spacing w:before="240" w:line="276" w:lineRule="auto"/>
        <w:rPr>
          <w:rFonts w:ascii="Verdana" w:hAnsi="Verdana" w:cs="Calibri"/>
          <w:u w:val="single"/>
        </w:rPr>
      </w:pPr>
      <w:r w:rsidRPr="00DE2270">
        <w:rPr>
          <w:rFonts w:ascii="Verdana" w:hAnsi="Verdana" w:cs="Calibri"/>
          <w:u w:val="single"/>
        </w:rPr>
        <w:t xml:space="preserve">Nazwa </w:t>
      </w:r>
      <w:r>
        <w:rPr>
          <w:rFonts w:ascii="Verdana" w:hAnsi="Verdana" w:cs="Calibri"/>
          <w:u w:val="single"/>
        </w:rPr>
        <w:t>zamówienia</w:t>
      </w:r>
      <w:r w:rsidRPr="00DE2270">
        <w:rPr>
          <w:rFonts w:ascii="Verdana" w:hAnsi="Verdana" w:cs="Calibri"/>
          <w:u w:val="single"/>
        </w:rPr>
        <w:t xml:space="preserve">: </w:t>
      </w:r>
    </w:p>
    <w:p w14:paraId="48E43EFA" w14:textId="77777777" w:rsidR="00FB743D" w:rsidRPr="00126E66" w:rsidRDefault="00FB743D" w:rsidP="00FB743D">
      <w:pPr>
        <w:spacing w:after="120"/>
        <w:rPr>
          <w:rFonts w:ascii="Verdana" w:hAnsi="Verdana" w:cs="Calibri"/>
          <w:b/>
        </w:rPr>
      </w:pPr>
      <w:r w:rsidRPr="00DE2270">
        <w:rPr>
          <w:rFonts w:ascii="Verdana" w:hAnsi="Verdana" w:cs="Calibri"/>
          <w:b/>
        </w:rPr>
        <w:t xml:space="preserve">Dostawa </w:t>
      </w:r>
      <w:r>
        <w:rPr>
          <w:rFonts w:ascii="Verdana" w:hAnsi="Verdana" w:cs="Calibri"/>
          <w:b/>
        </w:rPr>
        <w:t>symulatorów krążeniowo-oddechowych kardiologicznych (3 kpl.)</w:t>
      </w:r>
    </w:p>
    <w:p w14:paraId="7750E378" w14:textId="77777777" w:rsidR="00FB743D" w:rsidRPr="00DE2270" w:rsidRDefault="00FB743D" w:rsidP="00B94395">
      <w:pPr>
        <w:spacing w:before="240" w:line="276" w:lineRule="auto"/>
        <w:rPr>
          <w:rFonts w:ascii="Verdana" w:hAnsi="Verdana" w:cs="Calibri"/>
          <w:b/>
          <w:u w:val="single"/>
        </w:rPr>
      </w:pPr>
      <w:r w:rsidRPr="00DE2270">
        <w:rPr>
          <w:rFonts w:ascii="Verdana" w:hAnsi="Verdana" w:cs="Calibri"/>
          <w:b/>
          <w:u w:val="single"/>
        </w:rPr>
        <w:t>Zamawiający:</w:t>
      </w:r>
    </w:p>
    <w:p w14:paraId="75336CF3" w14:textId="77777777" w:rsidR="00FB743D" w:rsidRPr="00DE2270" w:rsidRDefault="00FB743D" w:rsidP="00FB743D">
      <w:pPr>
        <w:spacing w:line="276" w:lineRule="auto"/>
        <w:rPr>
          <w:rFonts w:ascii="Verdana" w:hAnsi="Verdana" w:cs="Calibri"/>
        </w:rPr>
      </w:pPr>
      <w:r w:rsidRPr="00DE2270">
        <w:rPr>
          <w:rFonts w:ascii="Verdana" w:hAnsi="Verdana" w:cs="Calibri"/>
        </w:rPr>
        <w:t xml:space="preserve">Uniwersytet Medyczny w Lublinie </w:t>
      </w:r>
    </w:p>
    <w:p w14:paraId="50E797F1" w14:textId="77777777" w:rsidR="00FB743D" w:rsidRPr="00DE2270" w:rsidRDefault="00FB743D" w:rsidP="00FB743D">
      <w:pPr>
        <w:spacing w:line="276" w:lineRule="auto"/>
        <w:rPr>
          <w:rFonts w:ascii="Verdana" w:hAnsi="Verdana" w:cs="Calibri"/>
        </w:rPr>
      </w:pPr>
      <w:r w:rsidRPr="00DE2270">
        <w:rPr>
          <w:rFonts w:ascii="Verdana" w:hAnsi="Verdana" w:cs="Calibri"/>
        </w:rPr>
        <w:t>20-059 Lublin,  Al. Racławickie 1</w:t>
      </w:r>
    </w:p>
    <w:p w14:paraId="5FBCE785" w14:textId="77777777" w:rsidR="00FB743D" w:rsidRPr="00DE2270" w:rsidRDefault="00FB743D" w:rsidP="00FB743D">
      <w:pPr>
        <w:spacing w:line="276" w:lineRule="auto"/>
        <w:rPr>
          <w:rFonts w:ascii="Verdana" w:hAnsi="Verdana" w:cs="Calibri"/>
        </w:rPr>
      </w:pPr>
      <w:r w:rsidRPr="00DE2270">
        <w:rPr>
          <w:rFonts w:ascii="Verdana" w:hAnsi="Verdana" w:cs="Calibri"/>
        </w:rPr>
        <w:t xml:space="preserve">tel. (81) 448 52 00, </w:t>
      </w:r>
    </w:p>
    <w:p w14:paraId="24FC45E1" w14:textId="6D0AB387" w:rsidR="005420F7" w:rsidRPr="00B94395" w:rsidRDefault="00FB743D" w:rsidP="00FB743D">
      <w:pPr>
        <w:pStyle w:val="Tekstpodstawowywcity"/>
        <w:spacing w:line="276" w:lineRule="auto"/>
        <w:ind w:left="0" w:firstLine="0"/>
        <w:rPr>
          <w:rFonts w:ascii="Tahoma" w:hAnsi="Tahoma" w:cs="Tahoma"/>
          <w:b w:val="0"/>
        </w:rPr>
      </w:pPr>
      <w:r w:rsidRPr="00B94395">
        <w:rPr>
          <w:rFonts w:ascii="Verdana" w:hAnsi="Verdana" w:cs="Calibri"/>
          <w:b w:val="0"/>
          <w:szCs w:val="24"/>
        </w:rPr>
        <w:t>NIP 7120106911, REGON 000288716</w:t>
      </w:r>
    </w:p>
    <w:p w14:paraId="73C43E14" w14:textId="77777777" w:rsidR="001D1CCE" w:rsidRPr="00B46113" w:rsidRDefault="001D1CCE" w:rsidP="00061DC4">
      <w:pPr>
        <w:pStyle w:val="Tekstpodstawowywcity"/>
        <w:spacing w:line="276" w:lineRule="auto"/>
        <w:ind w:left="0" w:firstLine="0"/>
        <w:rPr>
          <w:rFonts w:ascii="Verdana" w:hAnsi="Verdana" w:cs="Tahoma"/>
          <w:sz w:val="22"/>
          <w:szCs w:val="22"/>
        </w:rPr>
      </w:pPr>
    </w:p>
    <w:p w14:paraId="31E1E686" w14:textId="77777777" w:rsidR="00B94395" w:rsidRDefault="00B94395" w:rsidP="00B94395">
      <w:pPr>
        <w:pStyle w:val="Tekstpodstawowywcity"/>
        <w:spacing w:line="360" w:lineRule="auto"/>
        <w:ind w:left="0" w:firstLine="0"/>
        <w:jc w:val="center"/>
        <w:rPr>
          <w:rFonts w:ascii="Verdana" w:hAnsi="Verdana" w:cs="Tahoma"/>
          <w:sz w:val="28"/>
          <w:szCs w:val="28"/>
        </w:rPr>
      </w:pPr>
      <w:r w:rsidRPr="00D034AB">
        <w:rPr>
          <w:rFonts w:ascii="Verdana" w:hAnsi="Verdana" w:cs="Tahoma"/>
          <w:sz w:val="28"/>
          <w:szCs w:val="28"/>
        </w:rPr>
        <w:t>SZCZEGÓŁOWY OPIS PRZEDMIOTU ZAMÓWIENIA</w:t>
      </w:r>
    </w:p>
    <w:p w14:paraId="560B1C24" w14:textId="1108E1EA" w:rsidR="001D1CCE" w:rsidRPr="00B46113" w:rsidRDefault="00B94395" w:rsidP="00B94395">
      <w:pPr>
        <w:pStyle w:val="Tekstpodstawowywcity"/>
        <w:spacing w:line="276" w:lineRule="auto"/>
        <w:ind w:left="0" w:firstLine="0"/>
        <w:jc w:val="center"/>
        <w:rPr>
          <w:rFonts w:ascii="Verdana" w:hAnsi="Verdana" w:cs="Tahoma"/>
          <w:sz w:val="22"/>
          <w:szCs w:val="22"/>
        </w:rPr>
      </w:pPr>
      <w:r w:rsidRPr="00DD3BBB">
        <w:rPr>
          <w:rFonts w:ascii="Verdana" w:hAnsi="Verdana" w:cs="Tahoma"/>
          <w:sz w:val="28"/>
          <w:szCs w:val="28"/>
        </w:rPr>
        <w:t>WRAZ Z ZESTAWIENIEM WYMAGANYCH PARAMETRÓW TECHNICZNYCH</w:t>
      </w:r>
    </w:p>
    <w:p w14:paraId="0343635A" w14:textId="77777777" w:rsidR="001D1CCE" w:rsidRPr="00B46113" w:rsidRDefault="001D1CCE" w:rsidP="00061DC4">
      <w:pPr>
        <w:pStyle w:val="Tekstpodstawowywcity"/>
        <w:spacing w:line="276" w:lineRule="auto"/>
        <w:ind w:left="0" w:firstLine="0"/>
        <w:rPr>
          <w:rFonts w:ascii="Verdana" w:hAnsi="Verdana" w:cs="Tahoma"/>
          <w:sz w:val="22"/>
          <w:szCs w:val="22"/>
        </w:rPr>
      </w:pPr>
    </w:p>
    <w:p w14:paraId="249F34A2" w14:textId="39410829" w:rsidR="00522D79" w:rsidRPr="00B94395" w:rsidRDefault="001D1CCE" w:rsidP="00B94395">
      <w:pPr>
        <w:spacing w:before="240" w:after="120"/>
        <w:rPr>
          <w:rFonts w:ascii="Verdana" w:hAnsi="Verdana"/>
        </w:rPr>
      </w:pPr>
      <w:r w:rsidRPr="00B94395">
        <w:rPr>
          <w:rFonts w:ascii="Verdana" w:hAnsi="Verdana" w:cs="Tahoma"/>
        </w:rPr>
        <w:t>Przedmiot zamówienia</w:t>
      </w:r>
      <w:r w:rsidRPr="00B94395">
        <w:rPr>
          <w:rFonts w:ascii="Verdana" w:hAnsi="Verdana" w:cs="Tahoma"/>
          <w:b/>
        </w:rPr>
        <w:t xml:space="preserve">:  Dostawa </w:t>
      </w:r>
      <w:r w:rsidR="00522D79" w:rsidRPr="00B94395">
        <w:rPr>
          <w:rFonts w:ascii="Verdana" w:hAnsi="Verdana"/>
          <w:b/>
          <w:bCs/>
        </w:rPr>
        <w:t>symulatorów krążeniowo-odd</w:t>
      </w:r>
      <w:bookmarkStart w:id="0" w:name="_GoBack"/>
      <w:bookmarkEnd w:id="0"/>
      <w:r w:rsidR="00522D79" w:rsidRPr="00B94395">
        <w:rPr>
          <w:rFonts w:ascii="Verdana" w:hAnsi="Verdana"/>
          <w:b/>
          <w:bCs/>
        </w:rPr>
        <w:t xml:space="preserve">echowych kardiologicznych </w:t>
      </w:r>
      <w:r w:rsidR="009B408B" w:rsidRPr="00B94395">
        <w:rPr>
          <w:rFonts w:ascii="Verdana" w:hAnsi="Verdana"/>
          <w:b/>
          <w:bCs/>
        </w:rPr>
        <w:t>(</w:t>
      </w:r>
      <w:r w:rsidR="0000035F" w:rsidRPr="00B94395">
        <w:rPr>
          <w:rFonts w:ascii="Verdana" w:hAnsi="Verdana"/>
          <w:b/>
          <w:bCs/>
        </w:rPr>
        <w:t>3</w:t>
      </w:r>
      <w:r w:rsidR="009B408B" w:rsidRPr="00B94395">
        <w:rPr>
          <w:rFonts w:ascii="Verdana" w:hAnsi="Verdana"/>
          <w:b/>
          <w:bCs/>
        </w:rPr>
        <w:t xml:space="preserve"> kpl.) </w:t>
      </w:r>
    </w:p>
    <w:p w14:paraId="44C1AC3E" w14:textId="0AB2F93B" w:rsidR="000C4589" w:rsidRPr="00B46113" w:rsidRDefault="000C4589" w:rsidP="00061DC4">
      <w:pPr>
        <w:spacing w:line="276" w:lineRule="auto"/>
        <w:rPr>
          <w:rFonts w:ascii="Verdana" w:hAnsi="Verdana" w:cs="Tahoma"/>
          <w:sz w:val="22"/>
          <w:szCs w:val="22"/>
        </w:rPr>
      </w:pPr>
    </w:p>
    <w:tbl>
      <w:tblPr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1"/>
      </w:tblGrid>
      <w:tr w:rsidR="00B46113" w:rsidRPr="00B46113" w14:paraId="6F9B19A7" w14:textId="77777777" w:rsidTr="00EC5ADA">
        <w:trPr>
          <w:trHeight w:val="1533"/>
        </w:trPr>
        <w:tc>
          <w:tcPr>
            <w:tcW w:w="5000" w:type="pct"/>
            <w:shd w:val="clear" w:color="auto" w:fill="DEEAF6" w:themeFill="accent1" w:themeFillTint="33"/>
          </w:tcPr>
          <w:p w14:paraId="694174BE" w14:textId="2DE09854" w:rsidR="00F64FA1" w:rsidRPr="00B94395" w:rsidRDefault="00F64FA1" w:rsidP="00B94395">
            <w:pPr>
              <w:widowControl w:val="0"/>
              <w:tabs>
                <w:tab w:val="left" w:pos="9072"/>
                <w:tab w:val="left" w:pos="9356"/>
              </w:tabs>
              <w:spacing w:before="120" w:after="120" w:line="360" w:lineRule="auto"/>
              <w:rPr>
                <w:rFonts w:ascii="Verdana" w:eastAsia="Calibri" w:hAnsi="Verdana" w:cs="Tahoma"/>
                <w:lang w:eastAsia="en-US"/>
              </w:rPr>
            </w:pPr>
            <w:r w:rsidRPr="00B94395">
              <w:rPr>
                <w:rFonts w:ascii="Verdana" w:hAnsi="Verdana" w:cs="Tahoma"/>
                <w:b/>
              </w:rPr>
              <w:t xml:space="preserve">Dostawa </w:t>
            </w:r>
            <w:bookmarkStart w:id="1" w:name="_Hlk227219586"/>
            <w:r w:rsidR="00522D79" w:rsidRPr="00B94395">
              <w:rPr>
                <w:rFonts w:ascii="Verdana" w:hAnsi="Verdana" w:cs="Tahoma"/>
                <w:b/>
              </w:rPr>
              <w:t xml:space="preserve">symulatorów krążeniowo-oddechowych kardiologicznych </w:t>
            </w:r>
            <w:r w:rsidRPr="00B94395">
              <w:rPr>
                <w:rFonts w:ascii="Verdana" w:eastAsia="Calibri" w:hAnsi="Verdana" w:cs="Tahoma"/>
                <w:b/>
                <w:bCs/>
                <w:lang w:eastAsia="en-US"/>
              </w:rPr>
              <w:t>(</w:t>
            </w:r>
            <w:r w:rsidR="0000035F" w:rsidRPr="00B94395">
              <w:rPr>
                <w:rFonts w:ascii="Verdana" w:eastAsia="Calibri" w:hAnsi="Verdana" w:cs="Tahoma"/>
                <w:b/>
                <w:bCs/>
                <w:lang w:eastAsia="en-US"/>
              </w:rPr>
              <w:t>3</w:t>
            </w:r>
            <w:r w:rsidRPr="00B94395">
              <w:rPr>
                <w:rFonts w:ascii="Verdana" w:eastAsia="Calibri" w:hAnsi="Verdana" w:cs="Tahoma"/>
                <w:b/>
                <w:bCs/>
                <w:lang w:eastAsia="en-US"/>
              </w:rPr>
              <w:t xml:space="preserve"> kpl.</w:t>
            </w:r>
            <w:r w:rsidR="002C64F7" w:rsidRPr="00B94395">
              <w:rPr>
                <w:rFonts w:ascii="Verdana" w:eastAsia="Calibri" w:hAnsi="Verdana" w:cs="Tahoma"/>
                <w:b/>
                <w:bCs/>
                <w:lang w:eastAsia="en-US"/>
              </w:rPr>
              <w:t>)</w:t>
            </w:r>
            <w:bookmarkEnd w:id="1"/>
          </w:p>
          <w:p w14:paraId="351BA1C0" w14:textId="2EF75AB7" w:rsidR="007C210B" w:rsidRPr="00B94395" w:rsidRDefault="007C210B" w:rsidP="00B94395">
            <w:pPr>
              <w:widowControl w:val="0"/>
              <w:tabs>
                <w:tab w:val="left" w:pos="9072"/>
                <w:tab w:val="left" w:pos="9356"/>
              </w:tabs>
              <w:spacing w:before="120" w:after="120" w:line="360" w:lineRule="auto"/>
              <w:rPr>
                <w:rFonts w:ascii="Verdana" w:eastAsia="Calibri" w:hAnsi="Verdana" w:cs="Tahoma"/>
                <w:lang w:eastAsia="en-US"/>
              </w:rPr>
            </w:pPr>
            <w:r w:rsidRPr="00B94395">
              <w:rPr>
                <w:rFonts w:ascii="Verdana" w:eastAsia="Calibri" w:hAnsi="Verdana" w:cs="Tahoma"/>
                <w:lang w:eastAsia="en-US"/>
              </w:rPr>
              <w:t>Producent/Firma*..............................................................................................</w:t>
            </w:r>
            <w:r w:rsidR="00B94395">
              <w:rPr>
                <w:rFonts w:ascii="Verdana" w:eastAsia="Calibri" w:hAnsi="Verdana" w:cs="Tahoma"/>
                <w:lang w:eastAsia="en-US"/>
              </w:rPr>
              <w:t>..............................................</w:t>
            </w:r>
          </w:p>
          <w:p w14:paraId="00191D7E" w14:textId="303F9D37" w:rsidR="007C210B" w:rsidRPr="00B94395" w:rsidRDefault="007C210B" w:rsidP="00B94395">
            <w:pPr>
              <w:widowControl w:val="0"/>
              <w:tabs>
                <w:tab w:val="left" w:pos="9072"/>
                <w:tab w:val="left" w:pos="9356"/>
              </w:tabs>
              <w:spacing w:before="120" w:after="120" w:line="360" w:lineRule="auto"/>
              <w:rPr>
                <w:rFonts w:ascii="Verdana" w:eastAsia="Calibri" w:hAnsi="Verdana" w:cs="Tahoma"/>
                <w:lang w:eastAsia="en-US"/>
              </w:rPr>
            </w:pPr>
            <w:r w:rsidRPr="00B94395">
              <w:rPr>
                <w:rFonts w:ascii="Verdana" w:eastAsia="Calibri" w:hAnsi="Verdana" w:cs="Tahoma"/>
                <w:lang w:eastAsia="en-US"/>
              </w:rPr>
              <w:t>Urządzenie model/typ*.....................................................................................</w:t>
            </w:r>
            <w:r w:rsidR="00B94395">
              <w:rPr>
                <w:rFonts w:ascii="Verdana" w:eastAsia="Calibri" w:hAnsi="Verdana" w:cs="Tahoma"/>
                <w:lang w:eastAsia="en-US"/>
              </w:rPr>
              <w:t>................................................</w:t>
            </w:r>
          </w:p>
          <w:p w14:paraId="5E8D1CF9" w14:textId="1967C443" w:rsidR="007C210B" w:rsidRPr="00B94395" w:rsidRDefault="007C210B" w:rsidP="00B94395">
            <w:pPr>
              <w:widowControl w:val="0"/>
              <w:tabs>
                <w:tab w:val="left" w:pos="9072"/>
                <w:tab w:val="left" w:pos="9356"/>
              </w:tabs>
              <w:spacing w:before="120" w:after="120" w:line="360" w:lineRule="auto"/>
              <w:rPr>
                <w:rFonts w:ascii="Verdana" w:eastAsia="Calibri" w:hAnsi="Verdana" w:cs="Tahoma"/>
                <w:lang w:eastAsia="en-US"/>
              </w:rPr>
            </w:pPr>
            <w:r w:rsidRPr="00B94395">
              <w:rPr>
                <w:rFonts w:ascii="Verdana" w:eastAsia="Calibri" w:hAnsi="Verdana" w:cs="Tahoma"/>
                <w:lang w:eastAsia="en-US"/>
              </w:rPr>
              <w:t>kraj pochodzenia* .............................................................................................</w:t>
            </w:r>
            <w:r w:rsidR="00B94395">
              <w:rPr>
                <w:rFonts w:ascii="Verdana" w:eastAsia="Calibri" w:hAnsi="Verdana" w:cs="Tahoma"/>
                <w:lang w:eastAsia="en-US"/>
              </w:rPr>
              <w:t>..............................................</w:t>
            </w:r>
          </w:p>
          <w:p w14:paraId="3A5525E2" w14:textId="669D711F" w:rsidR="007C210B" w:rsidRPr="00B46113" w:rsidRDefault="007C210B" w:rsidP="00B94395">
            <w:pPr>
              <w:widowControl w:val="0"/>
              <w:spacing w:before="120" w:after="120" w:line="360" w:lineRule="auto"/>
              <w:rPr>
                <w:rFonts w:ascii="Tahoma" w:eastAsia="Calibri" w:hAnsi="Tahoma" w:cs="Tahoma"/>
              </w:rPr>
            </w:pPr>
            <w:r w:rsidRPr="00B94395">
              <w:rPr>
                <w:rFonts w:ascii="Verdana" w:eastAsia="Calibri" w:hAnsi="Verdana" w:cs="Tahoma"/>
                <w:lang w:eastAsia="en-US"/>
              </w:rPr>
              <w:t>rok produkcji min. 2025: ......................................... o następujących parametrach:</w:t>
            </w:r>
          </w:p>
        </w:tc>
      </w:tr>
      <w:tr w:rsidR="00F858A9" w:rsidRPr="00B94395" w14:paraId="5B145794" w14:textId="77777777" w:rsidTr="00AA34B5">
        <w:trPr>
          <w:trHeight w:val="824"/>
        </w:trPr>
        <w:tc>
          <w:tcPr>
            <w:tcW w:w="5000" w:type="pct"/>
            <w:shd w:val="clear" w:color="auto" w:fill="auto"/>
          </w:tcPr>
          <w:p w14:paraId="73C137D6" w14:textId="7FC06E33" w:rsidR="00746863" w:rsidRPr="00B94395" w:rsidRDefault="00746863" w:rsidP="00B94395">
            <w:pPr>
              <w:spacing w:before="240" w:after="12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lastRenderedPageBreak/>
              <w:t xml:space="preserve">Przedmiotem zamówienia jest dostawa </w:t>
            </w:r>
            <w:r w:rsidR="0000035F" w:rsidRPr="00B94395">
              <w:rPr>
                <w:rFonts w:ascii="Verdana" w:hAnsi="Verdana" w:cs="Tahoma"/>
                <w:b/>
                <w:bCs/>
              </w:rPr>
              <w:t>3</w:t>
            </w:r>
            <w:r w:rsidR="0000035F" w:rsidRPr="00B94395">
              <w:rPr>
                <w:rFonts w:ascii="Verdana" w:hAnsi="Verdana" w:cs="Tahoma"/>
              </w:rPr>
              <w:t xml:space="preserve"> </w:t>
            </w:r>
            <w:r w:rsidRPr="00B94395">
              <w:rPr>
                <w:rStyle w:val="Pogrubienie"/>
                <w:rFonts w:ascii="Verdana" w:hAnsi="Verdana" w:cs="Tahoma"/>
              </w:rPr>
              <w:t>kompletów symulatorów krążeniowo-oddechowych kardiologicznych</w:t>
            </w:r>
            <w:r w:rsidRPr="00B94395">
              <w:rPr>
                <w:rFonts w:ascii="Verdana" w:hAnsi="Verdana" w:cs="Tahoma"/>
              </w:rPr>
              <w:t xml:space="preserve"> przeznaczonych do zaawansowanego nauczania diagnostyki klinicznej w zakresie badania fizykalnego układu sercowo-naczyniowego i oddechowego.</w:t>
            </w:r>
          </w:p>
          <w:p w14:paraId="38C21B90" w14:textId="77777777" w:rsidR="00746863" w:rsidRPr="00B94395" w:rsidRDefault="00746863" w:rsidP="00B94395">
            <w:pPr>
              <w:rPr>
                <w:rFonts w:ascii="Verdana" w:hAnsi="Verdana" w:cs="Tahoma"/>
              </w:rPr>
            </w:pPr>
          </w:p>
          <w:p w14:paraId="30679536" w14:textId="527B4F50" w:rsidR="00061DC4" w:rsidRPr="00B94395" w:rsidRDefault="00061DC4" w:rsidP="00B94395">
            <w:pPr>
              <w:spacing w:after="24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 xml:space="preserve">Symulator musi przedstawiać anatomicznie odwzorowaną górną część tułowia (głowę, tors, ręce) dorosłego człowieka. Symulator musi posiadać cechy ciała ludzkiego takie jak wygląd i rozmiar fizjologiczny. </w:t>
            </w:r>
          </w:p>
          <w:p w14:paraId="4AB55973" w14:textId="7D311FC2" w:rsidR="00B42CBA" w:rsidRPr="00B94395" w:rsidRDefault="00B42CBA" w:rsidP="00B94395">
            <w:pPr>
              <w:spacing w:after="24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Konstrukcja symulatora musi umożliwiać jego użytkowanie w warunkach sal dydaktycznych oraz centrów symulacji medycznej, z zachowaniem mobilności. Waga symulatora nie może przekraczać 25 kg - wymóg podyktowany koniecznością zapewnienia mobilności symulatora oraz możliwości jego bezpiecznego przenoszenia i instalacji przez jedną osobę, bez potrzeby angażowania dodatkowego personelu lub specjalistycznych środków transportu urządzenia</w:t>
            </w:r>
            <w:r w:rsidR="00704C25" w:rsidRPr="00B94395">
              <w:rPr>
                <w:rFonts w:ascii="Verdana" w:hAnsi="Verdana" w:cs="Tahoma"/>
              </w:rPr>
              <w:t>.</w:t>
            </w:r>
          </w:p>
          <w:p w14:paraId="45B5A7E9" w14:textId="5A0FA8BA" w:rsidR="00061DC4" w:rsidRPr="00B94395" w:rsidRDefault="00061DC4" w:rsidP="00B94395">
            <w:pPr>
              <w:spacing w:after="240" w:line="360" w:lineRule="auto"/>
              <w:rPr>
                <w:rFonts w:ascii="Verdana" w:eastAsia="Calibri" w:hAnsi="Verdana" w:cs="Tahoma"/>
              </w:rPr>
            </w:pPr>
            <w:r w:rsidRPr="00B94395">
              <w:rPr>
                <w:rFonts w:ascii="Verdana" w:eastAsia="Calibri" w:hAnsi="Verdana" w:cs="Tahoma"/>
              </w:rPr>
              <w:t xml:space="preserve">Symulator musi być wykonany z materiału  odpornego na zużycie i wodoodpornego, przypominającego ludzką skórę. Powierzchnia musi być gładka, nieprzepuszczalna dla wody, olei i mazideł.  </w:t>
            </w:r>
          </w:p>
          <w:p w14:paraId="25C8D14C" w14:textId="75DDCEA5" w:rsidR="00061DC4" w:rsidRPr="00B94395" w:rsidRDefault="00061DC4" w:rsidP="00B8779C">
            <w:pPr>
              <w:spacing w:after="240" w:line="360" w:lineRule="auto"/>
              <w:rPr>
                <w:rFonts w:ascii="Verdana" w:eastAsia="Calibri" w:hAnsi="Verdana" w:cs="Tahoma"/>
              </w:rPr>
            </w:pPr>
            <w:r w:rsidRPr="00B94395">
              <w:rPr>
                <w:rFonts w:ascii="Verdana" w:eastAsia="Calibri" w:hAnsi="Verdana" w:cs="Tahoma"/>
              </w:rPr>
              <w:t>Symulator musi posiadać modułową konstrukcję, pozwalającą na realizację wielu scenariuszy tworzonych przez prowadzącego zajęcia.</w:t>
            </w:r>
          </w:p>
          <w:p w14:paraId="594D8773" w14:textId="79BA5565" w:rsidR="00061DC4" w:rsidRPr="00B94395" w:rsidRDefault="00061DC4" w:rsidP="00B94395">
            <w:pPr>
              <w:spacing w:after="12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Symulator musi być przeznaczony do nauki czynności pielęgniarskich, lekarskich oraz ratowniczych w zakresie wykonywania badania fizykalnego - w szczególności osłuchiwania serca i płuc, oceny tętna oraz interpretacji objawów klinicznych</w:t>
            </w:r>
            <w:r w:rsidR="00995EC9" w:rsidRPr="00B94395">
              <w:rPr>
                <w:rFonts w:ascii="Verdana" w:hAnsi="Verdana" w:cs="Tahoma"/>
              </w:rPr>
              <w:t xml:space="preserve"> oraz ich korelację z konkretnymi jednostkami chorobowymi. </w:t>
            </w:r>
          </w:p>
          <w:p w14:paraId="2C1963AE" w14:textId="1B8E449A" w:rsidR="00061DC4" w:rsidRPr="00B94395" w:rsidRDefault="00061DC4" w:rsidP="00B8779C">
            <w:pPr>
              <w:spacing w:before="240" w:after="12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lastRenderedPageBreak/>
              <w:t xml:space="preserve">Symulator musi umożliwiać rozwijanie umiejętności pielęgniarskich, lekarskich oraz ratowniczych w co najmniej następującym zakresie prawidłowego wykonywania badania fizykalnego, w tym co najmniej: </w:t>
            </w:r>
          </w:p>
          <w:p w14:paraId="5FFB92BD" w14:textId="237A41C0" w:rsidR="00254645" w:rsidRPr="00B94395" w:rsidRDefault="00254645" w:rsidP="00B94395">
            <w:pPr>
              <w:pStyle w:val="Akapitzlist"/>
              <w:numPr>
                <w:ilvl w:val="0"/>
                <w:numId w:val="8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ocen</w:t>
            </w:r>
            <w:r w:rsidR="00995EC9" w:rsidRPr="00B94395">
              <w:rPr>
                <w:rFonts w:ascii="Verdana" w:hAnsi="Verdana" w:cs="Tahoma"/>
              </w:rPr>
              <w:t>ę</w:t>
            </w:r>
            <w:r w:rsidRPr="00B94395">
              <w:rPr>
                <w:rFonts w:ascii="Verdana" w:hAnsi="Verdana" w:cs="Tahoma"/>
              </w:rPr>
              <w:t xml:space="preserve"> wzrokow</w:t>
            </w:r>
            <w:r w:rsidR="00995EC9" w:rsidRPr="00B94395">
              <w:rPr>
                <w:rFonts w:ascii="Verdana" w:hAnsi="Verdana" w:cs="Tahoma"/>
              </w:rPr>
              <w:t>ą</w:t>
            </w:r>
            <w:r w:rsidRPr="00B94395">
              <w:rPr>
                <w:rFonts w:ascii="Verdana" w:hAnsi="Verdana" w:cs="Tahoma"/>
              </w:rPr>
              <w:t xml:space="preserve"> –</w:t>
            </w:r>
            <w:r w:rsidR="00995EC9" w:rsidRPr="00B94395">
              <w:rPr>
                <w:rFonts w:ascii="Verdana" w:hAnsi="Verdana" w:cs="Tahoma"/>
              </w:rPr>
              <w:t xml:space="preserve"> </w:t>
            </w:r>
            <w:r w:rsidRPr="00B94395">
              <w:rPr>
                <w:rFonts w:ascii="Verdana" w:hAnsi="Verdana" w:cs="Tahoma"/>
              </w:rPr>
              <w:t xml:space="preserve">ocena cech zewnętrznych symulowanego pacjenta </w:t>
            </w:r>
          </w:p>
          <w:p w14:paraId="2BDF29F3" w14:textId="05061C0E" w:rsidR="00254645" w:rsidRPr="00B94395" w:rsidRDefault="00254645" w:rsidP="00B94395">
            <w:pPr>
              <w:pStyle w:val="Akapitzlist"/>
              <w:numPr>
                <w:ilvl w:val="0"/>
                <w:numId w:val="8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 xml:space="preserve">ocenę </w:t>
            </w:r>
            <w:proofErr w:type="spellStart"/>
            <w:r w:rsidRPr="00B94395">
              <w:rPr>
                <w:rFonts w:ascii="Verdana" w:hAnsi="Verdana" w:cs="Tahoma"/>
              </w:rPr>
              <w:t>palpacyjną</w:t>
            </w:r>
            <w:proofErr w:type="spellEnd"/>
            <w:r w:rsidRPr="00B94395">
              <w:rPr>
                <w:rFonts w:ascii="Verdana" w:hAnsi="Verdana" w:cs="Tahoma"/>
              </w:rPr>
              <w:t xml:space="preserve"> – symulator musi umożliwić przeprowadzenie </w:t>
            </w:r>
            <w:proofErr w:type="spellStart"/>
            <w:r w:rsidR="00061DC4" w:rsidRPr="00B94395">
              <w:rPr>
                <w:rFonts w:ascii="Verdana" w:hAnsi="Verdana" w:cs="Tahoma"/>
              </w:rPr>
              <w:t>palpacyjne</w:t>
            </w:r>
            <w:r w:rsidRPr="00B94395">
              <w:rPr>
                <w:rFonts w:ascii="Verdana" w:hAnsi="Verdana" w:cs="Tahoma"/>
              </w:rPr>
              <w:t>go</w:t>
            </w:r>
            <w:proofErr w:type="spellEnd"/>
            <w:r w:rsidR="00061DC4" w:rsidRPr="00B94395">
              <w:rPr>
                <w:rFonts w:ascii="Verdana" w:hAnsi="Verdana" w:cs="Tahoma"/>
              </w:rPr>
              <w:t xml:space="preserve"> badanie tętna </w:t>
            </w:r>
            <w:r w:rsidRPr="00B94395">
              <w:rPr>
                <w:rFonts w:ascii="Verdana" w:hAnsi="Verdana" w:cs="Tahoma"/>
              </w:rPr>
              <w:t xml:space="preserve">co najmniej w następujących lokalizacjach: </w:t>
            </w:r>
            <w:r w:rsidR="00061DC4" w:rsidRPr="00B94395">
              <w:rPr>
                <w:rFonts w:ascii="Verdana" w:hAnsi="Verdana" w:cs="Tahoma"/>
              </w:rPr>
              <w:t>na tętnicach szyjnych, ramiennych i udowych</w:t>
            </w:r>
          </w:p>
          <w:p w14:paraId="13709891" w14:textId="3506A8B2" w:rsidR="00254645" w:rsidRPr="00B94395" w:rsidRDefault="00254645" w:rsidP="00B94395">
            <w:pPr>
              <w:pStyle w:val="Akapitzlist"/>
              <w:numPr>
                <w:ilvl w:val="0"/>
                <w:numId w:val="7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 xml:space="preserve">osłuchiwanie -  </w:t>
            </w:r>
            <w:r w:rsidR="00995EC9" w:rsidRPr="00B94395">
              <w:rPr>
                <w:rFonts w:ascii="Verdana" w:hAnsi="Verdana" w:cs="Tahoma"/>
              </w:rPr>
              <w:t>symulator musi umożliwiać identyfikację prawidłowych i patologicznych tonów serca, szmerów sercowych, dodatkowych tonów oraz dźwięków oddechowych, w tym ich różnicowanie i lokalizację</w:t>
            </w:r>
          </w:p>
          <w:p w14:paraId="5B82770D" w14:textId="21369269" w:rsidR="00995EC9" w:rsidRPr="00B94395" w:rsidRDefault="00995EC9" w:rsidP="00B8779C">
            <w:pPr>
              <w:pStyle w:val="Akapitzlist"/>
              <w:numPr>
                <w:ilvl w:val="0"/>
                <w:numId w:val="7"/>
              </w:numPr>
              <w:spacing w:after="240" w:line="360" w:lineRule="auto"/>
              <w:ind w:left="714" w:hanging="357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opukiwanie – konstrukcja symulatora musi uwzględniać wyraźnie odwzorowane anatomiczne punkty orientacyjne (np. linie i punkty topograficzne klatki piersiowej), umożliwiające naukę prawidłowej lokalizacji obszarów badania oraz właściwej techniki opukiwania</w:t>
            </w:r>
          </w:p>
          <w:p w14:paraId="65C32155" w14:textId="257AC74B" w:rsidR="00061DC4" w:rsidRPr="00B94395" w:rsidRDefault="00995EC9" w:rsidP="00B94395">
            <w:pPr>
              <w:spacing w:after="12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Symulator musi posiadać dostęp do biblioteki scenariuszy edukacyjnych/szkoleniowych</w:t>
            </w:r>
            <w:r w:rsidR="00B17E80" w:rsidRPr="00B94395">
              <w:rPr>
                <w:rFonts w:ascii="Verdana" w:hAnsi="Verdana" w:cs="Tahoma"/>
              </w:rPr>
              <w:t>.</w:t>
            </w:r>
            <w:r w:rsidRPr="00B94395">
              <w:rPr>
                <w:rFonts w:ascii="Verdana" w:hAnsi="Verdana" w:cs="Tahoma"/>
              </w:rPr>
              <w:t xml:space="preserve"> </w:t>
            </w:r>
            <w:r w:rsidR="00B17E80" w:rsidRPr="00B94395">
              <w:rPr>
                <w:rFonts w:ascii="Verdana" w:hAnsi="Verdana" w:cs="Tahoma"/>
              </w:rPr>
              <w:t xml:space="preserve">Biblioteka musi </w:t>
            </w:r>
            <w:r w:rsidRPr="00B94395">
              <w:rPr>
                <w:rFonts w:ascii="Verdana" w:hAnsi="Verdana" w:cs="Tahoma"/>
              </w:rPr>
              <w:t>zawiera</w:t>
            </w:r>
            <w:r w:rsidR="00DB3C83" w:rsidRPr="00B94395">
              <w:rPr>
                <w:rFonts w:ascii="Verdana" w:hAnsi="Verdana" w:cs="Tahoma"/>
              </w:rPr>
              <w:t>ć</w:t>
            </w:r>
            <w:r w:rsidRPr="00B94395">
              <w:rPr>
                <w:rFonts w:ascii="Verdana" w:hAnsi="Verdana" w:cs="Tahoma"/>
              </w:rPr>
              <w:t xml:space="preserve"> </w:t>
            </w:r>
            <w:r w:rsidR="00DB3C83" w:rsidRPr="00B94395">
              <w:rPr>
                <w:rFonts w:ascii="Verdana" w:hAnsi="Verdana" w:cs="Tahoma"/>
              </w:rPr>
              <w:t>co</w:t>
            </w:r>
            <w:r w:rsidRPr="00B94395">
              <w:rPr>
                <w:rFonts w:ascii="Verdana" w:hAnsi="Verdana" w:cs="Tahoma"/>
              </w:rPr>
              <w:t xml:space="preserve"> najmniej 50 przypadków klinicznych, w tym co najmniej:  </w:t>
            </w:r>
          </w:p>
          <w:p w14:paraId="378127B4" w14:textId="5006E833" w:rsidR="00995EC9" w:rsidRPr="00B94395" w:rsidRDefault="00995EC9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pacjenta w stanie fizjologicznym (bez odchyleń od normy), obejmującego prawidłowe parametry kliniczne oraz prawidłowe wyniki badania fizykalnego (w zakresie inspekcji, palpacji, osłuchiwania i opukiwania)</w:t>
            </w:r>
          </w:p>
          <w:p w14:paraId="4AF7D784" w14:textId="268CC1B3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 xml:space="preserve">niewinny szmer </w:t>
            </w:r>
          </w:p>
          <w:p w14:paraId="2113C590" w14:textId="5E1D17B4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stwardnienie zastawki aortalnej</w:t>
            </w:r>
          </w:p>
          <w:p w14:paraId="0E8EDA4A" w14:textId="00EFBD48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lastRenderedPageBreak/>
              <w:t xml:space="preserve">nadciśnienie </w:t>
            </w:r>
          </w:p>
          <w:p w14:paraId="19590C79" w14:textId="2E8F748D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dusznica bolesna</w:t>
            </w:r>
          </w:p>
          <w:p w14:paraId="08402B4B" w14:textId="013C551A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ostry zawał mięśnia sercowego dolnego</w:t>
            </w:r>
          </w:p>
          <w:p w14:paraId="20C98B9A" w14:textId="543D8C09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ostry przedni zawał mięśnia sercowego</w:t>
            </w:r>
          </w:p>
          <w:p w14:paraId="6EFD64FD" w14:textId="1713A66F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tętniak komorowy</w:t>
            </w:r>
          </w:p>
          <w:p w14:paraId="0A183A25" w14:textId="7046842B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 xml:space="preserve">wypadanie płatka zastawki mitralnej (MVP) </w:t>
            </w:r>
          </w:p>
          <w:p w14:paraId="3CCD8E2E" w14:textId="18780518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niedomykalność zastawki mitralnej</w:t>
            </w:r>
            <w:r w:rsidR="004E67BF" w:rsidRPr="00B94395">
              <w:rPr>
                <w:rFonts w:ascii="Verdana" w:hAnsi="Verdana" w:cs="Tahoma"/>
              </w:rPr>
              <w:t xml:space="preserve"> (</w:t>
            </w:r>
            <w:r w:rsidRPr="00B94395">
              <w:rPr>
                <w:rFonts w:ascii="Verdana" w:hAnsi="Verdana" w:cs="Tahoma"/>
              </w:rPr>
              <w:t>przewlekła</w:t>
            </w:r>
            <w:r w:rsidR="004E67BF" w:rsidRPr="00B94395">
              <w:rPr>
                <w:rFonts w:ascii="Verdana" w:hAnsi="Verdana" w:cs="Tahoma"/>
              </w:rPr>
              <w:t xml:space="preserve">, łagodna, ostra) </w:t>
            </w:r>
          </w:p>
          <w:p w14:paraId="513A66B4" w14:textId="35364C1A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zwężenie zastawki mitralnej (MS) z ciężką niedomykalnością zastawki trójdzielnej (TR)</w:t>
            </w:r>
          </w:p>
          <w:p w14:paraId="61AB1339" w14:textId="7A8A7C20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zwężenie i niedomykalność zastawki mitralnej</w:t>
            </w:r>
          </w:p>
          <w:p w14:paraId="7B0D573B" w14:textId="4F681B9F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niedomykalność zastawki aortalnej, przewlekła</w:t>
            </w:r>
          </w:p>
          <w:p w14:paraId="49D8775B" w14:textId="107EEFBF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niedomykalność aorty</w:t>
            </w:r>
            <w:r w:rsidR="004E67BF" w:rsidRPr="00B94395">
              <w:rPr>
                <w:rFonts w:ascii="Verdana" w:hAnsi="Verdana" w:cs="Tahoma"/>
              </w:rPr>
              <w:t xml:space="preserve"> (</w:t>
            </w:r>
            <w:r w:rsidRPr="00B94395">
              <w:rPr>
                <w:rFonts w:ascii="Verdana" w:hAnsi="Verdana" w:cs="Tahoma"/>
              </w:rPr>
              <w:t>ostra</w:t>
            </w:r>
            <w:r w:rsidR="004E67BF" w:rsidRPr="00B94395">
              <w:rPr>
                <w:rFonts w:ascii="Verdana" w:hAnsi="Verdana" w:cs="Tahoma"/>
              </w:rPr>
              <w:t xml:space="preserve">, łagodna) </w:t>
            </w:r>
          </w:p>
          <w:p w14:paraId="1067C0E4" w14:textId="5BF90972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 xml:space="preserve">zwężenie aorty </w:t>
            </w:r>
            <w:r w:rsidR="004E67BF" w:rsidRPr="00B94395">
              <w:rPr>
                <w:rFonts w:ascii="Verdana" w:hAnsi="Verdana" w:cs="Tahoma"/>
              </w:rPr>
              <w:t>(umiarkowane)</w:t>
            </w:r>
          </w:p>
          <w:p w14:paraId="775FB4B4" w14:textId="6F5B1141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proofErr w:type="spellStart"/>
            <w:r w:rsidRPr="00B94395">
              <w:rPr>
                <w:rFonts w:ascii="Verdana" w:hAnsi="Verdana" w:cs="Tahoma"/>
              </w:rPr>
              <w:t>kardiomiopatia</w:t>
            </w:r>
            <w:proofErr w:type="spellEnd"/>
            <w:r w:rsidRPr="00B94395">
              <w:rPr>
                <w:rFonts w:ascii="Verdana" w:hAnsi="Verdana" w:cs="Tahoma"/>
              </w:rPr>
              <w:t xml:space="preserve"> przerostowa obturacyjna</w:t>
            </w:r>
          </w:p>
          <w:p w14:paraId="2DA46157" w14:textId="24943C4E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proofErr w:type="spellStart"/>
            <w:r w:rsidRPr="00B94395">
              <w:rPr>
                <w:rFonts w:ascii="Verdana" w:hAnsi="Verdana" w:cs="Tahoma"/>
              </w:rPr>
              <w:t>kardiomiopatia</w:t>
            </w:r>
            <w:proofErr w:type="spellEnd"/>
            <w:r w:rsidRPr="00B94395">
              <w:rPr>
                <w:rFonts w:ascii="Verdana" w:hAnsi="Verdana" w:cs="Tahoma"/>
              </w:rPr>
              <w:t xml:space="preserve"> </w:t>
            </w:r>
          </w:p>
          <w:p w14:paraId="16371B81" w14:textId="01E2272A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 xml:space="preserve">ostre zapalenie osierdzia </w:t>
            </w:r>
          </w:p>
          <w:p w14:paraId="5B26CF9F" w14:textId="4BD171F9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lastRenderedPageBreak/>
              <w:t>pierwotne nadciśnienie płucne</w:t>
            </w:r>
          </w:p>
          <w:p w14:paraId="7AF7E398" w14:textId="65B40D0C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ubytek przegrody międzyprzedsionkowej</w:t>
            </w:r>
          </w:p>
          <w:p w14:paraId="12E34072" w14:textId="18BF8528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ubytek przegrody międzykomorowej</w:t>
            </w:r>
          </w:p>
          <w:p w14:paraId="332C2391" w14:textId="47C57F06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patentowy przewód tętniczy</w:t>
            </w:r>
          </w:p>
          <w:p w14:paraId="3F5D3676" w14:textId="65B30DB7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zwężenie płuc</w:t>
            </w:r>
          </w:p>
          <w:p w14:paraId="75FF1CF6" w14:textId="34A24C8B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proofErr w:type="spellStart"/>
            <w:r w:rsidRPr="00B94395">
              <w:rPr>
                <w:rFonts w:ascii="Verdana" w:hAnsi="Verdana" w:cs="Tahoma"/>
              </w:rPr>
              <w:t>koarktacja</w:t>
            </w:r>
            <w:proofErr w:type="spellEnd"/>
            <w:r w:rsidRPr="00B94395">
              <w:rPr>
                <w:rFonts w:ascii="Verdana" w:hAnsi="Verdana" w:cs="Tahoma"/>
              </w:rPr>
              <w:t xml:space="preserve"> aorty</w:t>
            </w:r>
          </w:p>
          <w:p w14:paraId="5707103D" w14:textId="4CF63678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 xml:space="preserve">tetralogia </w:t>
            </w:r>
            <w:proofErr w:type="spellStart"/>
            <w:r w:rsidRPr="00B94395">
              <w:rPr>
                <w:rFonts w:ascii="Verdana" w:hAnsi="Verdana" w:cs="Tahoma"/>
              </w:rPr>
              <w:t>Fallota</w:t>
            </w:r>
            <w:proofErr w:type="spellEnd"/>
          </w:p>
          <w:p w14:paraId="4506CC33" w14:textId="07426DCF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choroba wieńcowa z niewydolnością serca</w:t>
            </w:r>
          </w:p>
          <w:p w14:paraId="30D4AAC7" w14:textId="4E7E2373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łagodna niewydolność serca</w:t>
            </w:r>
            <w:r w:rsidR="004E67BF" w:rsidRPr="00B94395">
              <w:rPr>
                <w:rFonts w:ascii="Verdana" w:hAnsi="Verdana" w:cs="Tahoma"/>
              </w:rPr>
              <w:t xml:space="preserve"> (skurczowa oraz rozkurczowa) </w:t>
            </w:r>
          </w:p>
          <w:p w14:paraId="7B17BCBB" w14:textId="687BCCAA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umiarkowana niedomykalność zastawki mitralnej</w:t>
            </w:r>
          </w:p>
          <w:p w14:paraId="6CEE0268" w14:textId="4B65C8E5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zwężenie i niedomykalność zastawki aortalnej</w:t>
            </w:r>
          </w:p>
          <w:p w14:paraId="01DF474C" w14:textId="0BB1853F" w:rsidR="00B17E80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zatorowość płucna</w:t>
            </w:r>
          </w:p>
          <w:p w14:paraId="18E0F208" w14:textId="6459A47D" w:rsidR="00B42CBA" w:rsidRPr="00B94395" w:rsidRDefault="00B17E80" w:rsidP="00B94395">
            <w:pPr>
              <w:pStyle w:val="Akapitzlist"/>
              <w:numPr>
                <w:ilvl w:val="0"/>
                <w:numId w:val="9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serce płucne</w:t>
            </w:r>
          </w:p>
          <w:p w14:paraId="1D433C0E" w14:textId="5BC98014" w:rsidR="00B17E80" w:rsidRPr="00B94395" w:rsidRDefault="00B17E80" w:rsidP="00B94395">
            <w:pPr>
              <w:spacing w:after="12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Symulator musi posiadać dostęp do min. 10 kompletnych scenariuszy przypadków obejmujących scenariusze kliniczne wraz z odpowiadającymi im wynikami badania fizykalnego; scenariusze muszą zawierać przypadki prawidłowe</w:t>
            </w:r>
            <w:r w:rsidR="00B42CBA" w:rsidRPr="00B94395">
              <w:rPr>
                <w:rFonts w:ascii="Verdana" w:hAnsi="Verdana" w:cs="Tahoma"/>
              </w:rPr>
              <w:t>go</w:t>
            </w:r>
            <w:r w:rsidRPr="00B94395">
              <w:rPr>
                <w:rFonts w:ascii="Verdana" w:hAnsi="Verdana" w:cs="Tahoma"/>
              </w:rPr>
              <w:t>, jak i patologiczne</w:t>
            </w:r>
            <w:r w:rsidR="00B42CBA" w:rsidRPr="00B94395">
              <w:rPr>
                <w:rFonts w:ascii="Verdana" w:hAnsi="Verdana" w:cs="Tahoma"/>
              </w:rPr>
              <w:t>go wyniku</w:t>
            </w:r>
            <w:r w:rsidRPr="00B94395">
              <w:rPr>
                <w:rFonts w:ascii="Verdana" w:hAnsi="Verdana" w:cs="Tahoma"/>
              </w:rPr>
              <w:t xml:space="preserve"> badania fizykalnego w</w:t>
            </w:r>
            <w:r w:rsidR="00B42CBA" w:rsidRPr="00B94395">
              <w:rPr>
                <w:rFonts w:ascii="Verdana" w:hAnsi="Verdana" w:cs="Tahoma"/>
              </w:rPr>
              <w:t xml:space="preserve"> co najmniej następującym</w:t>
            </w:r>
            <w:r w:rsidRPr="00B94395">
              <w:rPr>
                <w:rFonts w:ascii="Verdana" w:hAnsi="Verdana" w:cs="Tahoma"/>
              </w:rPr>
              <w:t xml:space="preserve"> zakresie palpacji, osłuchiwania i opukiwania</w:t>
            </w:r>
            <w:r w:rsidR="00B42CBA" w:rsidRPr="00B94395">
              <w:rPr>
                <w:rFonts w:ascii="Verdana" w:hAnsi="Verdana" w:cs="Tahoma"/>
              </w:rPr>
              <w:t xml:space="preserve">. </w:t>
            </w:r>
          </w:p>
          <w:p w14:paraId="5C4373ED" w14:textId="0D2D89FA" w:rsidR="00B42CBA" w:rsidRPr="00B94395" w:rsidRDefault="00B42CBA" w:rsidP="005014AD">
            <w:pPr>
              <w:spacing w:before="360" w:after="12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lastRenderedPageBreak/>
              <w:t>Symulator musi umożliwi</w:t>
            </w:r>
            <w:r w:rsidR="004C074D" w:rsidRPr="00B94395">
              <w:rPr>
                <w:rFonts w:ascii="Verdana" w:hAnsi="Verdana" w:cs="Tahoma"/>
              </w:rPr>
              <w:t>a</w:t>
            </w:r>
            <w:r w:rsidRPr="00B94395">
              <w:rPr>
                <w:rFonts w:ascii="Verdana" w:hAnsi="Verdana" w:cs="Tahoma"/>
              </w:rPr>
              <w:t xml:space="preserve">ć modyfikację stanów klinicznych oraz scenariuszy w czasie rzeczywistym przez prowadzącego zajęcia. </w:t>
            </w:r>
          </w:p>
          <w:p w14:paraId="7CAFE9EC" w14:textId="35DAFE55" w:rsidR="00B42CBA" w:rsidRPr="00B94395" w:rsidRDefault="00B42CBA" w:rsidP="00B94395">
            <w:pPr>
              <w:spacing w:after="12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Symulator musi posiadać anatomiczne odwzorowane punkty osłuchowe, w tym co najmniej:</w:t>
            </w:r>
          </w:p>
          <w:p w14:paraId="484906F8" w14:textId="6E6BE777" w:rsidR="00B42CBA" w:rsidRPr="00B94395" w:rsidRDefault="00B42CBA" w:rsidP="00B94395">
            <w:pPr>
              <w:pStyle w:val="Akapitzlist"/>
              <w:numPr>
                <w:ilvl w:val="0"/>
                <w:numId w:val="10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9 punktów osłuchowych dla tonów serca, umożliwiających identyfikację prawidłowych i patologicznych zjawisk osłuchowych</w:t>
            </w:r>
          </w:p>
          <w:p w14:paraId="12430958" w14:textId="58A96BBF" w:rsidR="00B42CBA" w:rsidRPr="00B94395" w:rsidRDefault="00436AD0" w:rsidP="00B8779C">
            <w:pPr>
              <w:pStyle w:val="Akapitzlist"/>
              <w:numPr>
                <w:ilvl w:val="0"/>
                <w:numId w:val="10"/>
              </w:numPr>
              <w:spacing w:before="120" w:after="240" w:line="360" w:lineRule="auto"/>
              <w:ind w:left="714" w:hanging="357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 xml:space="preserve">6  </w:t>
            </w:r>
            <w:r w:rsidR="00B42CBA" w:rsidRPr="00B94395">
              <w:rPr>
                <w:rFonts w:ascii="Verdana" w:hAnsi="Verdana" w:cs="Tahoma"/>
              </w:rPr>
              <w:t>punktów osłuchowych dla szmerów oddechowych, pozwalających na różnicowanie dźwięków oddechowych w różnych obszarach klatki piersiowej</w:t>
            </w:r>
          </w:p>
          <w:p w14:paraId="203AEC41" w14:textId="499C0ABF" w:rsidR="00B42CBA" w:rsidRPr="00B94395" w:rsidRDefault="00B42CBA" w:rsidP="00B8779C">
            <w:pPr>
              <w:spacing w:after="24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Punkty osłuchowe muszą być rozmieszczone zgodnie z topografią anatomiczną oraz zapewniać możliwość precyzyjnej lokalizacji i nauki prawidłowej techniki badania</w:t>
            </w:r>
            <w:r w:rsidR="00231567" w:rsidRPr="00B94395">
              <w:rPr>
                <w:rFonts w:ascii="Verdana" w:hAnsi="Verdana" w:cs="Tahoma"/>
              </w:rPr>
              <w:t>.</w:t>
            </w:r>
          </w:p>
          <w:p w14:paraId="4B85C128" w14:textId="025522B9" w:rsidR="00746863" w:rsidRPr="00B94395" w:rsidRDefault="00B42CBA" w:rsidP="00B8779C">
            <w:pPr>
              <w:spacing w:after="24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Symulator musi umożliwiać generowanie realistycznych, cyfrowych dźwięków serca, zsynchronizowanych z pracą serca zapewniających zgodność czasową tonów i ewentualnych szmerów z fazami skurczu i rozkurczu</w:t>
            </w:r>
            <w:r w:rsidR="00231567" w:rsidRPr="00B94395">
              <w:rPr>
                <w:rFonts w:ascii="Verdana" w:hAnsi="Verdana" w:cs="Tahoma"/>
              </w:rPr>
              <w:t>.</w:t>
            </w:r>
          </w:p>
          <w:p w14:paraId="4CE12A9B" w14:textId="1721C4D0" w:rsidR="004E67BF" w:rsidRPr="00B94395" w:rsidRDefault="00773340" w:rsidP="00B8779C">
            <w:pPr>
              <w:pStyle w:val="NormalnyWeb"/>
              <w:spacing w:before="0" w:beforeAutospacing="0" w:after="240" w:afterAutospacing="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Symulator musi umożliwiać generowanie różnych charakterystyk tętna (co najmniej 10 wariantów), pozwalających na naukę rozpoznawania odmiennych cech fali tętna</w:t>
            </w:r>
            <w:r w:rsidR="00231567" w:rsidRPr="00B94395">
              <w:rPr>
                <w:rFonts w:ascii="Verdana" w:hAnsi="Verdana" w:cs="Tahoma"/>
              </w:rPr>
              <w:t>.</w:t>
            </w:r>
          </w:p>
          <w:p w14:paraId="657D3BBB" w14:textId="795FBE11" w:rsidR="00773340" w:rsidRPr="00B94395" w:rsidRDefault="00773340" w:rsidP="00B8779C">
            <w:pPr>
              <w:pStyle w:val="NormalnyWeb"/>
              <w:spacing w:before="0" w:beforeAutospacing="0" w:after="240" w:afterAutospacing="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Symulator musi umożliwiać obserwację oraz ocenę ruchów przedsercowych, zsynchronizowanych z czynnością serca, umożliwiających naukę identyfikacji prawidłowych i patologicznych zjawisk w okolicy przedsercowe</w:t>
            </w:r>
            <w:r w:rsidR="00DB3C83" w:rsidRPr="00B94395">
              <w:rPr>
                <w:rFonts w:ascii="Verdana" w:hAnsi="Verdana" w:cs="Tahoma"/>
              </w:rPr>
              <w:t xml:space="preserve">j. </w:t>
            </w:r>
          </w:p>
          <w:p w14:paraId="4074524E" w14:textId="090956E3" w:rsidR="00773340" w:rsidRPr="00B94395" w:rsidRDefault="00773340" w:rsidP="00B8779C">
            <w:pPr>
              <w:pStyle w:val="NormalnyWeb"/>
              <w:spacing w:before="360" w:beforeAutospacing="0" w:after="240" w:afterAutospacing="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lastRenderedPageBreak/>
              <w:t>Symulator musi posiadać regulację głośności dźwięków</w:t>
            </w:r>
            <w:r w:rsidR="00231567" w:rsidRPr="00B94395">
              <w:rPr>
                <w:rFonts w:ascii="Verdana" w:hAnsi="Verdana" w:cs="Tahoma"/>
              </w:rPr>
              <w:t>.</w:t>
            </w:r>
          </w:p>
          <w:p w14:paraId="4347746F" w14:textId="544A783F" w:rsidR="00773340" w:rsidRPr="00B94395" w:rsidRDefault="00773340" w:rsidP="00B8779C">
            <w:pPr>
              <w:pStyle w:val="NormalnyWeb"/>
              <w:spacing w:before="0" w:beforeAutospacing="0" w:after="240" w:afterAutospacing="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Symulator musi umożliwiać ocenę tętna żylnego szyjnego, w tym obserwację widocznej fali żylnej, pozwalającą na naukę interpretacji zmian hemodynamicznych</w:t>
            </w:r>
            <w:r w:rsidR="00231567" w:rsidRPr="00B94395">
              <w:rPr>
                <w:rFonts w:ascii="Verdana" w:hAnsi="Verdana" w:cs="Tahoma"/>
              </w:rPr>
              <w:t>.</w:t>
            </w:r>
            <w:r w:rsidRPr="00B94395">
              <w:rPr>
                <w:rFonts w:ascii="Verdana" w:hAnsi="Verdana" w:cs="Tahoma"/>
              </w:rPr>
              <w:t xml:space="preserve"> </w:t>
            </w:r>
          </w:p>
          <w:p w14:paraId="4AA9EAF9" w14:textId="2B75048B" w:rsidR="00746863" w:rsidRPr="00B94395" w:rsidRDefault="00746863" w:rsidP="00B8779C">
            <w:pPr>
              <w:spacing w:after="24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Symulator musi umożliwiać naukę nieinwazyjnego pomiaru ciśnienia tętniczego na obu kończynach górnych, z możliwością zmiany parametrów ciśnienia w zależności od scenariusza klinicznego</w:t>
            </w:r>
            <w:r w:rsidR="00773340" w:rsidRPr="00B94395">
              <w:rPr>
                <w:rFonts w:ascii="Verdana" w:hAnsi="Verdana" w:cs="Tahoma"/>
              </w:rPr>
              <w:t xml:space="preserve"> realizowanego przez prowadzącego zajęcia. </w:t>
            </w:r>
          </w:p>
          <w:p w14:paraId="433C2508" w14:textId="51E51902" w:rsidR="00436AD0" w:rsidRPr="00B94395" w:rsidRDefault="00436AD0" w:rsidP="00B8779C">
            <w:pPr>
              <w:spacing w:after="24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Wraz z symulatorem Wykonawca jest zobowiązany dostarczyć dedykowany stetoskop elektroniczny współpracujący bezprzewodowo z manekinem oraz urządzeniem sterującym. Stetoskop musi umożliwić odtwarzanie dźwięków osłuchowych (serca, płuc) powiązanych z anatomicznie prawidłową lokalizacją punktów osłuchiwania na manekinie.</w:t>
            </w:r>
          </w:p>
          <w:p w14:paraId="5CFD4228" w14:textId="5ED43277" w:rsidR="00436AD0" w:rsidRPr="00B94395" w:rsidRDefault="00436AD0" w:rsidP="00B8779C">
            <w:pPr>
              <w:spacing w:after="24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Stetoskop musi posiadać kształt powszechnie stosowanego stetoskopu klinicznego.  Stetoskop musi posiadać wysoką jakość akustyczną. Stetoskop musi posiadać możliwość pracy bezprzewodowej przez minimum 2 godziny.</w:t>
            </w:r>
          </w:p>
          <w:p w14:paraId="46805B21" w14:textId="5A6B5147" w:rsidR="002B716C" w:rsidRPr="00B94395" w:rsidRDefault="00746863" w:rsidP="00B8779C">
            <w:pPr>
              <w:widowControl w:val="0"/>
              <w:spacing w:after="24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 xml:space="preserve">Symulator powinien być wyposażony w system </w:t>
            </w:r>
            <w:r w:rsidR="00436AD0" w:rsidRPr="00B94395">
              <w:rPr>
                <w:rFonts w:ascii="Verdana" w:hAnsi="Verdana" w:cs="Tahoma"/>
              </w:rPr>
              <w:t xml:space="preserve">transmisji dźwięku / </w:t>
            </w:r>
            <w:r w:rsidRPr="00B94395">
              <w:rPr>
                <w:rFonts w:ascii="Verdana" w:hAnsi="Verdana" w:cs="Tahoma"/>
              </w:rPr>
              <w:t xml:space="preserve">audio umożliwiający odtwarzanie </w:t>
            </w:r>
            <w:r w:rsidR="00231567" w:rsidRPr="00B94395">
              <w:rPr>
                <w:rFonts w:ascii="Verdana" w:hAnsi="Verdana" w:cs="Tahoma"/>
              </w:rPr>
              <w:t xml:space="preserve">w czasie rzeczywistym charakterystycznych dźwięków pacjenta, dla potrzeb przeprowadzania </w:t>
            </w:r>
            <w:r w:rsidRPr="00B94395">
              <w:rPr>
                <w:rFonts w:ascii="Verdana" w:hAnsi="Verdana" w:cs="Tahoma"/>
              </w:rPr>
              <w:t xml:space="preserve">wywiadu chorobowego </w:t>
            </w:r>
            <w:r w:rsidR="00231567" w:rsidRPr="00B94395">
              <w:rPr>
                <w:rFonts w:ascii="Verdana" w:hAnsi="Verdana" w:cs="Tahoma"/>
              </w:rPr>
              <w:t xml:space="preserve">na </w:t>
            </w:r>
            <w:r w:rsidRPr="00B94395">
              <w:rPr>
                <w:rFonts w:ascii="Verdana" w:hAnsi="Verdana" w:cs="Tahoma"/>
              </w:rPr>
              <w:t>zaję</w:t>
            </w:r>
            <w:r w:rsidR="00231567" w:rsidRPr="00B94395">
              <w:rPr>
                <w:rFonts w:ascii="Verdana" w:hAnsi="Verdana" w:cs="Tahoma"/>
              </w:rPr>
              <w:t xml:space="preserve">ciach z kilkuosobową grupą studentów. </w:t>
            </w:r>
          </w:p>
          <w:p w14:paraId="2458ACB6" w14:textId="7C8423F5" w:rsidR="00773340" w:rsidRDefault="00773340" w:rsidP="00B8779C">
            <w:pPr>
              <w:widowControl w:val="0"/>
              <w:rPr>
                <w:rFonts w:ascii="Verdana" w:hAnsi="Verdana" w:cs="Tahoma"/>
                <w:color w:val="FF0000"/>
              </w:rPr>
            </w:pPr>
          </w:p>
          <w:p w14:paraId="746477A5" w14:textId="563668DB" w:rsidR="00B8779C" w:rsidRDefault="00B8779C" w:rsidP="00B8779C">
            <w:pPr>
              <w:widowControl w:val="0"/>
              <w:rPr>
                <w:rFonts w:ascii="Verdana" w:hAnsi="Verdana" w:cs="Tahoma"/>
                <w:color w:val="FF0000"/>
              </w:rPr>
            </w:pPr>
          </w:p>
          <w:p w14:paraId="0061744D" w14:textId="77777777" w:rsidR="00B8779C" w:rsidRPr="00B94395" w:rsidRDefault="00B8779C" w:rsidP="00B8779C">
            <w:pPr>
              <w:widowControl w:val="0"/>
              <w:rPr>
                <w:rFonts w:ascii="Verdana" w:hAnsi="Verdana" w:cs="Tahoma"/>
                <w:color w:val="FF0000"/>
              </w:rPr>
            </w:pPr>
          </w:p>
          <w:p w14:paraId="24952222" w14:textId="3595F968" w:rsidR="00773340" w:rsidRPr="00B94395" w:rsidRDefault="00773340" w:rsidP="00B8779C">
            <w:pPr>
              <w:widowControl w:val="0"/>
              <w:spacing w:before="240" w:after="24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lastRenderedPageBreak/>
              <w:t>Symulator musi być bezprzewodowy tj. bez konieczności stosowania zewnętrznych podłączeń elektrycznych, zewnętrznych kompresorów, przejściówek lub czujników.</w:t>
            </w:r>
          </w:p>
          <w:p w14:paraId="7F0DB214" w14:textId="3219CE46" w:rsidR="00773340" w:rsidRPr="00B94395" w:rsidRDefault="00773340" w:rsidP="00957646">
            <w:pPr>
              <w:widowControl w:val="0"/>
              <w:spacing w:after="24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Musi istnieć możliwość pracy przewodowej oraz bezprzewodowej (na baterii). Możliwość ciągłej pracy symulatora bez konieczności ładowania/wymiany akumulatorów przez minimum 3 godzin.</w:t>
            </w:r>
          </w:p>
          <w:p w14:paraId="110B2607" w14:textId="73BE821A" w:rsidR="00773340" w:rsidRPr="00B94395" w:rsidRDefault="00773340" w:rsidP="00B8779C">
            <w:pPr>
              <w:widowControl w:val="0"/>
              <w:rPr>
                <w:rFonts w:ascii="Verdana" w:hAnsi="Verdana" w:cs="Tahoma"/>
              </w:rPr>
            </w:pPr>
          </w:p>
          <w:p w14:paraId="5D28FFA0" w14:textId="225FDCB3" w:rsidR="00773340" w:rsidRPr="00B94395" w:rsidRDefault="00773340" w:rsidP="00B94395">
            <w:pPr>
              <w:widowControl w:val="0"/>
              <w:spacing w:after="12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Wraz z symulatorem Wykonawca zobowiązany jest dostarczyć urządzenie sterujące, typu tablet</w:t>
            </w:r>
            <w:r w:rsidR="00436AD0" w:rsidRPr="00B94395">
              <w:rPr>
                <w:rFonts w:ascii="Verdana" w:hAnsi="Verdana" w:cs="Tahoma"/>
              </w:rPr>
              <w:t xml:space="preserve"> lub laptop</w:t>
            </w:r>
            <w:r w:rsidRPr="00B94395">
              <w:rPr>
                <w:rFonts w:ascii="Verdana" w:hAnsi="Verdana" w:cs="Tahoma"/>
              </w:rPr>
              <w:t xml:space="preserve"> niezbędny do obsługi scenariuszy i regulacji pracy symulatora o poniższych wymaganiach minimalnych: </w:t>
            </w:r>
          </w:p>
          <w:p w14:paraId="08E38295" w14:textId="2712E6C2" w:rsidR="00773340" w:rsidRPr="00B94395" w:rsidRDefault="00773340" w:rsidP="00B94395">
            <w:pPr>
              <w:pStyle w:val="Akapitzlist"/>
              <w:widowControl w:val="0"/>
              <w:numPr>
                <w:ilvl w:val="0"/>
                <w:numId w:val="11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 xml:space="preserve">jednostka sterująca o przekątnej ekranu min 5 cali, </w:t>
            </w:r>
          </w:p>
          <w:p w14:paraId="1B153F5C" w14:textId="1D2C0553" w:rsidR="00773340" w:rsidRPr="00B94395" w:rsidRDefault="00773340" w:rsidP="00B94395">
            <w:pPr>
              <w:pStyle w:val="Akapitzlist"/>
              <w:widowControl w:val="0"/>
              <w:numPr>
                <w:ilvl w:val="0"/>
                <w:numId w:val="11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 xml:space="preserve">czas pracy na baterii min 4 godziny, </w:t>
            </w:r>
          </w:p>
          <w:p w14:paraId="6E921C0C" w14:textId="47F3E0C7" w:rsidR="00773340" w:rsidRPr="00B94395" w:rsidRDefault="00773340" w:rsidP="00B94395">
            <w:pPr>
              <w:pStyle w:val="Akapitzlist"/>
              <w:widowControl w:val="0"/>
              <w:numPr>
                <w:ilvl w:val="0"/>
                <w:numId w:val="11"/>
              </w:numPr>
              <w:spacing w:after="120" w:line="360" w:lineRule="auto"/>
              <w:contextualSpacing w:val="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na urządzeniu sterującym Wykonawca zobowiązany jest wgrać oprogramowanie do sterowania pracą symulatora, o którym mowa poniżej</w:t>
            </w:r>
            <w:r w:rsidR="00231567" w:rsidRPr="00B94395">
              <w:rPr>
                <w:rFonts w:ascii="Verdana" w:hAnsi="Verdana" w:cs="Tahoma"/>
              </w:rPr>
              <w:t>.</w:t>
            </w:r>
          </w:p>
          <w:p w14:paraId="06D48ABE" w14:textId="22DB48CF" w:rsidR="00436AD0" w:rsidRPr="00B94395" w:rsidRDefault="00436AD0" w:rsidP="00957646">
            <w:pPr>
              <w:widowControl w:val="0"/>
              <w:rPr>
                <w:rFonts w:ascii="Verdana" w:hAnsi="Verdana" w:cs="Tahoma"/>
              </w:rPr>
            </w:pPr>
          </w:p>
          <w:p w14:paraId="5184E000" w14:textId="779B6379" w:rsidR="00436AD0" w:rsidRPr="00B94395" w:rsidRDefault="00436AD0" w:rsidP="00B94395">
            <w:pPr>
              <w:widowControl w:val="0"/>
              <w:spacing w:after="12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Wraz z symulatorem Wykonawca jest zobowiązany dostarczyć oprogramowanie w języku polskim lub angielskim do sterowania pracą symulatora, które musi umożliwiać co najmniej:</w:t>
            </w:r>
          </w:p>
          <w:p w14:paraId="56226612" w14:textId="77777777" w:rsidR="00436AD0" w:rsidRPr="00B94395" w:rsidRDefault="00436AD0" w:rsidP="00B94395">
            <w:pPr>
              <w:widowControl w:val="0"/>
              <w:tabs>
                <w:tab w:val="left" w:pos="876"/>
              </w:tabs>
              <w:spacing w:after="120" w:line="360" w:lineRule="auto"/>
              <w:ind w:firstLine="45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•</w:t>
            </w:r>
            <w:r w:rsidRPr="00B94395">
              <w:rPr>
                <w:rFonts w:ascii="Verdana" w:hAnsi="Verdana" w:cs="Tahoma"/>
              </w:rPr>
              <w:tab/>
              <w:t xml:space="preserve">wybór i edycję scenariuszy, </w:t>
            </w:r>
          </w:p>
          <w:p w14:paraId="00B2ACF7" w14:textId="77777777" w:rsidR="00436AD0" w:rsidRPr="00B94395" w:rsidRDefault="00436AD0" w:rsidP="00B94395">
            <w:pPr>
              <w:widowControl w:val="0"/>
              <w:tabs>
                <w:tab w:val="left" w:pos="876"/>
              </w:tabs>
              <w:spacing w:after="120" w:line="360" w:lineRule="auto"/>
              <w:ind w:firstLine="45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•</w:t>
            </w:r>
            <w:r w:rsidRPr="00B94395">
              <w:rPr>
                <w:rFonts w:ascii="Verdana" w:hAnsi="Verdana" w:cs="Tahoma"/>
              </w:rPr>
              <w:tab/>
              <w:t xml:space="preserve">zmianę parametrów fizjologicznych w czasie rzeczywistym, </w:t>
            </w:r>
          </w:p>
          <w:p w14:paraId="13430878" w14:textId="0D9DA03E" w:rsidR="00436AD0" w:rsidRPr="00B94395" w:rsidRDefault="00436AD0" w:rsidP="00B94395">
            <w:pPr>
              <w:widowControl w:val="0"/>
              <w:tabs>
                <w:tab w:val="left" w:pos="876"/>
              </w:tabs>
              <w:spacing w:after="120" w:line="360" w:lineRule="auto"/>
              <w:ind w:firstLine="450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lastRenderedPageBreak/>
              <w:t>•</w:t>
            </w:r>
            <w:r w:rsidRPr="00B94395">
              <w:rPr>
                <w:rFonts w:ascii="Verdana" w:hAnsi="Verdana" w:cs="Tahoma"/>
              </w:rPr>
              <w:tab/>
              <w:t xml:space="preserve">sterowanie dźwiękami i objawami klinicznymi. </w:t>
            </w:r>
          </w:p>
          <w:p w14:paraId="3EF1BA98" w14:textId="77777777" w:rsidR="00773340" w:rsidRPr="00B94395" w:rsidRDefault="00773340" w:rsidP="00957646">
            <w:pPr>
              <w:widowControl w:val="0"/>
              <w:rPr>
                <w:rFonts w:ascii="Verdana" w:eastAsia="Calibri" w:hAnsi="Verdana" w:cs="Tahoma"/>
              </w:rPr>
            </w:pPr>
          </w:p>
          <w:p w14:paraId="20A3AF1E" w14:textId="77777777" w:rsidR="00436AD0" w:rsidRPr="00B94395" w:rsidRDefault="00436AD0" w:rsidP="00B8779C">
            <w:pPr>
              <w:pStyle w:val="NormalnyWeb"/>
              <w:spacing w:before="0" w:beforeAutospacing="0" w:after="240" w:afterAutospacing="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 xml:space="preserve">Zamawiający wymaga, aby dostarczone oprogramowanie objęte było licencją bezterminową (wieczystą), umożliwiającą użytkowanie oprogramowania na czas nieokreślony, bez konieczności ponoszenia dodatkowych opłat licencyjnych w przyszłości. Wykonawca zobowiązany jest do zapewnienia: </w:t>
            </w:r>
          </w:p>
          <w:p w14:paraId="4281DFD3" w14:textId="77777777" w:rsidR="00436AD0" w:rsidRPr="00B94395" w:rsidRDefault="00436AD0" w:rsidP="00957646">
            <w:pPr>
              <w:pStyle w:val="NormalnyWeb"/>
              <w:spacing w:before="0" w:beforeAutospacing="0" w:after="120" w:afterAutospacing="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• aktualizacji oprogramowania (w tym poprawek bezpieczeństwa, ulepszeń funkcjonalnych oraz aktualizacji zgodności z systemem operacyjnym) przez cały okres gwarancji. Aktualizacje nie mogą wymagać zakupu dodatkowych urządzeń/rozwiązań sprzętowych (np. nowy fantom, sonda itp.)</w:t>
            </w:r>
          </w:p>
          <w:p w14:paraId="11E23317" w14:textId="7A5421C1" w:rsidR="00436AD0" w:rsidRPr="00B94395" w:rsidRDefault="00436AD0" w:rsidP="00B8779C">
            <w:pPr>
              <w:pStyle w:val="NormalnyWeb"/>
              <w:spacing w:before="0" w:beforeAutospacing="0" w:after="240" w:afterAutospacing="0" w:line="360" w:lineRule="auto"/>
              <w:rPr>
                <w:rFonts w:ascii="Verdana" w:hAnsi="Verdana" w:cs="Tahoma"/>
              </w:rPr>
            </w:pPr>
            <w:r w:rsidRPr="00B94395">
              <w:rPr>
                <w:rFonts w:ascii="Verdana" w:hAnsi="Verdana" w:cs="Tahoma"/>
              </w:rPr>
              <w:t>• wsparcia technicznego dla Zamawiającego przez cały okres gwarancji, obejmującego m.in. konsultacje, pomoc przy instalacji aktualizacji oraz rozwiązywanie problemów technicznych związanych z funkcjonowaniem oprogramowania</w:t>
            </w:r>
            <w:r w:rsidR="00231567" w:rsidRPr="00B94395">
              <w:rPr>
                <w:rFonts w:ascii="Verdana" w:hAnsi="Verdana" w:cs="Tahoma"/>
              </w:rPr>
              <w:t>.</w:t>
            </w:r>
          </w:p>
          <w:p w14:paraId="5680416D" w14:textId="72030E9A" w:rsidR="00436AD0" w:rsidRPr="00B94395" w:rsidRDefault="00436AD0" w:rsidP="00B8779C">
            <w:pPr>
              <w:widowControl w:val="0"/>
              <w:spacing w:after="240" w:line="360" w:lineRule="auto"/>
              <w:rPr>
                <w:rFonts w:ascii="Verdana" w:eastAsia="Calibri" w:hAnsi="Verdana" w:cs="Tahoma"/>
              </w:rPr>
            </w:pPr>
            <w:r w:rsidRPr="00B94395">
              <w:rPr>
                <w:rFonts w:ascii="Verdana" w:eastAsia="Calibri" w:hAnsi="Verdana" w:cs="Tahoma"/>
              </w:rPr>
              <w:t>Zaoferowane symulatory muszą być zgodne z dyrektywą 2014/30/EU w zakresie kompatybilności elektromagnetycznej na terenie Unii Europejskiej</w:t>
            </w:r>
            <w:r w:rsidR="00231567" w:rsidRPr="00B94395">
              <w:rPr>
                <w:rFonts w:ascii="Verdana" w:eastAsia="Calibri" w:hAnsi="Verdana" w:cs="Tahoma"/>
              </w:rPr>
              <w:t>.</w:t>
            </w:r>
          </w:p>
          <w:p w14:paraId="115ACA0B" w14:textId="77777777" w:rsidR="00436AD0" w:rsidRPr="00B94395" w:rsidRDefault="00436AD0" w:rsidP="00B8779C">
            <w:pPr>
              <w:widowControl w:val="0"/>
              <w:rPr>
                <w:rFonts w:ascii="Verdana" w:eastAsia="Calibri" w:hAnsi="Verdana" w:cs="Tahoma"/>
              </w:rPr>
            </w:pPr>
          </w:p>
          <w:p w14:paraId="6305BA7F" w14:textId="089FD40A" w:rsidR="00436AD0" w:rsidRPr="00B94395" w:rsidRDefault="00436AD0" w:rsidP="00B94395">
            <w:pPr>
              <w:widowControl w:val="0"/>
              <w:spacing w:after="120" w:line="360" w:lineRule="auto"/>
              <w:rPr>
                <w:rFonts w:ascii="Verdana" w:eastAsia="Calibri" w:hAnsi="Verdana" w:cs="Tahoma"/>
              </w:rPr>
            </w:pPr>
            <w:r w:rsidRPr="00B94395">
              <w:rPr>
                <w:rFonts w:ascii="Verdana" w:eastAsia="Calibri" w:hAnsi="Verdana" w:cs="Tahoma"/>
              </w:rPr>
              <w:t>Zaoferowane urządzenia nie mogą zawierać substancji objętych ograniczeniem wymienionych w załączniku II do dyrektywy Parlamentu Europejskiego i Rady 2011/65/UE (309), z wyjątkiem sytuacji, w których wartości koncentracji wagowo w materiałach jednorodnych nie przekraczają maksymalnych wartości wymienionych w tym załączniku</w:t>
            </w:r>
            <w:r w:rsidR="00231567" w:rsidRPr="00B94395">
              <w:rPr>
                <w:rFonts w:ascii="Verdana" w:eastAsia="Calibri" w:hAnsi="Verdana" w:cs="Tahoma"/>
              </w:rPr>
              <w:t>.</w:t>
            </w:r>
          </w:p>
          <w:p w14:paraId="6DD0844F" w14:textId="4EED1F94" w:rsidR="00436AD0" w:rsidRDefault="00436AD0" w:rsidP="00B8779C">
            <w:pPr>
              <w:widowControl w:val="0"/>
              <w:rPr>
                <w:rFonts w:ascii="Verdana" w:eastAsia="Calibri" w:hAnsi="Verdana" w:cs="Tahoma"/>
              </w:rPr>
            </w:pPr>
          </w:p>
          <w:p w14:paraId="79E145CF" w14:textId="77777777" w:rsidR="00B8779C" w:rsidRPr="00B94395" w:rsidRDefault="00B8779C" w:rsidP="00B8779C">
            <w:pPr>
              <w:widowControl w:val="0"/>
              <w:rPr>
                <w:rFonts w:ascii="Verdana" w:eastAsia="Calibri" w:hAnsi="Verdana" w:cs="Tahoma"/>
              </w:rPr>
            </w:pPr>
          </w:p>
          <w:p w14:paraId="7370B34C" w14:textId="76963EE6" w:rsidR="00436AD0" w:rsidRPr="00B94395" w:rsidRDefault="00436AD0" w:rsidP="00B8779C">
            <w:pPr>
              <w:widowControl w:val="0"/>
              <w:spacing w:before="240" w:after="120" w:line="360" w:lineRule="auto"/>
              <w:rPr>
                <w:rFonts w:ascii="Verdana" w:eastAsia="Calibri" w:hAnsi="Verdana" w:cs="Tahoma"/>
              </w:rPr>
            </w:pPr>
            <w:r w:rsidRPr="00B94395">
              <w:rPr>
                <w:rFonts w:ascii="Verdana" w:eastAsia="Calibri" w:hAnsi="Verdana" w:cs="Tahoma"/>
              </w:rPr>
              <w:lastRenderedPageBreak/>
              <w:t>Wykonawca zobowiązuje się do zutylizowania zgodnie z obowiązującymi normami niemożliwych do ponownego wykorzystania elementów opakowań dostarczanego sprzętu oraz wykorzystania opakowań wielokrotnego użytku (np. palet) w ramach kolejnych realizowanych przez Wykonawcę dostaw</w:t>
            </w:r>
            <w:r w:rsidR="00231567" w:rsidRPr="00B94395">
              <w:rPr>
                <w:rFonts w:ascii="Verdana" w:eastAsia="Calibri" w:hAnsi="Verdana" w:cs="Tahoma"/>
              </w:rPr>
              <w:t>.</w:t>
            </w:r>
          </w:p>
          <w:p w14:paraId="028FF56C" w14:textId="77777777" w:rsidR="00436AD0" w:rsidRPr="00B94395" w:rsidRDefault="00436AD0" w:rsidP="00B8779C">
            <w:pPr>
              <w:widowControl w:val="0"/>
              <w:rPr>
                <w:rFonts w:ascii="Verdana" w:eastAsia="Calibri" w:hAnsi="Verdana" w:cs="Tahoma"/>
              </w:rPr>
            </w:pPr>
          </w:p>
          <w:p w14:paraId="46A151D3" w14:textId="77777777" w:rsidR="00436AD0" w:rsidRPr="00B94395" w:rsidRDefault="00436AD0" w:rsidP="00B8779C">
            <w:pPr>
              <w:spacing w:after="240" w:line="360" w:lineRule="auto"/>
              <w:ind w:hanging="25"/>
              <w:rPr>
                <w:rFonts w:ascii="Verdana" w:eastAsia="Calibri" w:hAnsi="Verdana" w:cs="Tahoma"/>
              </w:rPr>
            </w:pPr>
            <w:r w:rsidRPr="00B94395">
              <w:rPr>
                <w:rFonts w:ascii="Verdana" w:eastAsia="Calibri" w:hAnsi="Verdana" w:cs="Tahoma"/>
              </w:rPr>
              <w:t>W zakresie urządzenia sterującego fantomem Wykonawca zobowiązuje się do:</w:t>
            </w:r>
          </w:p>
          <w:p w14:paraId="35CCEDCF" w14:textId="77777777" w:rsidR="00436AD0" w:rsidRPr="00B94395" w:rsidRDefault="00436AD0" w:rsidP="00957646">
            <w:pPr>
              <w:spacing w:after="120" w:line="360" w:lineRule="auto"/>
              <w:ind w:hanging="23"/>
              <w:rPr>
                <w:rFonts w:ascii="Verdana" w:eastAsia="Calibri" w:hAnsi="Verdana" w:cs="Tahoma"/>
              </w:rPr>
            </w:pPr>
            <w:r w:rsidRPr="00B94395">
              <w:rPr>
                <w:rFonts w:ascii="Verdana" w:eastAsia="Calibri" w:hAnsi="Verdana" w:cs="Tahoma"/>
              </w:rPr>
              <w:t>- zaoferowania urządzenia sterującego fantomem zgodnego z dyrektywą 2014/30/EU w zakresie kompatybilności elektromagnetycznej na terenie Unii Europejskiej.</w:t>
            </w:r>
          </w:p>
          <w:p w14:paraId="7165CCA6" w14:textId="77777777" w:rsidR="00A23E88" w:rsidRDefault="00436AD0" w:rsidP="00B8779C">
            <w:pPr>
              <w:pStyle w:val="NormalnyWeb"/>
              <w:spacing w:before="0" w:beforeAutospacing="0" w:after="240" w:afterAutospacing="0" w:line="360" w:lineRule="auto"/>
              <w:rPr>
                <w:rFonts w:ascii="Verdana" w:eastAsia="Calibri" w:hAnsi="Verdana" w:cs="Tahoma"/>
              </w:rPr>
            </w:pPr>
            <w:r w:rsidRPr="00B94395">
              <w:rPr>
                <w:rFonts w:ascii="Verdana" w:eastAsia="Calibri" w:hAnsi="Verdana" w:cs="Tahoma"/>
              </w:rPr>
              <w:t>- zaoferowane urządzenie sterujące fantomem musi mieć możliwość, poprzez zastosowanie odpowiednich ustawień systemu operacyjnego, dostosowania poziomu zużycia energii powiązanego z wydajnością pracy</w:t>
            </w:r>
            <w:r w:rsidR="00231567" w:rsidRPr="00B94395">
              <w:rPr>
                <w:rFonts w:ascii="Verdana" w:eastAsia="Calibri" w:hAnsi="Verdana" w:cs="Tahoma"/>
              </w:rPr>
              <w:t>.</w:t>
            </w:r>
          </w:p>
          <w:p w14:paraId="4F19A367" w14:textId="77777777" w:rsidR="006931D0" w:rsidRDefault="006931D0" w:rsidP="006931D0">
            <w:pPr>
              <w:spacing w:before="120" w:after="120" w:line="360" w:lineRule="auto"/>
              <w:textAlignment w:val="baseline"/>
              <w:rPr>
                <w:rFonts w:ascii="Verdana" w:hAnsi="Verdana" w:cs="Tahoma"/>
              </w:rPr>
            </w:pPr>
            <w:r w:rsidRPr="003B2470">
              <w:rPr>
                <w:rFonts w:ascii="Verdana" w:hAnsi="Verdana" w:cs="Tahoma"/>
              </w:rPr>
              <w:t>Oferowane urządzenie musi charakteryzować się możliwie niskim zużyciem energii elektrycznej, przy zachowaniu pełnej funkcjonalności i wydajności.</w:t>
            </w:r>
          </w:p>
          <w:p w14:paraId="259E8714" w14:textId="77777777" w:rsidR="006931D0" w:rsidRPr="003B2470" w:rsidRDefault="006931D0" w:rsidP="00957646">
            <w:pPr>
              <w:textAlignment w:val="baseline"/>
              <w:rPr>
                <w:rFonts w:ascii="Verdana" w:hAnsi="Verdana" w:cs="Tahoma"/>
              </w:rPr>
            </w:pPr>
          </w:p>
          <w:p w14:paraId="0E407D51" w14:textId="3D67319D" w:rsidR="006931D0" w:rsidRPr="00B94395" w:rsidRDefault="006931D0" w:rsidP="00957646">
            <w:pPr>
              <w:pStyle w:val="NormalnyWeb"/>
              <w:spacing w:before="0" w:beforeAutospacing="0" w:after="240" w:afterAutospacing="0"/>
              <w:rPr>
                <w:rFonts w:ascii="Verdana" w:hAnsi="Verdana" w:cs="Tahoma"/>
              </w:rPr>
            </w:pPr>
          </w:p>
        </w:tc>
      </w:tr>
    </w:tbl>
    <w:p w14:paraId="73A83117" w14:textId="5D15ED90" w:rsidR="00BF1ED2" w:rsidRPr="00B94395" w:rsidRDefault="00BF1ED2" w:rsidP="00957646">
      <w:pPr>
        <w:spacing w:after="120" w:line="360" w:lineRule="auto"/>
        <w:rPr>
          <w:rFonts w:ascii="Verdana" w:hAnsi="Verdana"/>
        </w:rPr>
      </w:pPr>
    </w:p>
    <w:sectPr w:rsidR="00BF1ED2" w:rsidRPr="00B94395" w:rsidSect="00B94395">
      <w:headerReference w:type="default" r:id="rId7"/>
      <w:footerReference w:type="default" r:id="rId8"/>
      <w:pgSz w:w="16838" w:h="11906" w:orient="landscape"/>
      <w:pgMar w:top="1361" w:right="737" w:bottom="737" w:left="737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987BED" w14:textId="77777777" w:rsidR="000F154C" w:rsidRDefault="000F154C" w:rsidP="00B85399">
      <w:r>
        <w:separator/>
      </w:r>
    </w:p>
  </w:endnote>
  <w:endnote w:type="continuationSeparator" w:id="0">
    <w:p w14:paraId="4614EDF8" w14:textId="77777777" w:rsidR="000F154C" w:rsidRDefault="000F154C" w:rsidP="00B8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2614480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i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i w:val="0"/>
            <w:sz w:val="24"/>
            <w:szCs w:val="24"/>
          </w:rPr>
        </w:sdtEndPr>
        <w:sdtContent>
          <w:p w14:paraId="4FF6671C" w14:textId="1FF838AF" w:rsidR="00B85399" w:rsidRDefault="00B94395" w:rsidP="00B8779C">
            <w:pPr>
              <w:pStyle w:val="Stopka"/>
              <w:pBdr>
                <w:top w:val="single" w:sz="4" w:space="1" w:color="auto"/>
              </w:pBdr>
              <w:spacing w:before="120"/>
            </w:pPr>
            <w:r>
              <w:rPr>
                <w:rFonts w:ascii="Verdana" w:hAnsi="Verdana"/>
                <w:i/>
                <w:sz w:val="18"/>
                <w:szCs w:val="18"/>
              </w:rPr>
              <w:t xml:space="preserve">Zał. nr 1 do SWZ – Opis przedmiotu zamówienia/Zestawienie wymaganych parametrów technicznych                                                      </w:t>
            </w:r>
            <w:r w:rsidR="00B8779C">
              <w:rPr>
                <w:rFonts w:ascii="Verdana" w:hAnsi="Verdana"/>
                <w:i/>
                <w:sz w:val="18"/>
                <w:szCs w:val="18"/>
              </w:rPr>
              <w:t xml:space="preserve">                   </w:t>
            </w:r>
            <w:r w:rsidRPr="00D57FF8">
              <w:rPr>
                <w:rFonts w:ascii="Verdana" w:hAnsi="Verdana"/>
                <w:i/>
                <w:sz w:val="18"/>
                <w:szCs w:val="18"/>
              </w:rPr>
              <w:t xml:space="preserve">Strona </w:t>
            </w:r>
            <w:r w:rsidRPr="00D57FF8">
              <w:rPr>
                <w:rFonts w:ascii="Verdana" w:hAnsi="Verdana"/>
                <w:bCs/>
                <w:i/>
                <w:sz w:val="18"/>
                <w:szCs w:val="18"/>
              </w:rPr>
              <w:fldChar w:fldCharType="begin"/>
            </w:r>
            <w:r w:rsidRPr="00D57FF8">
              <w:rPr>
                <w:rFonts w:ascii="Verdana" w:hAnsi="Verdana"/>
                <w:bCs/>
                <w:i/>
                <w:sz w:val="18"/>
                <w:szCs w:val="18"/>
              </w:rPr>
              <w:instrText>PAGE</w:instrText>
            </w:r>
            <w:r w:rsidRPr="00D57FF8">
              <w:rPr>
                <w:rFonts w:ascii="Verdana" w:hAnsi="Verdana"/>
                <w:bCs/>
                <w:i/>
                <w:sz w:val="18"/>
                <w:szCs w:val="18"/>
              </w:rPr>
              <w:fldChar w:fldCharType="separate"/>
            </w:r>
            <w:r w:rsidR="00EC5ADA">
              <w:rPr>
                <w:rFonts w:ascii="Verdana" w:hAnsi="Verdana"/>
                <w:bCs/>
                <w:i/>
                <w:noProof/>
                <w:sz w:val="18"/>
                <w:szCs w:val="18"/>
              </w:rPr>
              <w:t>10</w:t>
            </w:r>
            <w:r w:rsidRPr="00D57FF8">
              <w:rPr>
                <w:rFonts w:ascii="Verdana" w:hAnsi="Verdana"/>
                <w:bCs/>
                <w:i/>
                <w:sz w:val="18"/>
                <w:szCs w:val="18"/>
              </w:rPr>
              <w:fldChar w:fldCharType="end"/>
            </w:r>
            <w:r w:rsidRPr="00D57FF8">
              <w:rPr>
                <w:rFonts w:ascii="Verdana" w:hAnsi="Verdana"/>
                <w:i/>
                <w:sz w:val="18"/>
                <w:szCs w:val="18"/>
              </w:rPr>
              <w:t xml:space="preserve"> z </w:t>
            </w:r>
            <w:r w:rsidRPr="00D57FF8">
              <w:rPr>
                <w:rFonts w:ascii="Verdana" w:hAnsi="Verdana"/>
                <w:bCs/>
                <w:i/>
                <w:sz w:val="18"/>
                <w:szCs w:val="18"/>
              </w:rPr>
              <w:fldChar w:fldCharType="begin"/>
            </w:r>
            <w:r w:rsidRPr="00D57FF8">
              <w:rPr>
                <w:rFonts w:ascii="Verdana" w:hAnsi="Verdana"/>
                <w:bCs/>
                <w:i/>
                <w:sz w:val="18"/>
                <w:szCs w:val="18"/>
              </w:rPr>
              <w:instrText>NUMPAGES</w:instrText>
            </w:r>
            <w:r w:rsidRPr="00D57FF8">
              <w:rPr>
                <w:rFonts w:ascii="Verdana" w:hAnsi="Verdana"/>
                <w:bCs/>
                <w:i/>
                <w:sz w:val="18"/>
                <w:szCs w:val="18"/>
              </w:rPr>
              <w:fldChar w:fldCharType="separate"/>
            </w:r>
            <w:r w:rsidR="00EC5ADA">
              <w:rPr>
                <w:rFonts w:ascii="Verdana" w:hAnsi="Verdana"/>
                <w:bCs/>
                <w:i/>
                <w:noProof/>
                <w:sz w:val="18"/>
                <w:szCs w:val="18"/>
              </w:rPr>
              <w:t>10</w:t>
            </w:r>
            <w:r w:rsidRPr="00D57FF8">
              <w:rPr>
                <w:rFonts w:ascii="Verdana" w:hAnsi="Verdana"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C15A82" w14:textId="77777777" w:rsidR="000F154C" w:rsidRDefault="000F154C" w:rsidP="00B85399">
      <w:r>
        <w:separator/>
      </w:r>
    </w:p>
  </w:footnote>
  <w:footnote w:type="continuationSeparator" w:id="0">
    <w:p w14:paraId="35696E7B" w14:textId="77777777" w:rsidR="000F154C" w:rsidRDefault="000F154C" w:rsidP="00B85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7DB99" w14:textId="3FCA464C" w:rsidR="00FB743D" w:rsidRDefault="00FB743D" w:rsidP="00497EE3">
    <w:pPr>
      <w:pStyle w:val="Nagwek"/>
      <w:jc w:val="center"/>
    </w:pPr>
    <w:bookmarkStart w:id="2" w:name="_Hlk192663751"/>
    <w:bookmarkStart w:id="3" w:name="_Hlk192663752"/>
    <w:bookmarkStart w:id="4" w:name="_Hlk192663754"/>
    <w:bookmarkStart w:id="5" w:name="_Hlk192663755"/>
    <w:r>
      <w:rPr>
        <w:noProof/>
      </w:rPr>
      <w:drawing>
        <wp:inline distT="0" distB="0" distL="0" distR="0" wp14:anchorId="4DF7AB86" wp14:editId="317C0C52">
          <wp:extent cx="5759450" cy="572644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20F759" w14:textId="77777777" w:rsidR="00FB743D" w:rsidRDefault="00FB743D" w:rsidP="00497EE3">
    <w:pPr>
      <w:pStyle w:val="Nagwek"/>
      <w:jc w:val="center"/>
    </w:pPr>
  </w:p>
  <w:bookmarkEnd w:id="2"/>
  <w:bookmarkEnd w:id="3"/>
  <w:bookmarkEnd w:id="4"/>
  <w:bookmarkEnd w:id="5"/>
  <w:p w14:paraId="3B637AEE" w14:textId="335B9413" w:rsidR="00497EE3" w:rsidRPr="00FB743D" w:rsidRDefault="00FB743D" w:rsidP="00FB743D">
    <w:pPr>
      <w:pStyle w:val="Nagwek"/>
      <w:pBdr>
        <w:top w:val="single" w:sz="4" w:space="1" w:color="auto"/>
        <w:bottom w:val="single" w:sz="4" w:space="1" w:color="auto"/>
      </w:pBdr>
      <w:spacing w:after="240"/>
      <w:rPr>
        <w:rFonts w:ascii="Verdana" w:hAnsi="Verdana"/>
        <w:i/>
        <w:sz w:val="18"/>
        <w:szCs w:val="18"/>
      </w:rPr>
    </w:pPr>
    <w:r w:rsidRPr="00FB743D">
      <w:rPr>
        <w:rFonts w:ascii="Verdana" w:hAnsi="Verdana"/>
        <w:i/>
        <w:sz w:val="18"/>
        <w:szCs w:val="18"/>
      </w:rPr>
      <w:t>Postępowanie nr: DZP.25.37.2026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C7460"/>
    <w:multiLevelType w:val="multilevel"/>
    <w:tmpl w:val="A67EA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F2104"/>
    <w:multiLevelType w:val="hybridMultilevel"/>
    <w:tmpl w:val="3C504E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95169"/>
    <w:multiLevelType w:val="hybridMultilevel"/>
    <w:tmpl w:val="FC1A1F4C"/>
    <w:lvl w:ilvl="0" w:tplc="614E4142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9521F"/>
    <w:multiLevelType w:val="multilevel"/>
    <w:tmpl w:val="48D80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9E5E26"/>
    <w:multiLevelType w:val="hybridMultilevel"/>
    <w:tmpl w:val="20D28C4E"/>
    <w:lvl w:ilvl="0" w:tplc="614E4142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C0D52"/>
    <w:multiLevelType w:val="hybridMultilevel"/>
    <w:tmpl w:val="4AC27F5E"/>
    <w:lvl w:ilvl="0" w:tplc="614E4142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7B04FC"/>
    <w:multiLevelType w:val="multilevel"/>
    <w:tmpl w:val="E626D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985E75"/>
    <w:multiLevelType w:val="hybridMultilevel"/>
    <w:tmpl w:val="172AF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80FDE"/>
    <w:multiLevelType w:val="multilevel"/>
    <w:tmpl w:val="DB1A0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512ABA"/>
    <w:multiLevelType w:val="multilevel"/>
    <w:tmpl w:val="B3764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DC682B"/>
    <w:multiLevelType w:val="hybridMultilevel"/>
    <w:tmpl w:val="F418EFD2"/>
    <w:lvl w:ilvl="0" w:tplc="614E4142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3"/>
  </w:num>
  <w:num w:numId="5">
    <w:abstractNumId w:val="9"/>
  </w:num>
  <w:num w:numId="6">
    <w:abstractNumId w:val="7"/>
  </w:num>
  <w:num w:numId="7">
    <w:abstractNumId w:val="1"/>
  </w:num>
  <w:num w:numId="8">
    <w:abstractNumId w:val="2"/>
  </w:num>
  <w:num w:numId="9">
    <w:abstractNumId w:val="10"/>
  </w:num>
  <w:num w:numId="10">
    <w:abstractNumId w:val="5"/>
  </w:num>
  <w:num w:numId="1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399"/>
    <w:rsid w:val="0000035F"/>
    <w:rsid w:val="00002508"/>
    <w:rsid w:val="00002655"/>
    <w:rsid w:val="00011217"/>
    <w:rsid w:val="0001220A"/>
    <w:rsid w:val="000132E4"/>
    <w:rsid w:val="00013763"/>
    <w:rsid w:val="00014467"/>
    <w:rsid w:val="00014A3E"/>
    <w:rsid w:val="00023AC9"/>
    <w:rsid w:val="00023F2A"/>
    <w:rsid w:val="0003036E"/>
    <w:rsid w:val="000314E2"/>
    <w:rsid w:val="00040061"/>
    <w:rsid w:val="000472ED"/>
    <w:rsid w:val="00050C69"/>
    <w:rsid w:val="00051434"/>
    <w:rsid w:val="00051538"/>
    <w:rsid w:val="00052633"/>
    <w:rsid w:val="00061A41"/>
    <w:rsid w:val="00061DC4"/>
    <w:rsid w:val="0006215A"/>
    <w:rsid w:val="00067B04"/>
    <w:rsid w:val="00076545"/>
    <w:rsid w:val="0007713D"/>
    <w:rsid w:val="000828F4"/>
    <w:rsid w:val="000A44A7"/>
    <w:rsid w:val="000A54EA"/>
    <w:rsid w:val="000C01D8"/>
    <w:rsid w:val="000C4589"/>
    <w:rsid w:val="000D2489"/>
    <w:rsid w:val="000E4A1E"/>
    <w:rsid w:val="000E4F2D"/>
    <w:rsid w:val="000F154C"/>
    <w:rsid w:val="000F21C8"/>
    <w:rsid w:val="001108F0"/>
    <w:rsid w:val="001111AE"/>
    <w:rsid w:val="00113361"/>
    <w:rsid w:val="00116FA6"/>
    <w:rsid w:val="001260C3"/>
    <w:rsid w:val="00126561"/>
    <w:rsid w:val="00143F01"/>
    <w:rsid w:val="001533D5"/>
    <w:rsid w:val="00160230"/>
    <w:rsid w:val="00164BB3"/>
    <w:rsid w:val="0016520B"/>
    <w:rsid w:val="001754DA"/>
    <w:rsid w:val="00180CC4"/>
    <w:rsid w:val="00193F08"/>
    <w:rsid w:val="00195B5B"/>
    <w:rsid w:val="001A7641"/>
    <w:rsid w:val="001A770E"/>
    <w:rsid w:val="001C020E"/>
    <w:rsid w:val="001C25DE"/>
    <w:rsid w:val="001C7AE6"/>
    <w:rsid w:val="001D1CCE"/>
    <w:rsid w:val="001D4EF1"/>
    <w:rsid w:val="001E1C06"/>
    <w:rsid w:val="001F4276"/>
    <w:rsid w:val="00201A1D"/>
    <w:rsid w:val="002158D4"/>
    <w:rsid w:val="002176D5"/>
    <w:rsid w:val="002233F1"/>
    <w:rsid w:val="00230AE2"/>
    <w:rsid w:val="00231567"/>
    <w:rsid w:val="00244284"/>
    <w:rsid w:val="0025142D"/>
    <w:rsid w:val="00251C56"/>
    <w:rsid w:val="00254645"/>
    <w:rsid w:val="002609E9"/>
    <w:rsid w:val="0026471C"/>
    <w:rsid w:val="00272D20"/>
    <w:rsid w:val="00280EB1"/>
    <w:rsid w:val="00283C79"/>
    <w:rsid w:val="0028651E"/>
    <w:rsid w:val="0029688C"/>
    <w:rsid w:val="002A4E5E"/>
    <w:rsid w:val="002B2204"/>
    <w:rsid w:val="002B3D44"/>
    <w:rsid w:val="002B716C"/>
    <w:rsid w:val="002C64F7"/>
    <w:rsid w:val="002C6D32"/>
    <w:rsid w:val="002E36D0"/>
    <w:rsid w:val="002E501D"/>
    <w:rsid w:val="002E606A"/>
    <w:rsid w:val="002F355B"/>
    <w:rsid w:val="002F46E4"/>
    <w:rsid w:val="002F68D5"/>
    <w:rsid w:val="00307AEC"/>
    <w:rsid w:val="00314A41"/>
    <w:rsid w:val="003162D1"/>
    <w:rsid w:val="00316C14"/>
    <w:rsid w:val="0032122E"/>
    <w:rsid w:val="003217BF"/>
    <w:rsid w:val="003240DA"/>
    <w:rsid w:val="00342B79"/>
    <w:rsid w:val="003473CE"/>
    <w:rsid w:val="003536CF"/>
    <w:rsid w:val="003611B4"/>
    <w:rsid w:val="00362C27"/>
    <w:rsid w:val="00362CFA"/>
    <w:rsid w:val="0037183C"/>
    <w:rsid w:val="00372FAB"/>
    <w:rsid w:val="003758ED"/>
    <w:rsid w:val="0037654F"/>
    <w:rsid w:val="00383381"/>
    <w:rsid w:val="003D4269"/>
    <w:rsid w:val="003D530E"/>
    <w:rsid w:val="00414252"/>
    <w:rsid w:val="00415E4D"/>
    <w:rsid w:val="0041620C"/>
    <w:rsid w:val="00431191"/>
    <w:rsid w:val="004333BF"/>
    <w:rsid w:val="00436AD0"/>
    <w:rsid w:val="00437F91"/>
    <w:rsid w:val="00440257"/>
    <w:rsid w:val="0044372B"/>
    <w:rsid w:val="0045778E"/>
    <w:rsid w:val="00461C71"/>
    <w:rsid w:val="004726F3"/>
    <w:rsid w:val="0049173B"/>
    <w:rsid w:val="00497A27"/>
    <w:rsid w:val="00497EE3"/>
    <w:rsid w:val="004A14C5"/>
    <w:rsid w:val="004A5C83"/>
    <w:rsid w:val="004B34A5"/>
    <w:rsid w:val="004C06DF"/>
    <w:rsid w:val="004C074D"/>
    <w:rsid w:val="004C1B74"/>
    <w:rsid w:val="004E1DA3"/>
    <w:rsid w:val="004E3A5B"/>
    <w:rsid w:val="004E45DC"/>
    <w:rsid w:val="004E67BF"/>
    <w:rsid w:val="004F24CD"/>
    <w:rsid w:val="004F7D95"/>
    <w:rsid w:val="005014AD"/>
    <w:rsid w:val="00504DEC"/>
    <w:rsid w:val="00517791"/>
    <w:rsid w:val="005211B6"/>
    <w:rsid w:val="00522D79"/>
    <w:rsid w:val="00524E09"/>
    <w:rsid w:val="00533F1C"/>
    <w:rsid w:val="00536969"/>
    <w:rsid w:val="0053710F"/>
    <w:rsid w:val="00540D53"/>
    <w:rsid w:val="00540DF1"/>
    <w:rsid w:val="00540E9D"/>
    <w:rsid w:val="005420F7"/>
    <w:rsid w:val="00545A5F"/>
    <w:rsid w:val="00546574"/>
    <w:rsid w:val="0055779E"/>
    <w:rsid w:val="00570E7D"/>
    <w:rsid w:val="00580E4C"/>
    <w:rsid w:val="00583E47"/>
    <w:rsid w:val="00583F72"/>
    <w:rsid w:val="005B0B78"/>
    <w:rsid w:val="005C0BC2"/>
    <w:rsid w:val="005C0FDE"/>
    <w:rsid w:val="005D5A66"/>
    <w:rsid w:val="005E35C2"/>
    <w:rsid w:val="005E40CD"/>
    <w:rsid w:val="005E700B"/>
    <w:rsid w:val="005F1478"/>
    <w:rsid w:val="005F2B39"/>
    <w:rsid w:val="005F5ABC"/>
    <w:rsid w:val="00610BA6"/>
    <w:rsid w:val="00613ED7"/>
    <w:rsid w:val="00617887"/>
    <w:rsid w:val="00637F92"/>
    <w:rsid w:val="00646DFE"/>
    <w:rsid w:val="00651F1B"/>
    <w:rsid w:val="0069169E"/>
    <w:rsid w:val="006931D0"/>
    <w:rsid w:val="006A08EA"/>
    <w:rsid w:val="006A4643"/>
    <w:rsid w:val="006A49B2"/>
    <w:rsid w:val="006B1B86"/>
    <w:rsid w:val="006B3EB6"/>
    <w:rsid w:val="006C2140"/>
    <w:rsid w:val="006D7BE1"/>
    <w:rsid w:val="006E1A30"/>
    <w:rsid w:val="006E55E5"/>
    <w:rsid w:val="006E6586"/>
    <w:rsid w:val="00704C25"/>
    <w:rsid w:val="00707D1D"/>
    <w:rsid w:val="00721873"/>
    <w:rsid w:val="00721BEE"/>
    <w:rsid w:val="0072289C"/>
    <w:rsid w:val="00741516"/>
    <w:rsid w:val="00746863"/>
    <w:rsid w:val="00757291"/>
    <w:rsid w:val="00766CD9"/>
    <w:rsid w:val="00766D2A"/>
    <w:rsid w:val="00773340"/>
    <w:rsid w:val="00775D25"/>
    <w:rsid w:val="00777A27"/>
    <w:rsid w:val="0078389A"/>
    <w:rsid w:val="00790D9A"/>
    <w:rsid w:val="007A3F03"/>
    <w:rsid w:val="007A62E4"/>
    <w:rsid w:val="007B7B14"/>
    <w:rsid w:val="007C0C28"/>
    <w:rsid w:val="007C210B"/>
    <w:rsid w:val="007C24C6"/>
    <w:rsid w:val="007D3FE9"/>
    <w:rsid w:val="007D746A"/>
    <w:rsid w:val="007F61CB"/>
    <w:rsid w:val="0080372A"/>
    <w:rsid w:val="008040BF"/>
    <w:rsid w:val="00806C91"/>
    <w:rsid w:val="00810EB9"/>
    <w:rsid w:val="008224A2"/>
    <w:rsid w:val="00823018"/>
    <w:rsid w:val="00824D05"/>
    <w:rsid w:val="00831380"/>
    <w:rsid w:val="008353FD"/>
    <w:rsid w:val="0083637C"/>
    <w:rsid w:val="00837D80"/>
    <w:rsid w:val="008412A0"/>
    <w:rsid w:val="0084203D"/>
    <w:rsid w:val="00842921"/>
    <w:rsid w:val="00845B60"/>
    <w:rsid w:val="00846DB2"/>
    <w:rsid w:val="00851893"/>
    <w:rsid w:val="0085586B"/>
    <w:rsid w:val="008678B7"/>
    <w:rsid w:val="008843B3"/>
    <w:rsid w:val="008863D6"/>
    <w:rsid w:val="0089747E"/>
    <w:rsid w:val="008A745E"/>
    <w:rsid w:val="008B0E11"/>
    <w:rsid w:val="008C322B"/>
    <w:rsid w:val="008C5388"/>
    <w:rsid w:val="008C6E9C"/>
    <w:rsid w:val="008C7E23"/>
    <w:rsid w:val="008D05EE"/>
    <w:rsid w:val="008E6C9E"/>
    <w:rsid w:val="008F2B71"/>
    <w:rsid w:val="009055C3"/>
    <w:rsid w:val="00907FE8"/>
    <w:rsid w:val="009334C7"/>
    <w:rsid w:val="00944BEE"/>
    <w:rsid w:val="009502F4"/>
    <w:rsid w:val="00951152"/>
    <w:rsid w:val="00955DE2"/>
    <w:rsid w:val="00957646"/>
    <w:rsid w:val="009679E2"/>
    <w:rsid w:val="00974CBF"/>
    <w:rsid w:val="00982B16"/>
    <w:rsid w:val="00983C39"/>
    <w:rsid w:val="00995EC9"/>
    <w:rsid w:val="00997D40"/>
    <w:rsid w:val="009A3A55"/>
    <w:rsid w:val="009A585B"/>
    <w:rsid w:val="009B408B"/>
    <w:rsid w:val="009B7EC2"/>
    <w:rsid w:val="009C3C1D"/>
    <w:rsid w:val="009C4EC0"/>
    <w:rsid w:val="009C7FA2"/>
    <w:rsid w:val="009D3185"/>
    <w:rsid w:val="009E09F1"/>
    <w:rsid w:val="009E1212"/>
    <w:rsid w:val="009E1862"/>
    <w:rsid w:val="009F02BC"/>
    <w:rsid w:val="009F725F"/>
    <w:rsid w:val="00A00C6B"/>
    <w:rsid w:val="00A00F4E"/>
    <w:rsid w:val="00A04C2A"/>
    <w:rsid w:val="00A05D25"/>
    <w:rsid w:val="00A12894"/>
    <w:rsid w:val="00A172C2"/>
    <w:rsid w:val="00A23693"/>
    <w:rsid w:val="00A23E88"/>
    <w:rsid w:val="00A443F3"/>
    <w:rsid w:val="00A63573"/>
    <w:rsid w:val="00A65AD9"/>
    <w:rsid w:val="00A66BFA"/>
    <w:rsid w:val="00A84B50"/>
    <w:rsid w:val="00A874B1"/>
    <w:rsid w:val="00A95E1D"/>
    <w:rsid w:val="00AA34B5"/>
    <w:rsid w:val="00AB6F29"/>
    <w:rsid w:val="00AC08A5"/>
    <w:rsid w:val="00AC37D7"/>
    <w:rsid w:val="00AD556F"/>
    <w:rsid w:val="00AE62F9"/>
    <w:rsid w:val="00AF03BA"/>
    <w:rsid w:val="00AF4421"/>
    <w:rsid w:val="00B028CC"/>
    <w:rsid w:val="00B02DF3"/>
    <w:rsid w:val="00B05B84"/>
    <w:rsid w:val="00B17E80"/>
    <w:rsid w:val="00B3334E"/>
    <w:rsid w:val="00B33EB9"/>
    <w:rsid w:val="00B42CBA"/>
    <w:rsid w:val="00B452F1"/>
    <w:rsid w:val="00B46113"/>
    <w:rsid w:val="00B46B25"/>
    <w:rsid w:val="00B50E4D"/>
    <w:rsid w:val="00B574E2"/>
    <w:rsid w:val="00B6571D"/>
    <w:rsid w:val="00B66368"/>
    <w:rsid w:val="00B66C82"/>
    <w:rsid w:val="00B85399"/>
    <w:rsid w:val="00B8779C"/>
    <w:rsid w:val="00B90F50"/>
    <w:rsid w:val="00B92415"/>
    <w:rsid w:val="00B9291D"/>
    <w:rsid w:val="00B94395"/>
    <w:rsid w:val="00BA6773"/>
    <w:rsid w:val="00BB0C96"/>
    <w:rsid w:val="00BB7991"/>
    <w:rsid w:val="00BB7B27"/>
    <w:rsid w:val="00BC6362"/>
    <w:rsid w:val="00BE5E96"/>
    <w:rsid w:val="00BF1ED2"/>
    <w:rsid w:val="00BF6C68"/>
    <w:rsid w:val="00C05DD2"/>
    <w:rsid w:val="00C16FD0"/>
    <w:rsid w:val="00C17C1F"/>
    <w:rsid w:val="00C2668A"/>
    <w:rsid w:val="00C27329"/>
    <w:rsid w:val="00C30123"/>
    <w:rsid w:val="00C31F1A"/>
    <w:rsid w:val="00C411A4"/>
    <w:rsid w:val="00C660FC"/>
    <w:rsid w:val="00C6690A"/>
    <w:rsid w:val="00C73E00"/>
    <w:rsid w:val="00C748B3"/>
    <w:rsid w:val="00C76FD0"/>
    <w:rsid w:val="00C81FE9"/>
    <w:rsid w:val="00C868E5"/>
    <w:rsid w:val="00C8763C"/>
    <w:rsid w:val="00C92F66"/>
    <w:rsid w:val="00C964F4"/>
    <w:rsid w:val="00C97045"/>
    <w:rsid w:val="00C97F05"/>
    <w:rsid w:val="00CA3D03"/>
    <w:rsid w:val="00CB19A5"/>
    <w:rsid w:val="00CB346B"/>
    <w:rsid w:val="00CD5974"/>
    <w:rsid w:val="00CE369E"/>
    <w:rsid w:val="00CE4F58"/>
    <w:rsid w:val="00D11A0B"/>
    <w:rsid w:val="00D225C9"/>
    <w:rsid w:val="00D249CF"/>
    <w:rsid w:val="00D37DF2"/>
    <w:rsid w:val="00D411EC"/>
    <w:rsid w:val="00D43FE6"/>
    <w:rsid w:val="00D4478A"/>
    <w:rsid w:val="00D44E4B"/>
    <w:rsid w:val="00D51251"/>
    <w:rsid w:val="00D56991"/>
    <w:rsid w:val="00D60A7E"/>
    <w:rsid w:val="00D626B4"/>
    <w:rsid w:val="00D83627"/>
    <w:rsid w:val="00D83A10"/>
    <w:rsid w:val="00D87F8B"/>
    <w:rsid w:val="00D93BC2"/>
    <w:rsid w:val="00D93D4E"/>
    <w:rsid w:val="00DA6330"/>
    <w:rsid w:val="00DA68FA"/>
    <w:rsid w:val="00DB3C83"/>
    <w:rsid w:val="00DB546D"/>
    <w:rsid w:val="00DC0A41"/>
    <w:rsid w:val="00DC3F53"/>
    <w:rsid w:val="00DD2E8F"/>
    <w:rsid w:val="00DD352F"/>
    <w:rsid w:val="00DD78C0"/>
    <w:rsid w:val="00DF14FF"/>
    <w:rsid w:val="00DF20BA"/>
    <w:rsid w:val="00E01567"/>
    <w:rsid w:val="00E01C4C"/>
    <w:rsid w:val="00E05D0C"/>
    <w:rsid w:val="00E069AD"/>
    <w:rsid w:val="00E122C2"/>
    <w:rsid w:val="00E27AD5"/>
    <w:rsid w:val="00E32B37"/>
    <w:rsid w:val="00E3449A"/>
    <w:rsid w:val="00E354FC"/>
    <w:rsid w:val="00E4431F"/>
    <w:rsid w:val="00E46779"/>
    <w:rsid w:val="00E50B68"/>
    <w:rsid w:val="00E53A7D"/>
    <w:rsid w:val="00E56918"/>
    <w:rsid w:val="00E65096"/>
    <w:rsid w:val="00E70128"/>
    <w:rsid w:val="00E7335B"/>
    <w:rsid w:val="00E73CEE"/>
    <w:rsid w:val="00E773E0"/>
    <w:rsid w:val="00E81EAF"/>
    <w:rsid w:val="00E8650D"/>
    <w:rsid w:val="00E87D27"/>
    <w:rsid w:val="00E90F76"/>
    <w:rsid w:val="00E91C5F"/>
    <w:rsid w:val="00E93523"/>
    <w:rsid w:val="00EA5983"/>
    <w:rsid w:val="00EA672B"/>
    <w:rsid w:val="00EA682B"/>
    <w:rsid w:val="00EA7087"/>
    <w:rsid w:val="00EB47B8"/>
    <w:rsid w:val="00EB582A"/>
    <w:rsid w:val="00EC2423"/>
    <w:rsid w:val="00EC2EAD"/>
    <w:rsid w:val="00EC5ADA"/>
    <w:rsid w:val="00ED294F"/>
    <w:rsid w:val="00EE34FF"/>
    <w:rsid w:val="00EF4CD1"/>
    <w:rsid w:val="00F00000"/>
    <w:rsid w:val="00F003BD"/>
    <w:rsid w:val="00F06099"/>
    <w:rsid w:val="00F168CB"/>
    <w:rsid w:val="00F3032A"/>
    <w:rsid w:val="00F31577"/>
    <w:rsid w:val="00F402C6"/>
    <w:rsid w:val="00F40404"/>
    <w:rsid w:val="00F41133"/>
    <w:rsid w:val="00F423F8"/>
    <w:rsid w:val="00F43A77"/>
    <w:rsid w:val="00F44015"/>
    <w:rsid w:val="00F446A0"/>
    <w:rsid w:val="00F452B3"/>
    <w:rsid w:val="00F539E5"/>
    <w:rsid w:val="00F64FA1"/>
    <w:rsid w:val="00F74A8A"/>
    <w:rsid w:val="00F76B17"/>
    <w:rsid w:val="00F858A9"/>
    <w:rsid w:val="00F91B21"/>
    <w:rsid w:val="00F96F01"/>
    <w:rsid w:val="00FB5101"/>
    <w:rsid w:val="00FB743D"/>
    <w:rsid w:val="00FB784C"/>
    <w:rsid w:val="00FC0C9F"/>
    <w:rsid w:val="00FC2E84"/>
    <w:rsid w:val="00FD3A08"/>
    <w:rsid w:val="00FE4693"/>
    <w:rsid w:val="00FE72DE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6D12795"/>
  <w15:chartTrackingRefBased/>
  <w15:docId w15:val="{8A1EB851-CF7D-4201-8E99-D574A342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4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53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5399"/>
  </w:style>
  <w:style w:type="paragraph" w:styleId="Stopka">
    <w:name w:val="footer"/>
    <w:basedOn w:val="Normalny"/>
    <w:link w:val="StopkaZnak"/>
    <w:uiPriority w:val="99"/>
    <w:unhideWhenUsed/>
    <w:rsid w:val="00B853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5399"/>
  </w:style>
  <w:style w:type="paragraph" w:styleId="Tekstpodstawowywcity">
    <w:name w:val="Body Text Indent"/>
    <w:basedOn w:val="Normalny"/>
    <w:link w:val="TekstpodstawowywcityZnak"/>
    <w:rsid w:val="000C4589"/>
    <w:pPr>
      <w:ind w:left="2410" w:hanging="2410"/>
    </w:pPr>
    <w:rPr>
      <w:rFonts w:ascii="Arial" w:hAnsi="Arial"/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4589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4589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BF1ED2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F1E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7F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7F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7F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01C4C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79E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79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9E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55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55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02DF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4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43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6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3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1541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martacholubek</dc:creator>
  <cp:keywords/>
  <dc:description/>
  <cp:lastModifiedBy>DorotaGrzywacz@ad.umlub.pl</cp:lastModifiedBy>
  <cp:revision>8</cp:revision>
  <cp:lastPrinted>2025-07-04T08:34:00Z</cp:lastPrinted>
  <dcterms:created xsi:type="dcterms:W3CDTF">2026-04-28T12:30:00Z</dcterms:created>
  <dcterms:modified xsi:type="dcterms:W3CDTF">2026-04-29T11:02:00Z</dcterms:modified>
</cp:coreProperties>
</file>