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35B" w14:textId="77777777" w:rsidR="00191307" w:rsidRPr="00E05D84" w:rsidRDefault="00191307" w:rsidP="00191307">
      <w:pPr>
        <w:pStyle w:val="Akapitzlist"/>
        <w:numPr>
          <w:ilvl w:val="0"/>
          <w:numId w:val="2"/>
        </w:numPr>
        <w:spacing w:before="120" w:after="120" w:line="360" w:lineRule="auto"/>
        <w:jc w:val="both"/>
        <w:textAlignment w:val="baseline"/>
        <w:rPr>
          <w:lang w:eastAsia="pl-PL"/>
        </w:rPr>
      </w:pPr>
      <w:r w:rsidRPr="00F05CC8">
        <w:rPr>
          <w:rFonts w:ascii="Arial" w:eastAsia="Times New Roman" w:hAnsi="Arial" w:cs="Arial"/>
          <w:b/>
          <w:bCs/>
          <w:lang w:eastAsia="pl-PL"/>
        </w:rPr>
        <w:t>Przedmiot zamówienia</w:t>
      </w:r>
      <w:r w:rsidRPr="00F05CC8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>
        <w:rPr>
          <w:rFonts w:ascii="Arial" w:eastAsia="Times New Roman" w:hAnsi="Arial" w:cs="Arial"/>
          <w:color w:val="000000" w:themeColor="text1"/>
          <w:lang w:eastAsia="pl-PL"/>
        </w:rPr>
        <w:t>obejmuje w ramach przyłączenia dwóch</w:t>
      </w:r>
      <w:r w:rsidRPr="00314071">
        <w:rPr>
          <w:rFonts w:ascii="Arial" w:eastAsia="Times New Roman" w:hAnsi="Arial" w:cs="Arial"/>
          <w:color w:val="000000" w:themeColor="text1"/>
          <w:lang w:eastAsia="pl-PL"/>
        </w:rPr>
        <w:t xml:space="preserve"> budynków mieszkalnych budynki </w:t>
      </w:r>
      <w:r>
        <w:rPr>
          <w:rFonts w:ascii="Arial" w:eastAsia="Times New Roman" w:hAnsi="Arial" w:cs="Arial"/>
          <w:color w:val="000000" w:themeColor="text1"/>
          <w:lang w:eastAsia="pl-PL"/>
        </w:rPr>
        <w:t>A i B przy ul. Pawła Jasienicy wykonanie:</w:t>
      </w:r>
    </w:p>
    <w:p w14:paraId="1D0BD884" w14:textId="77777777" w:rsidR="00191307" w:rsidRPr="00DE7675" w:rsidRDefault="00191307" w:rsidP="00191307">
      <w:pPr>
        <w:pStyle w:val="Akapitzlist"/>
        <w:numPr>
          <w:ilvl w:val="3"/>
          <w:numId w:val="1"/>
        </w:numPr>
        <w:spacing w:before="240" w:after="0" w:line="360" w:lineRule="auto"/>
        <w:jc w:val="both"/>
        <w:textAlignment w:val="baseline"/>
        <w:rPr>
          <w:rFonts w:ascii="Arial" w:hAnsi="Arial" w:cs="Arial"/>
          <w:lang w:eastAsia="pl-PL"/>
        </w:rPr>
      </w:pPr>
      <w:r w:rsidRPr="00FF01B1">
        <w:rPr>
          <w:rFonts w:ascii="Arial" w:eastAsia="Arial" w:hAnsi="Arial" w:cs="Arial"/>
          <w:color w:val="000000" w:themeColor="text1"/>
        </w:rPr>
        <w:t xml:space="preserve">przyłączy ciepłowniczych do budynków usługowych wielofunkcyjnych </w:t>
      </w:r>
      <w:r>
        <w:rPr>
          <w:rFonts w:ascii="Arial" w:eastAsia="Arial" w:hAnsi="Arial" w:cs="Arial"/>
          <w:color w:val="000000" w:themeColor="text1"/>
        </w:rPr>
        <w:t xml:space="preserve">A i B </w:t>
      </w:r>
      <w:r w:rsidRPr="00FF01B1">
        <w:rPr>
          <w:rFonts w:ascii="Arial" w:eastAsia="Arial" w:hAnsi="Arial" w:cs="Arial"/>
          <w:color w:val="000000" w:themeColor="text1"/>
        </w:rPr>
        <w:t xml:space="preserve">na </w:t>
      </w:r>
      <w:r w:rsidRPr="001E3BB3">
        <w:rPr>
          <w:rFonts w:ascii="Arial" w:eastAsia="Arial" w:hAnsi="Arial" w:cs="Arial"/>
          <w:color w:val="000000" w:themeColor="text1"/>
        </w:rPr>
        <w:t>działkach nr 32, 33 obręb 2138 przy ul. Pawła Jasienicy w Szczecinie</w:t>
      </w:r>
      <w:r>
        <w:rPr>
          <w:rFonts w:ascii="Arial" w:eastAsia="Arial" w:hAnsi="Arial" w:cs="Arial"/>
          <w:color w:val="000000" w:themeColor="text1"/>
        </w:rPr>
        <w:t>.</w:t>
      </w:r>
    </w:p>
    <w:p w14:paraId="6A7E0B1B" w14:textId="77777777" w:rsidR="00191307" w:rsidRPr="00086E48" w:rsidRDefault="00191307" w:rsidP="00191307">
      <w:pPr>
        <w:pStyle w:val="Akapitzlist"/>
        <w:spacing w:line="360" w:lineRule="auto"/>
        <w:rPr>
          <w:rFonts w:ascii="Arial" w:eastAsia="Arial" w:hAnsi="Arial" w:cs="Arial"/>
          <w:color w:val="000000" w:themeColor="text1"/>
        </w:rPr>
      </w:pPr>
      <w:r w:rsidRPr="00086E48">
        <w:rPr>
          <w:rFonts w:ascii="Arial" w:eastAsia="Arial" w:hAnsi="Arial" w:cs="Arial"/>
          <w:color w:val="000000" w:themeColor="text1"/>
        </w:rPr>
        <w:t>Łączna długość o przyłączy ciepłowniczych z rur preizolowanych wynosi L=999,30m, w tym:</w:t>
      </w:r>
    </w:p>
    <w:p w14:paraId="007CEBC5" w14:textId="77777777" w:rsidR="00191307" w:rsidRPr="00086E48" w:rsidRDefault="00191307" w:rsidP="00191307">
      <w:pPr>
        <w:pStyle w:val="Akapitzlist"/>
        <w:spacing w:line="360" w:lineRule="auto"/>
        <w:rPr>
          <w:rFonts w:ascii="Arial" w:hAnsi="Arial" w:cs="Arial"/>
        </w:rPr>
      </w:pPr>
      <w:r w:rsidRPr="00086E48">
        <w:rPr>
          <w:rFonts w:ascii="Arial" w:eastAsia="Arial" w:hAnsi="Arial" w:cs="Arial"/>
          <w:color w:val="000000" w:themeColor="text1"/>
        </w:rPr>
        <w:t>- rury pojedyncze: L = 394,90m</w:t>
      </w:r>
      <w:r>
        <w:rPr>
          <w:rFonts w:ascii="Arial" w:eastAsia="Arial" w:hAnsi="Arial" w:cs="Arial"/>
          <w:color w:val="000000" w:themeColor="text1"/>
        </w:rPr>
        <w:t>:</w:t>
      </w:r>
    </w:p>
    <w:p w14:paraId="536D99B1" w14:textId="77777777" w:rsidR="00191307" w:rsidRPr="00086E48" w:rsidRDefault="00191307" w:rsidP="00191307">
      <w:pPr>
        <w:pStyle w:val="Akapitzlist"/>
        <w:spacing w:line="360" w:lineRule="auto"/>
        <w:rPr>
          <w:rFonts w:ascii="Arial" w:hAnsi="Arial" w:cs="Arial"/>
        </w:rPr>
      </w:pPr>
      <w:r w:rsidRPr="00086E48">
        <w:rPr>
          <w:rFonts w:ascii="Arial" w:eastAsia="Arial" w:hAnsi="Arial" w:cs="Arial"/>
          <w:color w:val="000000" w:themeColor="text1"/>
        </w:rPr>
        <w:t>· 2x88,9/180mm – L = 8,80m</w:t>
      </w:r>
      <w:r>
        <w:rPr>
          <w:rFonts w:ascii="Arial" w:eastAsia="Arial" w:hAnsi="Arial" w:cs="Arial"/>
          <w:color w:val="000000" w:themeColor="text1"/>
        </w:rPr>
        <w:t>,</w:t>
      </w:r>
    </w:p>
    <w:p w14:paraId="2EADECD3" w14:textId="77777777" w:rsidR="00191307" w:rsidRPr="00086E48" w:rsidRDefault="00191307" w:rsidP="00191307">
      <w:pPr>
        <w:pStyle w:val="Akapitzlist"/>
        <w:spacing w:line="360" w:lineRule="auto"/>
        <w:rPr>
          <w:rFonts w:ascii="Arial" w:hAnsi="Arial" w:cs="Arial"/>
        </w:rPr>
      </w:pPr>
      <w:r w:rsidRPr="00086E48">
        <w:rPr>
          <w:rFonts w:ascii="Arial" w:eastAsia="Arial" w:hAnsi="Arial" w:cs="Arial"/>
          <w:color w:val="000000" w:themeColor="text1"/>
        </w:rPr>
        <w:t>· 2x219,1/355mm – L = 351,80m</w:t>
      </w:r>
      <w:r>
        <w:rPr>
          <w:rFonts w:ascii="Arial" w:eastAsia="Arial" w:hAnsi="Arial" w:cs="Arial"/>
          <w:color w:val="000000" w:themeColor="text1"/>
        </w:rPr>
        <w:t>,</w:t>
      </w:r>
    </w:p>
    <w:p w14:paraId="61633191" w14:textId="77777777" w:rsidR="00191307" w:rsidRPr="00086E48" w:rsidRDefault="00191307" w:rsidP="00191307">
      <w:pPr>
        <w:pStyle w:val="Akapitzlist"/>
        <w:spacing w:line="360" w:lineRule="auto"/>
        <w:rPr>
          <w:rFonts w:ascii="Arial" w:hAnsi="Arial" w:cs="Arial"/>
        </w:rPr>
      </w:pPr>
      <w:r w:rsidRPr="00086E48">
        <w:rPr>
          <w:rFonts w:ascii="Arial" w:eastAsia="Arial" w:hAnsi="Arial" w:cs="Arial"/>
          <w:color w:val="000000" w:themeColor="text1"/>
        </w:rPr>
        <w:t>· 2x219,1/315mm – L = 34,30m</w:t>
      </w:r>
      <w:r>
        <w:rPr>
          <w:rFonts w:ascii="Arial" w:eastAsia="Arial" w:hAnsi="Arial" w:cs="Arial"/>
          <w:color w:val="000000" w:themeColor="text1"/>
        </w:rPr>
        <w:t>,</w:t>
      </w:r>
    </w:p>
    <w:p w14:paraId="35717C7D" w14:textId="77777777" w:rsidR="00191307" w:rsidRPr="00086E48" w:rsidRDefault="00191307" w:rsidP="00191307">
      <w:pPr>
        <w:pStyle w:val="Akapitzlist"/>
        <w:spacing w:line="360" w:lineRule="auto"/>
        <w:rPr>
          <w:rFonts w:ascii="Arial" w:hAnsi="Arial" w:cs="Arial"/>
        </w:rPr>
      </w:pPr>
      <w:r w:rsidRPr="00086E48">
        <w:rPr>
          <w:rFonts w:ascii="Arial" w:eastAsia="Arial" w:hAnsi="Arial" w:cs="Arial"/>
          <w:color w:val="000000" w:themeColor="text1"/>
        </w:rPr>
        <w:t xml:space="preserve">- rury podwójne </w:t>
      </w:r>
      <w:proofErr w:type="spellStart"/>
      <w:r w:rsidRPr="00086E48">
        <w:rPr>
          <w:rFonts w:ascii="Arial" w:eastAsia="Arial" w:hAnsi="Arial" w:cs="Arial"/>
          <w:color w:val="000000" w:themeColor="text1"/>
        </w:rPr>
        <w:t>TwinPipe</w:t>
      </w:r>
      <w:proofErr w:type="spellEnd"/>
      <w:r w:rsidRPr="00086E48">
        <w:rPr>
          <w:rFonts w:ascii="Arial" w:eastAsia="Arial" w:hAnsi="Arial" w:cs="Arial"/>
          <w:color w:val="000000" w:themeColor="text1"/>
        </w:rPr>
        <w:t>: L = 604,40m</w:t>
      </w:r>
      <w:r>
        <w:rPr>
          <w:rFonts w:ascii="Arial" w:eastAsia="Arial" w:hAnsi="Arial" w:cs="Arial"/>
          <w:color w:val="000000" w:themeColor="text1"/>
        </w:rPr>
        <w:t>:</w:t>
      </w:r>
    </w:p>
    <w:p w14:paraId="5DC1A811" w14:textId="77777777" w:rsidR="00191307" w:rsidRPr="00086E48" w:rsidRDefault="00191307" w:rsidP="00191307">
      <w:pPr>
        <w:pStyle w:val="Akapitzlist"/>
        <w:spacing w:line="360" w:lineRule="auto"/>
        <w:rPr>
          <w:rFonts w:ascii="Arial" w:hAnsi="Arial" w:cs="Arial"/>
        </w:rPr>
      </w:pPr>
      <w:r w:rsidRPr="00086E48">
        <w:rPr>
          <w:rFonts w:ascii="Arial" w:eastAsia="Arial" w:hAnsi="Arial" w:cs="Arial"/>
          <w:color w:val="000000" w:themeColor="text1"/>
        </w:rPr>
        <w:t>· 60,3+60,3/200mm – L = 73,10m</w:t>
      </w:r>
      <w:r>
        <w:rPr>
          <w:rFonts w:ascii="Arial" w:eastAsia="Arial" w:hAnsi="Arial" w:cs="Arial"/>
          <w:color w:val="000000" w:themeColor="text1"/>
        </w:rPr>
        <w:t>,</w:t>
      </w:r>
    </w:p>
    <w:p w14:paraId="69597A27" w14:textId="77777777" w:rsidR="00191307" w:rsidRPr="00086E48" w:rsidRDefault="00191307" w:rsidP="00191307">
      <w:pPr>
        <w:pStyle w:val="Akapitzlist"/>
        <w:spacing w:line="360" w:lineRule="auto"/>
        <w:rPr>
          <w:rFonts w:ascii="Arial" w:hAnsi="Arial" w:cs="Arial"/>
        </w:rPr>
      </w:pPr>
      <w:r w:rsidRPr="00086E48">
        <w:rPr>
          <w:rFonts w:ascii="Arial" w:eastAsia="Arial" w:hAnsi="Arial" w:cs="Arial"/>
          <w:color w:val="000000" w:themeColor="text1"/>
        </w:rPr>
        <w:t>· 76,1+76,1/225mm – L = 35,30m</w:t>
      </w:r>
      <w:r>
        <w:rPr>
          <w:rFonts w:ascii="Arial" w:eastAsia="Arial" w:hAnsi="Arial" w:cs="Arial"/>
          <w:color w:val="000000" w:themeColor="text1"/>
        </w:rPr>
        <w:t>,</w:t>
      </w:r>
    </w:p>
    <w:p w14:paraId="28B00C2D" w14:textId="77777777" w:rsidR="00191307" w:rsidRPr="00086E48" w:rsidRDefault="00191307" w:rsidP="00191307">
      <w:pPr>
        <w:pStyle w:val="Akapitzlist"/>
        <w:spacing w:line="360" w:lineRule="auto"/>
        <w:rPr>
          <w:rFonts w:ascii="Arial" w:hAnsi="Arial" w:cs="Arial"/>
        </w:rPr>
      </w:pPr>
      <w:r w:rsidRPr="00086E48">
        <w:rPr>
          <w:rFonts w:ascii="Arial" w:eastAsia="Arial" w:hAnsi="Arial" w:cs="Arial"/>
          <w:color w:val="000000" w:themeColor="text1"/>
        </w:rPr>
        <w:t>· 88,9+88,9/250mm – L = 4,0m</w:t>
      </w:r>
      <w:r>
        <w:rPr>
          <w:rFonts w:ascii="Arial" w:eastAsia="Arial" w:hAnsi="Arial" w:cs="Arial"/>
          <w:color w:val="000000" w:themeColor="text1"/>
        </w:rPr>
        <w:t>,</w:t>
      </w:r>
    </w:p>
    <w:p w14:paraId="04CFE44E" w14:textId="77777777" w:rsidR="00191307" w:rsidRPr="00086E48" w:rsidRDefault="00191307" w:rsidP="00191307">
      <w:pPr>
        <w:pStyle w:val="Akapitzlist"/>
        <w:spacing w:line="360" w:lineRule="auto"/>
        <w:rPr>
          <w:rFonts w:ascii="Arial" w:hAnsi="Arial" w:cs="Arial"/>
        </w:rPr>
      </w:pPr>
      <w:r w:rsidRPr="00086E48">
        <w:rPr>
          <w:rFonts w:ascii="Arial" w:eastAsia="Arial" w:hAnsi="Arial" w:cs="Arial"/>
          <w:color w:val="000000" w:themeColor="text1"/>
        </w:rPr>
        <w:t>· 114,3+114,3/315mm – L = 196,0m</w:t>
      </w:r>
      <w:r>
        <w:rPr>
          <w:rFonts w:ascii="Arial" w:eastAsia="Arial" w:hAnsi="Arial" w:cs="Arial"/>
          <w:color w:val="000000" w:themeColor="text1"/>
        </w:rPr>
        <w:t>,</w:t>
      </w:r>
    </w:p>
    <w:p w14:paraId="36764287" w14:textId="77777777" w:rsidR="00191307" w:rsidRDefault="00191307" w:rsidP="00191307">
      <w:pPr>
        <w:pStyle w:val="Akapitzlist"/>
        <w:spacing w:line="360" w:lineRule="auto"/>
        <w:rPr>
          <w:rFonts w:ascii="Arial" w:hAnsi="Arial" w:cs="Arial"/>
        </w:rPr>
      </w:pPr>
      <w:r w:rsidRPr="00086E48">
        <w:rPr>
          <w:rFonts w:ascii="Arial" w:eastAsia="Arial" w:hAnsi="Arial" w:cs="Arial"/>
          <w:color w:val="000000" w:themeColor="text1"/>
        </w:rPr>
        <w:t>· 168,3+168,3/450mm – L = 296,0m</w:t>
      </w:r>
      <w:r>
        <w:rPr>
          <w:rFonts w:ascii="Arial" w:eastAsia="Arial" w:hAnsi="Arial" w:cs="Arial"/>
          <w:color w:val="000000" w:themeColor="text1"/>
        </w:rPr>
        <w:t>.</w:t>
      </w:r>
    </w:p>
    <w:p w14:paraId="71E305BD" w14:textId="77777777" w:rsidR="00191307" w:rsidRPr="00D71B8C" w:rsidRDefault="00191307" w:rsidP="00191307">
      <w:pPr>
        <w:spacing w:before="240" w:after="0" w:line="360" w:lineRule="auto"/>
        <w:ind w:left="708"/>
        <w:jc w:val="both"/>
        <w:textAlignment w:val="baseline"/>
        <w:rPr>
          <w:rFonts w:ascii="Arial" w:hAnsi="Arial" w:cs="Arial"/>
        </w:rPr>
      </w:pPr>
      <w:r w:rsidRPr="00C8757B">
        <w:rPr>
          <w:rFonts w:ascii="Arial" w:hAnsi="Arial" w:cs="Arial"/>
        </w:rPr>
        <w:t xml:space="preserve">Przyłącza w pomieszczeniach węzłów w bud. A i B należy zakończyć zaworami </w:t>
      </w:r>
      <w:r w:rsidRPr="00C8757B">
        <w:rPr>
          <w:rFonts w:ascii="Arial" w:hAnsi="Arial" w:cs="Arial"/>
        </w:rPr>
        <w:br/>
        <w:t xml:space="preserve">i dennicami. Z uwagi na wykonanie przez Zmawiającego odcinka od punktu C1 wraz z zaworami w punkcie Z1, Wykonawca jest zobowiązany </w:t>
      </w:r>
      <w:proofErr w:type="spellStart"/>
      <w:r w:rsidRPr="00C8757B">
        <w:rPr>
          <w:rFonts w:ascii="Arial" w:hAnsi="Arial" w:cs="Arial"/>
        </w:rPr>
        <w:t>właczyć</w:t>
      </w:r>
      <w:proofErr w:type="spellEnd"/>
      <w:r w:rsidRPr="00C8757B">
        <w:rPr>
          <w:rFonts w:ascii="Arial" w:hAnsi="Arial" w:cs="Arial"/>
        </w:rPr>
        <w:t xml:space="preserve"> się w istniejącą sieć za ww. zaworami demontując mufy końcowe i dennice. </w:t>
      </w:r>
    </w:p>
    <w:p w14:paraId="2D60158D" w14:textId="77777777" w:rsidR="00191307" w:rsidRDefault="00191307" w:rsidP="00191307">
      <w:pPr>
        <w:pStyle w:val="Akapitzlist"/>
        <w:numPr>
          <w:ilvl w:val="3"/>
          <w:numId w:val="1"/>
        </w:numPr>
        <w:spacing w:before="240" w:after="0" w:line="360" w:lineRule="auto"/>
        <w:jc w:val="both"/>
        <w:textAlignment w:val="baseline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Kana</w:t>
      </w:r>
      <w:r w:rsidRPr="00387D98">
        <w:rPr>
          <w:rFonts w:ascii="Arial" w:hAnsi="Arial" w:cs="Arial"/>
          <w:lang w:eastAsia="pl-PL"/>
        </w:rPr>
        <w:t>lizacji Teletechniczn</w:t>
      </w:r>
      <w:r>
        <w:rPr>
          <w:rFonts w:ascii="Arial" w:hAnsi="Arial" w:cs="Arial"/>
          <w:lang w:eastAsia="pl-PL"/>
        </w:rPr>
        <w:t>ej</w:t>
      </w:r>
      <w:r w:rsidRPr="00387D98">
        <w:rPr>
          <w:rFonts w:ascii="Arial" w:hAnsi="Arial" w:cs="Arial"/>
        </w:rPr>
        <w:t xml:space="preserve"> z rur 2xRHDPE40/3,7</w:t>
      </w:r>
      <w:r>
        <w:rPr>
          <w:rFonts w:ascii="Arial" w:hAnsi="Arial" w:cs="Arial"/>
        </w:rPr>
        <w:t xml:space="preserve"> bez światłowodu o </w:t>
      </w:r>
      <w:r w:rsidRPr="00387D98">
        <w:rPr>
          <w:rFonts w:ascii="Arial" w:hAnsi="Arial" w:cs="Arial"/>
        </w:rPr>
        <w:t xml:space="preserve">długości 1056m oraz </w:t>
      </w:r>
      <w:r>
        <w:rPr>
          <w:rFonts w:ascii="Arial" w:hAnsi="Arial" w:cs="Arial"/>
        </w:rPr>
        <w:t xml:space="preserve">wykonanie </w:t>
      </w:r>
      <w:r w:rsidRPr="00387D98">
        <w:rPr>
          <w:rFonts w:ascii="Arial" w:hAnsi="Arial" w:cs="Arial"/>
        </w:rPr>
        <w:t>sześciu studni typu SKR-1</w:t>
      </w:r>
      <w:r w:rsidRPr="001B36F1">
        <w:rPr>
          <w:rFonts w:ascii="Arial" w:hAnsi="Arial" w:cs="Arial"/>
        </w:rPr>
        <w:t xml:space="preserve">. Całość materiałów niezbędnych </w:t>
      </w:r>
      <w:r>
        <w:rPr>
          <w:rFonts w:ascii="Arial" w:hAnsi="Arial" w:cs="Arial"/>
        </w:rPr>
        <w:br/>
      </w:r>
      <w:r w:rsidRPr="001B36F1">
        <w:rPr>
          <w:rFonts w:ascii="Arial" w:hAnsi="Arial" w:cs="Arial"/>
        </w:rPr>
        <w:t>do wykonania KT dostarcza wykonawca.</w:t>
      </w:r>
    </w:p>
    <w:p w14:paraId="5A279FA8" w14:textId="77777777" w:rsidR="00191307" w:rsidRPr="007F6E7B" w:rsidRDefault="00191307" w:rsidP="00191307">
      <w:pPr>
        <w:pStyle w:val="Akapitzlist"/>
        <w:spacing w:before="240" w:after="0" w:line="360" w:lineRule="auto"/>
        <w:jc w:val="both"/>
        <w:textAlignment w:val="baseline"/>
        <w:rPr>
          <w:rFonts w:ascii="Arial" w:hAnsi="Arial" w:cs="Arial"/>
          <w:lang w:eastAsia="pl-PL"/>
        </w:rPr>
      </w:pPr>
    </w:p>
    <w:p w14:paraId="3D24DD47" w14:textId="77777777" w:rsidR="00191307" w:rsidRPr="00351C0B" w:rsidRDefault="00191307" w:rsidP="00191307">
      <w:pPr>
        <w:pStyle w:val="Akapitzlist"/>
        <w:numPr>
          <w:ilvl w:val="0"/>
          <w:numId w:val="2"/>
        </w:numPr>
        <w:spacing w:before="120" w:after="12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bookmarkStart w:id="0" w:name="_Hlk129787620"/>
      <w:r w:rsidRPr="00BA3D6A">
        <w:rPr>
          <w:rFonts w:ascii="Arial" w:eastAsia="Times New Roman" w:hAnsi="Arial" w:cs="Arial"/>
          <w:lang w:eastAsia="pl-PL"/>
        </w:rPr>
        <w:t>Przedmiot zamówienia należy należycie wykonać zgodnie z opracowa</w:t>
      </w:r>
      <w:r>
        <w:rPr>
          <w:rFonts w:ascii="Arial" w:eastAsia="Times New Roman" w:hAnsi="Arial" w:cs="Arial"/>
          <w:lang w:eastAsia="pl-PL"/>
        </w:rPr>
        <w:t>ną Dokumentacją Projektową</w:t>
      </w:r>
      <w:r w:rsidRPr="00BA3D6A">
        <w:rPr>
          <w:rFonts w:ascii="Arial" w:eastAsia="Times New Roman" w:hAnsi="Arial" w:cs="Arial"/>
          <w:lang w:eastAsia="pl-PL"/>
        </w:rPr>
        <w:t xml:space="preserve"> i zawartymi w ni</w:t>
      </w:r>
      <w:r>
        <w:rPr>
          <w:rFonts w:ascii="Arial" w:eastAsia="Times New Roman" w:hAnsi="Arial" w:cs="Arial"/>
          <w:lang w:eastAsia="pl-PL"/>
        </w:rPr>
        <w:t>ej</w:t>
      </w:r>
      <w:r w:rsidRPr="00BA3D6A">
        <w:rPr>
          <w:rFonts w:ascii="Arial" w:eastAsia="Times New Roman" w:hAnsi="Arial" w:cs="Arial"/>
          <w:lang w:eastAsia="pl-PL"/>
        </w:rPr>
        <w:t xml:space="preserve"> rozwiązaniami, przepisami prawa i zasadami wiedzy </w:t>
      </w:r>
      <w:r w:rsidRPr="00351C0B">
        <w:rPr>
          <w:rFonts w:ascii="Arial" w:eastAsia="Times New Roman" w:hAnsi="Arial" w:cs="Arial"/>
          <w:lang w:eastAsia="pl-PL"/>
        </w:rPr>
        <w:t>technicznej oraz wymogami określonymi w Specyfikacji Warunków Zamówienia.</w:t>
      </w:r>
      <w:bookmarkEnd w:id="0"/>
    </w:p>
    <w:p w14:paraId="4A49C030" w14:textId="77777777" w:rsidR="00191307" w:rsidRPr="00351C0B" w:rsidRDefault="00191307" w:rsidP="00191307">
      <w:pPr>
        <w:pStyle w:val="Akapitzlist"/>
        <w:numPr>
          <w:ilvl w:val="0"/>
          <w:numId w:val="2"/>
        </w:numPr>
        <w:spacing w:before="120" w:after="12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51C0B">
        <w:rPr>
          <w:rFonts w:ascii="Arial" w:eastAsia="Times New Roman" w:hAnsi="Arial" w:cs="Arial"/>
          <w:lang w:eastAsia="pl-PL"/>
        </w:rPr>
        <w:t xml:space="preserve">Wykonawca jest zobowiązany realizować prace na poszczególnych działkach zgodnie z warunkami określonymi w zgodach udzielonych przez ich właścicieli. </w:t>
      </w:r>
      <w:r>
        <w:rPr>
          <w:rFonts w:ascii="Arial" w:eastAsia="Times New Roman" w:hAnsi="Arial" w:cs="Arial"/>
          <w:lang w:eastAsia="pl-PL"/>
        </w:rPr>
        <w:t xml:space="preserve">W przypadku zgód na dysponowanie nieruchomością na cele budowalne uzyskanych od Technikum Technologii Cyfrowych oraz Szczecińskiego Parku Naukowo-Technologicznego przy wycenie oraz realizacji robót należy wziąć pod uwagę zapisy dotyczące I etapu inwestycji (punkt 1 w treści obu pism). </w:t>
      </w:r>
      <w:r w:rsidRPr="00351C0B">
        <w:rPr>
          <w:rFonts w:ascii="Arial" w:eastAsia="Times New Roman" w:hAnsi="Arial" w:cs="Arial"/>
          <w:lang w:eastAsia="pl-PL"/>
        </w:rPr>
        <w:t>Zgody właścicieli działek stanowią integralną część Dokumentacji Projektowej.</w:t>
      </w:r>
    </w:p>
    <w:p w14:paraId="0A5ED1A6" w14:textId="77777777" w:rsidR="00191307" w:rsidRPr="00BB06D4" w:rsidRDefault="00191307" w:rsidP="0019130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351C0B">
        <w:rPr>
          <w:rFonts w:ascii="Arial" w:eastAsia="Times New Roman" w:hAnsi="Arial" w:cs="Arial"/>
          <w:lang w:eastAsia="pl-PL"/>
        </w:rPr>
        <w:lastRenderedPageBreak/>
        <w:t xml:space="preserve">Rury osłonowe pod ul. </w:t>
      </w:r>
      <w:proofErr w:type="spellStart"/>
      <w:r w:rsidRPr="00351C0B">
        <w:rPr>
          <w:rFonts w:ascii="Arial" w:eastAsia="Times New Roman" w:hAnsi="Arial" w:cs="Arial"/>
          <w:lang w:eastAsia="pl-PL"/>
        </w:rPr>
        <w:t>Niemierzyńską</w:t>
      </w:r>
      <w:proofErr w:type="spellEnd"/>
      <w:r w:rsidRPr="00351C0B">
        <w:rPr>
          <w:rFonts w:ascii="Arial" w:eastAsia="Times New Roman" w:hAnsi="Arial" w:cs="Arial"/>
          <w:lang w:eastAsia="pl-PL"/>
        </w:rPr>
        <w:t>, pomiędzy punktami C6 i C7 zostały umieszczone pod jezdnią na etapie przebudowy przedmiotowej ulicy.</w:t>
      </w:r>
      <w:r>
        <w:rPr>
          <w:rFonts w:ascii="Arial" w:eastAsia="Times New Roman" w:hAnsi="Arial" w:cs="Arial"/>
          <w:lang w:eastAsia="pl-PL"/>
        </w:rPr>
        <w:t xml:space="preserve"> W związku z powyższym montaż rur osłonowych na tym odcinku nie stanowi przedmiotu zamówienia. Wykonawca jest zobowiązany do montażu rur preizolowanych w rurach osłonowych na tym odcinku zgodnie z Dokumentacją Projektową. </w:t>
      </w:r>
    </w:p>
    <w:p w14:paraId="729D8978" w14:textId="77777777" w:rsidR="00191307" w:rsidRDefault="00191307" w:rsidP="0019130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EA2BEE">
        <w:rPr>
          <w:rFonts w:ascii="Arial" w:eastAsia="Times New Roman" w:hAnsi="Arial" w:cs="Arial"/>
          <w:lang w:eastAsia="pl-PL"/>
        </w:rPr>
        <w:t>Materiały preizolowane</w:t>
      </w:r>
      <w:r>
        <w:rPr>
          <w:rFonts w:ascii="Arial" w:eastAsia="Times New Roman" w:hAnsi="Arial" w:cs="Arial"/>
          <w:lang w:eastAsia="pl-PL"/>
        </w:rPr>
        <w:t xml:space="preserve"> oraz pozostałe materiały ujęte w wykazie podstawowych materiałów w Dokumentacji Projektowej</w:t>
      </w:r>
      <w:r w:rsidRPr="00EA2BEE">
        <w:rPr>
          <w:rFonts w:ascii="Arial" w:eastAsia="Times New Roman" w:hAnsi="Arial" w:cs="Arial"/>
          <w:lang w:eastAsia="pl-PL"/>
        </w:rPr>
        <w:t xml:space="preserve"> jako dostawy inwestorskie zabezpiecza Zamawiający</w:t>
      </w:r>
      <w:r>
        <w:rPr>
          <w:rFonts w:ascii="Arial" w:eastAsia="Times New Roman" w:hAnsi="Arial" w:cs="Arial"/>
          <w:lang w:eastAsia="pl-PL"/>
        </w:rPr>
        <w:t>. P</w:t>
      </w:r>
      <w:r w:rsidRPr="00572B01">
        <w:rPr>
          <w:rFonts w:ascii="Arial" w:eastAsia="Times New Roman" w:hAnsi="Arial" w:cs="Arial"/>
          <w:lang w:eastAsia="pl-PL"/>
        </w:rPr>
        <w:t xml:space="preserve">ozostałe materiały </w:t>
      </w:r>
      <w:r w:rsidRPr="00AE5E5B">
        <w:rPr>
          <w:rFonts w:ascii="Arial" w:eastAsia="Times New Roman" w:hAnsi="Arial" w:cs="Arial"/>
          <w:lang w:eastAsia="pl-PL"/>
        </w:rPr>
        <w:t xml:space="preserve">niezbędne do wykonania </w:t>
      </w:r>
      <w:r>
        <w:rPr>
          <w:rFonts w:ascii="Arial" w:eastAsia="Times New Roman" w:hAnsi="Arial" w:cs="Arial"/>
          <w:lang w:eastAsia="pl-PL"/>
        </w:rPr>
        <w:t xml:space="preserve">Przedmiotu Zamówienia dostarcza Wykonawca. </w:t>
      </w:r>
    </w:p>
    <w:p w14:paraId="20AFBB54" w14:textId="77777777" w:rsidR="00191307" w:rsidRPr="00DF2AA7" w:rsidRDefault="00191307" w:rsidP="0019130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Wykonawca </w:t>
      </w:r>
      <w:r w:rsidRPr="00DF2AA7">
        <w:rPr>
          <w:rFonts w:ascii="Arial" w:eastAsia="Times New Roman" w:hAnsi="Arial" w:cs="Arial"/>
          <w:lang w:eastAsia="pl-PL"/>
        </w:rPr>
        <w:t xml:space="preserve">zobowiązany jest do realizacji przedmiotu zamówienia na każdym jego etapie zgodnie z wymaganiami Taksonomii Unii Europejskiej, w tym zgodnie z zasadą DNSH (do no </w:t>
      </w:r>
      <w:proofErr w:type="spellStart"/>
      <w:r w:rsidRPr="00DF2AA7">
        <w:rPr>
          <w:rFonts w:ascii="Arial" w:eastAsia="Times New Roman" w:hAnsi="Arial" w:cs="Arial"/>
          <w:lang w:eastAsia="pl-PL"/>
        </w:rPr>
        <w:t>significant</w:t>
      </w:r>
      <w:proofErr w:type="spellEnd"/>
      <w:r w:rsidRPr="00DF2AA7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Pr="00DF2AA7">
        <w:rPr>
          <w:rFonts w:ascii="Arial" w:eastAsia="Times New Roman" w:hAnsi="Arial" w:cs="Arial"/>
          <w:lang w:eastAsia="pl-PL"/>
        </w:rPr>
        <w:t>harm</w:t>
      </w:r>
      <w:proofErr w:type="spellEnd"/>
      <w:r w:rsidRPr="00DF2AA7">
        <w:rPr>
          <w:rFonts w:ascii="Arial" w:eastAsia="Times New Roman" w:hAnsi="Arial" w:cs="Arial"/>
          <w:lang w:eastAsia="pl-PL"/>
        </w:rPr>
        <w:t xml:space="preserve"> - „nie czyń poważnych szkód”) poprzez zastosowanie rozwiązań, które pozwolą przedsięwzięciu na każdym z etapów: realizacji, eksploatacji i zakończenia użytkowania pozostać spójnym z ww. zasadą.</w:t>
      </w:r>
    </w:p>
    <w:p w14:paraId="10B24D60" w14:textId="77777777" w:rsidR="00191307" w:rsidRDefault="00191307" w:rsidP="00191307">
      <w:pPr>
        <w:pStyle w:val="Akapitzlist"/>
        <w:spacing w:line="360" w:lineRule="auto"/>
        <w:ind w:left="357"/>
        <w:jc w:val="both"/>
        <w:rPr>
          <w:rFonts w:ascii="Arial" w:eastAsia="Times New Roman" w:hAnsi="Arial" w:cs="Arial"/>
          <w:lang w:eastAsia="pl-PL"/>
        </w:rPr>
      </w:pPr>
      <w:r w:rsidRPr="00DF2AA7">
        <w:rPr>
          <w:rFonts w:ascii="Arial" w:eastAsia="Times New Roman" w:hAnsi="Arial" w:cs="Arial"/>
          <w:lang w:eastAsia="pl-PL"/>
        </w:rPr>
        <w:t>Wykonawca jest zobowiązany do gromadzenia i dostarczenia Zamawiającemu na etapie realizacji robót budowlanych dowodów potwierdzających spełnienie wymagań Taksonomii Unii Europejskiej odnoszących się do zasady DNSH.</w:t>
      </w:r>
    </w:p>
    <w:p w14:paraId="4D8E3995" w14:textId="77777777" w:rsidR="00ED01BC" w:rsidRPr="00191307" w:rsidRDefault="00ED01BC" w:rsidP="00191307"/>
    <w:sectPr w:rsidR="00ED01BC" w:rsidRPr="001913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9712F"/>
    <w:multiLevelType w:val="multilevel"/>
    <w:tmpl w:val="3A6C8B9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20" w:hanging="363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2180615D"/>
    <w:multiLevelType w:val="hybridMultilevel"/>
    <w:tmpl w:val="0AA6E2F2"/>
    <w:lvl w:ilvl="0" w:tplc="C13A427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6506367">
    <w:abstractNumId w:val="0"/>
  </w:num>
  <w:num w:numId="2" w16cid:durableId="133142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A80"/>
    <w:rsid w:val="000B3628"/>
    <w:rsid w:val="00191307"/>
    <w:rsid w:val="002560E9"/>
    <w:rsid w:val="003322B9"/>
    <w:rsid w:val="00427598"/>
    <w:rsid w:val="00431A80"/>
    <w:rsid w:val="004439DF"/>
    <w:rsid w:val="006F6FD7"/>
    <w:rsid w:val="00802A55"/>
    <w:rsid w:val="0086684A"/>
    <w:rsid w:val="008C03EA"/>
    <w:rsid w:val="008E3AC3"/>
    <w:rsid w:val="009B042E"/>
    <w:rsid w:val="009E34D0"/>
    <w:rsid w:val="00B241A0"/>
    <w:rsid w:val="00CE277D"/>
    <w:rsid w:val="00ED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C85FB"/>
  <w15:chartTrackingRefBased/>
  <w15:docId w15:val="{3177AC31-6308-444D-9EA4-35249366E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77D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1A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1A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1A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1A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1A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1A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1A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1A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1A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1A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1A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1A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1A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1A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1A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1A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1A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1A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1A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1A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1A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1A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1A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1A8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431A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1A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1A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1A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1A80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locked/>
    <w:rsid w:val="00CE2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446</Words>
  <Characters>2676</Characters>
  <Application>Microsoft Office Word</Application>
  <DocSecurity>0</DocSecurity>
  <Lines>22</Lines>
  <Paragraphs>6</Paragraphs>
  <ScaleCrop>false</ScaleCrop>
  <Company>Grupa E.ON edis energia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Kamiński, Bartosz</dc:creator>
  <cp:keywords/>
  <dc:description/>
  <cp:lastModifiedBy>Kamiński, Bartosz</cp:lastModifiedBy>
  <cp:revision>8</cp:revision>
  <dcterms:created xsi:type="dcterms:W3CDTF">2026-03-03T07:59:00Z</dcterms:created>
  <dcterms:modified xsi:type="dcterms:W3CDTF">2026-05-04T12:03:00Z</dcterms:modified>
</cp:coreProperties>
</file>