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Załącznik nr 5a  do SWZ</w:t>
      </w:r>
    </w:p>
    <w:p>
      <w:pPr>
        <w:pStyle w:val="Normal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color w:val="000000"/>
          <w:sz w:val="20"/>
          <w:szCs w:val="20"/>
        </w:rPr>
        <w:t>WZP.271.16.2026.AA.MT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Zamawiający :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Gmina Nowogard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Plac Wolności 1</w:t>
      </w:r>
    </w:p>
    <w:p>
      <w:pPr>
        <w:pStyle w:val="Normal"/>
        <w:ind w:firstLine="708" w:left="5664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/>
          <w:color w:val="000000"/>
        </w:rPr>
        <w:t>72-200 Nowogard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………………………………………………</w:t>
      </w:r>
      <w:r>
        <w:rPr>
          <w:rFonts w:cs="Times New Roman" w:ascii="Times New Roman" w:hAnsi="Times New Roman"/>
          <w:color w:val="000000"/>
        </w:rPr>
        <w:t>.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………………………………………………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(nazwa oraz adres Wykonawcy)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 w:before="12" w:after="0"/>
        <w:jc w:val="center"/>
        <w:rPr>
          <w:rFonts w:ascii="Times New Roman" w:hAnsi="Times New Roman" w:cs="Times New Roman"/>
          <w:b/>
          <w:bCs/>
          <w:sz w:val="28"/>
          <w:szCs w:val="28"/>
          <w:shd w:fill="FFFFFF" w:val="clear"/>
          <w:lang w:bidi="hi-IN"/>
        </w:rPr>
      </w:pPr>
      <w:r>
        <w:rPr>
          <w:rFonts w:eastAsia="Times New Roman" w:cs="Times New Roman" w:ascii="Times New Roman" w:hAnsi="Times New Roman"/>
          <w:b/>
          <w:color w:val="000000"/>
        </w:rPr>
        <w:t>Przedmiotowe środki dowodowe składane celem potwierdzenia zgodności ……………………..z opisem przedmiotu zamówienia w postępowaniu pn:</w:t>
      </w:r>
    </w:p>
    <w:p>
      <w:pPr>
        <w:pStyle w:val="Normal"/>
        <w:jc w:val="center"/>
        <w:rPr>
          <w:rFonts w:ascii="Times New Roman" w:hAnsi="Times New Roman" w:eastAsia="Times New Roman" w:cs="Calibri"/>
          <w:b/>
          <w:bCs/>
          <w:color w:val="000000"/>
          <w:sz w:val="28"/>
          <w:szCs w:val="28"/>
        </w:rPr>
      </w:pPr>
      <w:r>
        <w:rPr>
          <w:rStyle w:val="Domylnaczcionkaakapitu4"/>
          <w:rFonts w:eastAsia="Times New Roman" w:cs="Calibri" w:ascii="Times New Roman" w:hAnsi="Times New Roman"/>
          <w:b/>
          <w:bCs/>
          <w:color w:val="000000"/>
          <w:kern w:val="2"/>
          <w:sz w:val="28"/>
          <w:szCs w:val="28"/>
          <w:lang w:bidi="hi-IN"/>
        </w:rPr>
        <w:t>Dostawa i wdrożenie sprzętu informatycznego oraz modernizacja istniejącego środowiska informatycznego wraz z podniesieniem poziomu cyberbezpieczeństwa w ramach konkursu grantowego „Cyberbezpieczny Samorząd” w trzech jednostkach Gminy Nowogard</w:t>
      </w:r>
    </w:p>
    <w:p>
      <w:pPr>
        <w:pStyle w:val="Normal"/>
        <w:jc w:val="center"/>
        <w:rPr>
          <w:rStyle w:val="Domylnaczcionkaakapitu4"/>
          <w:rFonts w:ascii="Times New Roman" w:hAnsi="Times New Roman" w:eastAsia="Times New Roman" w:cs="Calibri"/>
          <w:b/>
          <w:bCs/>
          <w:color w:val="000000"/>
          <w:kern w:val="2"/>
          <w:sz w:val="24"/>
          <w:szCs w:val="24"/>
          <w:u w:val="single"/>
          <w:lang w:bidi="hi-IN"/>
        </w:rPr>
      </w:pPr>
      <w:r>
        <w:rPr>
          <w:rFonts w:eastAsia="Times New Roman" w:cs="Calibri" w:ascii="Times New Roman" w:hAnsi="Times New Roman"/>
          <w:b/>
          <w:bCs/>
          <w:color w:val="000000"/>
          <w:kern w:val="2"/>
          <w:sz w:val="24"/>
          <w:szCs w:val="24"/>
          <w:u w:val="single"/>
          <w:lang w:bidi="hi-IN"/>
        </w:rPr>
      </w:r>
    </w:p>
    <w:p>
      <w:pPr>
        <w:pStyle w:val="Normal"/>
        <w:jc w:val="center"/>
        <w:rPr/>
      </w:pPr>
      <w:r>
        <w:rPr>
          <w:rStyle w:val="Domylnaczcionkaakapitu4"/>
          <w:rFonts w:eastAsia="Times New Roman" w:ascii="Times New Roman" w:hAnsi="Times New Roman"/>
          <w:b/>
          <w:bCs/>
          <w:color w:val="000000"/>
          <w:kern w:val="2"/>
          <w:sz w:val="24"/>
          <w:szCs w:val="24"/>
          <w:u w:val="single"/>
          <w:lang w:bidi="hi-IN"/>
        </w:rPr>
        <w:t>SERWER TYP 1 (2 sztuki)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tbl>
      <w:tblPr>
        <w:tblW w:w="5000" w:type="pct"/>
        <w:jc w:val="left"/>
        <w:tblInd w:w="6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1240"/>
        <w:gridCol w:w="5575"/>
        <w:gridCol w:w="2545"/>
      </w:tblGrid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solid"/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Parametr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solid"/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Charakterystyka (wymagania minimalne)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solid"/>
          </w:tcPr>
          <w:p>
            <w:pPr>
              <w:pStyle w:val="Normal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i/>
                <w:sz w:val="20"/>
                <w:szCs w:val="20"/>
              </w:rPr>
              <w:t>Parametry oferowane</w:t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Obudowa</w:t>
            </w:r>
          </w:p>
          <w:p>
            <w:pPr>
              <w:pStyle w:val="Normal"/>
              <w:spacing w:lineRule="auto" w:line="252" w:before="0" w:after="160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Obudowa Rack o wysokości max 2U</w:t>
            </w:r>
          </w:p>
          <w:p>
            <w:pPr>
              <w:pStyle w:val="Normal"/>
              <w:numPr>
                <w:ilvl w:val="0"/>
                <w:numId w:val="6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16 wnęk na dyski 2.5”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55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Obudowa z możliwością wyposażenia w kartę umożliwiającą dostęp bezpośredni poprzez urządzenia mobilne - serwer musi posiadać możliwość konfiguracji oraz monitoringu najważniejszych komponentów serwera przy użyciu dedykowanej aplikacji mobilnej min. (Android/ Apple iOS) przy użyciu jednego z protokołów BLE/ WIFI.</w:t>
            </w:r>
          </w:p>
        </w:tc>
        <w:tc>
          <w:tcPr>
            <w:tcW w:w="2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cs="Aptos" w:ascii="Calibri" w:hAnsi="Calibri" w:cstheme="minorHAnsi"/>
                <w:sz w:val="20"/>
                <w:szCs w:val="20"/>
              </w:rPr>
              <w:t>Kryterium oceny ofert</w:t>
              <w:br/>
            </w:r>
            <w:r>
              <w:rPr>
                <w:rFonts w:ascii="Calibri" w:hAnsi="Calibri"/>
                <w:sz w:val="20"/>
                <w:szCs w:val="20"/>
              </w:rPr>
              <w:t xml:space="preserve">NIE – 0 punktów </w:t>
              <w:br/>
              <w:t>TAK – 6 punktów</w:t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Płyta główna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7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Płyta główna z możliwością zainstalowania do dwóch procesorów.</w:t>
            </w:r>
          </w:p>
          <w:p>
            <w:pPr>
              <w:pStyle w:val="Normal"/>
              <w:numPr>
                <w:ilvl w:val="0"/>
                <w:numId w:val="7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Obsługa procesorów 144 rdzeniowych.</w:t>
            </w:r>
          </w:p>
          <w:p>
            <w:pPr>
              <w:pStyle w:val="Normal"/>
              <w:numPr>
                <w:ilvl w:val="0"/>
                <w:numId w:val="7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Płyta główna musi być zaprojektowana przez producenta serwera i oznaczona jego znakiem firmowym.</w:t>
            </w:r>
          </w:p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Na płycie głównej powinno znajdować się minimum 32 sloty przeznaczone do instalacji pamięci.</w:t>
            </w:r>
          </w:p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Płyta główna powinna obsługiwać do 8TB pamięci RAM.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>
          <w:trHeight w:val="1076" w:hRule="atLeast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Procesor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Zainstalowane dwa procesory min. 8-rdzeniowe, min. 3.7GHz, klasy x86 dedykowane do pracy z zaoferowanym serwerem umożliwiające osiągnięcie wyniku min. 170 w teście SPECspeed®2017_fp_base, dostępnym na stronie www.spec.org dla konfiguracji dwuprocesorowej oferowanego serwera.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RAM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rPr>
                <w:lang w:val="en-US"/>
              </w:rPr>
            </w:pPr>
            <w:r>
              <w:rPr>
                <w:rFonts w:cs="Calibri" w:ascii="Calibri" w:hAnsi="Calibri"/>
                <w:sz w:val="20"/>
                <w:szCs w:val="20"/>
                <w:lang w:val="en-US"/>
              </w:rPr>
              <w:t>128GB DDR5 RDIMM 6400MT/s,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cs="Calibri" w:ascii="Calibri" w:hAnsi="Calibri"/>
                <w:sz w:val="20"/>
                <w:szCs w:val="20"/>
                <w:lang w:val="en-US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Kontroler RAID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Sprzętowy kontroler dyskowy, posiadający</w:t>
            </w:r>
          </w:p>
          <w:p>
            <w:pPr>
              <w:pStyle w:val="Normal"/>
              <w:numPr>
                <w:ilvl w:val="1"/>
                <w:numId w:val="8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Min. 8GB nieulotnej pamięci cache,</w:t>
            </w:r>
          </w:p>
          <w:p>
            <w:pPr>
              <w:pStyle w:val="Normal"/>
              <w:numPr>
                <w:ilvl w:val="1"/>
                <w:numId w:val="8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konfiguracji poziomów RAID: 0, 1, 5, 6, 10, 50, 60.</w:t>
            </w:r>
          </w:p>
          <w:p>
            <w:pPr>
              <w:pStyle w:val="Normal"/>
              <w:numPr>
                <w:ilvl w:val="1"/>
                <w:numId w:val="8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dysków samoszyfrujących</w:t>
            </w:r>
          </w:p>
          <w:p>
            <w:pPr>
              <w:pStyle w:val="Normal"/>
              <w:numPr>
                <w:ilvl w:val="1"/>
                <w:numId w:val="8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Obsługa dysków 22.5 Gbps SAS, 12 Gbps SAS, and 6 Gbps SATA/SAS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Dyski twarde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  <w:t>Zainstalowane:</w:t>
            </w:r>
          </w:p>
          <w:p>
            <w:pPr>
              <w:pStyle w:val="Normal"/>
              <w:numPr>
                <w:ilvl w:val="1"/>
                <w:numId w:val="5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  <w:t>2x dysk SSD SATA o pojemności min. 480GB, Hot-Plug</w:t>
            </w:r>
          </w:p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zainstalowania dwóch dysków M.2 NVMe SSD o pojemności min. 960GB Hot-Plug z możliwością konfiguracji RAID 1.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Gniazda PCI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Cztery sloty PCIe</w:t>
            </w:r>
          </w:p>
          <w:p>
            <w:pPr>
              <w:pStyle w:val="Normal"/>
              <w:numPr>
                <w:ilvl w:val="0"/>
                <w:numId w:val="13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  <w:t>Dwa sloty OCP</w:t>
            </w:r>
            <w:bookmarkStart w:id="0" w:name="_Hlk133511311"/>
            <w:bookmarkEnd w:id="0"/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4 interfejsy sieciowe 1Gb Ethernet w standardzie BaseT (porty nie mogą być osiągnięte poprzez karty w slotach PCIe)</w:t>
            </w:r>
          </w:p>
          <w:p>
            <w:pPr>
              <w:pStyle w:val="Normal"/>
              <w:numPr>
                <w:ilvl w:val="0"/>
                <w:numId w:val="5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Dwuportowa karta sieciowa 25Gb Ethernet w standardzie SFP28</w:t>
            </w:r>
          </w:p>
          <w:p>
            <w:pPr>
              <w:pStyle w:val="Normal"/>
              <w:numPr>
                <w:ilvl w:val="0"/>
                <w:numId w:val="5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Dwuportowa karta 32GB FC HBA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  <w:lang w:val="de-DE"/>
              </w:rPr>
              <w:t>Wbudowane porty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before="0" w:after="16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4 porty USB w tym min:</w:t>
            </w:r>
          </w:p>
          <w:p>
            <w:pPr>
              <w:pStyle w:val="Normal"/>
              <w:numPr>
                <w:ilvl w:val="1"/>
                <w:numId w:val="3"/>
              </w:numPr>
              <w:spacing w:before="0" w:after="16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1 port USB 2.0 Type-C</w:t>
            </w:r>
          </w:p>
          <w:p>
            <w:pPr>
              <w:pStyle w:val="Normal"/>
              <w:numPr>
                <w:ilvl w:val="1"/>
                <w:numId w:val="3"/>
              </w:numPr>
              <w:spacing w:before="0" w:after="16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2 porty USB 3.1</w:t>
            </w:r>
          </w:p>
          <w:p>
            <w:pPr>
              <w:pStyle w:val="Normal"/>
              <w:numPr>
                <w:ilvl w:val="1"/>
                <w:numId w:val="3"/>
              </w:numPr>
              <w:spacing w:before="0" w:after="16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1 port USB 3.0 wewnątrz obudowy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Port VGA z tyłu obudowy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contextualSpacing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  <w:lang w:val="de-DE"/>
              </w:rPr>
              <w:t>Video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Zintegrowana karta graficzna umożliwiająca wyświetlenie rozdzielczości min. 1920x1200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Zasilacze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Redundantne, Hot-Plug min. 1500W klasy Titanium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Elementy montażowe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Komplet wysuwanych szyn umożliwiających montaż w szafie rack i wysuwanie serwera do celów serwisowych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Ramię (organizer) do kabli ułatwiające wysuwanie serwera do celów serwisowych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Times New Roman" w:cs="Calibri" w:ascii="Calibri" w:hAnsi="Calibri"/>
                <w:b/>
                <w:bCs/>
                <w:sz w:val="20"/>
                <w:szCs w:val="20"/>
              </w:rPr>
              <w:t>System operacyjny/dodatkowe oprogramowanie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Microsoft Windows Server 2025 Datacenter lub rozwiązanie równoważne. Przez rozwiązanie równoważne Zamawiający rozumie system operacyjny zapewniający co najmniej: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>
                <w:lang w:val="en-US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val="en-US"/>
              </w:rPr>
              <w:t>pełną obsługę usług Active Directory Domain Services (AD DS),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obsługę usług DNS oraz DHCP,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obsługę zasad grup (Group Policy),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pracy jako kontroler domeny Active Directory,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obsługę środowiska wirtualizacji Hyper-V lub rozwiązania równoważnego,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obsługę funkcji Failover Clustering,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obsługę funkcji Storage Replica,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uruchamiania nieograniczonej liczby instancji wirtualnych systemu operacyjnego zgodnie z zasadami licencjonowania producenta,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integrację z usługami katalogowymi Active Directory,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współpracę z bazami danych Microsoft SQL Server,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współpracę z systemami SIEM, NAC oraz rozwiązaniami monitoringu przewidzianymi w projekcie,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centralnego zarządzania aktualizacjami systemowymi,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integracji z mechanizmami uwierzytelniania wieloskładnikowego (MFA),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pracy w środowisku kopii zapasowych oraz odtwarzania awaryjnego wdrażanym w ramach projektu.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Licencjonowanie systemu operacyjnego musi zostać dobrane w sposób zapewniający zgodne z warunkami producenta uruchomienie wszystkich maszyn wirtualnych przewidzianych do wdrożenia w środowisku Urzędu Miejskiego.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Bezpieczeństwo</w:t>
            </w:r>
          </w:p>
          <w:p>
            <w:pPr>
              <w:pStyle w:val="Normal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textAlignment w:val="baseline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Zatrzask górnej pokrywy oraz blokada na ramce panela zamykana na klucz służąca do ochrony nieautoryzowanego dostępu do dysków twardych.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52" w:before="0" w:after="16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textAlignment w:val="baseline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wyłączenia w BIOS funkcji przycisku zasilania.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textAlignment w:val="baseline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BIOS ma możliwość przejścia do bezpiecznego trybu rozruchowego z możliwością zarządzania blokadą zasilania, panelem sterowania oraz zmianą hasła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textAlignment w:val="baseline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Wbudowany czujnik otwarcia obudowy współpracujący z BIOS i kartą zarządzającą.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textAlignment w:val="baseline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Moduł TPM 2.0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textAlignment w:val="baseline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textAlignment w:val="baseline"/>
              <w:rPr/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      </w:r>
          </w:p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rPr>
                <w:color w:val="EE0000"/>
              </w:rPr>
            </w:pPr>
            <w:r>
              <w:rPr>
                <w:color w:val="EE0000"/>
              </w:rPr>
            </w:r>
          </w:p>
        </w:tc>
        <w:tc>
          <w:tcPr>
            <w:tcW w:w="55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Możliwość dynamicznego włączania i wyłączania portów USB na obudowie – bez potrzeby restartu serwera</w:t>
            </w:r>
          </w:p>
        </w:tc>
        <w:tc>
          <w:tcPr>
            <w:tcW w:w="2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cs="Aptos" w:ascii="Calibri" w:hAnsi="Calibri" w:cstheme="minorHAnsi"/>
                <w:sz w:val="20"/>
                <w:szCs w:val="20"/>
              </w:rPr>
              <w:t>Kryterium oceny ofert</w:t>
              <w:br/>
            </w:r>
            <w:r>
              <w:rPr>
                <w:rFonts w:ascii="Calibri" w:hAnsi="Calibri"/>
                <w:sz w:val="20"/>
                <w:szCs w:val="20"/>
              </w:rPr>
              <w:t xml:space="preserve">NIE – 0 punktów </w:t>
              <w:br/>
              <w:t>TAK – 6 punktów</w:t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Karta Zarządzania</w:t>
            </w:r>
          </w:p>
          <w:p>
            <w:pPr>
              <w:pStyle w:val="Normal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Niezależna od zainstalowanego na serwerze systemu operacyjnego posiadająca dedykowane port RJ-45 Gigabit Ethernet umożliwiająca: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zdalny dostęp do graficznego interfejsu Web karty zarządzającej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szyfrowane połączenie (TLS) oraz autentykacje i autoryzację użytkownika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IPv6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SNMP; IPMI2.0, VLAN tagging, SSH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automatycznej rejestracji DNS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LLDP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zarządzania bezpośredniego poprzez złącze USB umieszczone na froncie obudowy.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Monitorowanie zużycia dysków SSD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przywrócenia poprzednich wersji firmware</w:t>
            </w:r>
          </w:p>
          <w:p>
            <w:pPr>
              <w:pStyle w:val="Normal"/>
              <w:spacing w:lineRule="auto" w:line="252"/>
              <w:ind w:left="1080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rozszerzenia funkcjonalności o: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integracja z Active Directory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podmontowania zdalnych wirtualnych napędów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wirtualną konsolę z dostępem do myszy, klawiatury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obsługi przez sześciu administratorów jednocześnie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wysyłanie do administratora maila z powiadomieniem o awarii lub zmianie konfiguracji sprzętowej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zdalnego monitorowania w czasie rzeczywistym poboru prądu przez serwer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wykrywania odchyleń konfiguracji na poziomie konfiguracji UEFI oraz wersji firmware serwera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kontrola stanu BIOS pod kątem naruszenia integralności oprogramowania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modyfikacji reguł chłodzenia kart w slotach PCIe, z możliwością własnych ustawień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ustawienia limitu temperatury powietrza wychodzącego z serwera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Automatyczne zgłaszanie alertów do centrum serwisowego producenta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Automatyczne update firmware dla wszystkich komponentów serwera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ustawienia dopuszczalnego wzrostu temperatury powietrza przepływającego przez serwer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ustawienia maksymalnej temperatury powietrza dochodzącego do slotów PCIe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zdalnego ustawienia limitu poboru prądu przez konkretny serwer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eksportu eksportu/importu konfiguracji (ustawienie karty zarządzającej, BIOSu, kart sieciowych, HBA oraz konfiguracji kontrolera RAID) serwera do pliku XML lub JSON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zaimportowania ustawień, poprzez bezpośrednie podłączenie plików konfiguracyjnych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Automatyczne tworzenie kopii ustawień serwera w opraciu o harmonogram.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wysyłania danych o stanie procesora, kart sieciowych, zasilaczy, kart GPU, lokalnych dysków i urządzeń NVMe, jak również dane wydajnościowe serwera do zewnętrznych narzędzi analitycznych jak Splunk, Grafana, ElasticSearch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wykorzystania tokenu lub aplikacji SecurID do uwierzytelniania wielkoskładnikowego przy logowaniu do karty zarządzającej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Automatyczne odświeżanie certyfikatów SSL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monitorowanie przepływu powietrza na bieżąco (w CFM)</w:t>
            </w:r>
          </w:p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Oprogramowanie do zarządzania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spacing w:lineRule="auto" w:line="259" w:before="0" w:after="0"/>
              <w:ind w:hanging="227" w:left="34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serwerów, urządzeń sieciowych oraz pamięci masowych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integracja z Active Directory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zarządzania dostarczonymi serwerami bez udziału dedykowanego agenta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protokołów SNMP, IPMI, Linux SSH, Redfish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uruchamiania procesu wykrywania urządzeń w oparciu o harmonogram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Szczegółowy opis wykrytych systemów oraz ich komponentów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eksportu raportu do CSV, HTML, XLS, PDF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tworzenia własnych raportów w oparciu o wszystkie informacje zawarte w inwentarzu.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Grupowanie urządzeń w oparciu o kryteria użytkownika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Tworzenie automatycznie grup urządzeń w oparciu o dowolny element konfiguracji serwera np. Nazwa, lokalizacja, system operacyjny, obsadzenie slotów PCIe, pozostałego czasu gwarancji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uruchamiania narzędzi zarządzających w poszczególnych urządzeniach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Szybki podgląd stanu środowiska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Podsumowanie stanu dla każdego urządzenia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Szczegółowy status urządzenia/elementu/komponentu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Generowanie alertów przy zmianie stanu urządzenia.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Filtry raportów umożliwiające podgląd najważniejszych zdarzeń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Integracja z service desk producenta dostarczonej platformy sprzętowej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przejęcia zdalnego pulpitu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podmontowania wirtualnego napędu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Kreator umożliwiający dostosowanie akcji dla wybranych alertów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importu plików MIB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Przesyłanie alertów „as-is” do innych konsol firm trzecich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definiowania ról administratorów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zdalnej aktualizacji oprogramowania wewnętrznego serwerów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instalacji oprogramowania wewnętrznego bez potrzeby instalacji agenta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Wdrażanie serwerów, rozwiązań modularnych oraz przełączników sieciowych w oparciu o profile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Zdalne uruchamianie diagnostyki serwera.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Oprogramowanie dostarczane jako wirtualny appliance dla KVM, ESXi.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160"/>
              <w:ind w:hanging="340" w:left="62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Integracja z środowiskiem VMware vCenter pozwalająca z konsoli/plugin: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ind w:hanging="340" w:left="79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wykonać zautomatyzowaną aktualizację firmware serwerów w klastrze  Vmware do zdefiniowanej polityki poziomu mikrokodów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ind w:hanging="340" w:left="79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wykonać/zweryfikować konfigurację serwera zgodną ze zdefiniowaną polityka konfiguracji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ind w:hanging="340" w:left="79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z konsoli vCenter uruchomić zdalną konsolę graficzną serwera (nawet gdy nie jest uruchomiony na serwerze system operacyjny)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ind w:hanging="340" w:left="79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inwentaryzacja komponentów w serwerze i ich mikrokodów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ind w:hanging="340" w:left="79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historia poboru mocy i temperatury serwera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ind w:hanging="340" w:left="794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zbieranie danych diagnostycznych serwera do paczki serwisowej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cs="Aptos" w:ascii="Calibri" w:hAnsi="Calibri" w:cstheme="minorHAnsi"/>
                <w:sz w:val="20"/>
                <w:szCs w:val="20"/>
              </w:rPr>
              <w:t>Kryterium oceny ofert</w:t>
              <w:br/>
            </w:r>
            <w:r>
              <w:rPr>
                <w:rFonts w:ascii="Calibri" w:hAnsi="Calibri"/>
                <w:sz w:val="20"/>
                <w:szCs w:val="20"/>
              </w:rPr>
              <w:t xml:space="preserve">NIE – 0 punktów </w:t>
              <w:br/>
              <w:t>TAK – 6 punktów</w:t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Oprogramowanie do monitorowania</w:t>
            </w:r>
          </w:p>
          <w:p>
            <w:pPr>
              <w:pStyle w:val="Normal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Oparta na chmurze aplikacja Producenta oferowanego urządzenia, która zapewnia proaktywne monitorowanie i rozwiązywanie problemów infrastruktury IT oraz integrację z posiadaną platformą wirtualizacji VMware. Zaproponowane rozwiązanie musi posiadać następujące funkcjonalności:</w:t>
            </w:r>
          </w:p>
          <w:p>
            <w:pPr>
              <w:pStyle w:val="Normal"/>
              <w:numPr>
                <w:ilvl w:val="0"/>
                <w:numId w:val="12"/>
              </w:numPr>
              <w:spacing w:lineRule="auto" w:line="259" w:before="0" w:after="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Monitoring: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ilość podłączonych oraz rozłączonych systemów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stan podłączonych urządzeń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potencjalnych zagrożeniach związanych z cyberbezpieczeństwem w oparciu o najlepsze praktyki i szczegółową analizę posiadanych systemów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alertach z podziałem na minimum: krytyczne, błędy, ostrzeżenia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statusie gwarancji dla poszczególnych urządzeń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stanie licencji na posiadane oprogramowanie rozszerzające funkcjonalności urządzeń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w oparciu o dane historyczne umożliwiające określenie trendów krótko- i długoterminowej prognozy wykorzystania przestrzeni na pamięciach masowych.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Wykrywanie anomalii w oparciu o analizę zajętości przestrzeni na pamięciach masowych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Monitorowanie wydajności, przepustowości oraz opóźnień dla systemy pamięci masowych.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Zaimplementowana analityka predykcyjna umożliwiająca określenie szacowanego czasu awarii dla optyki przełączników FC.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Szczegółowe informacje dla serwerów o modelu, konfiguracji, wersjach firmware poszczególnych komponentów adresacji IP karty zarządzającej.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79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Monitoring parametrów serwerów z informacją o minimum: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3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Obciążeniu procesora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3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Zużyciu pamięci RAM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3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Temperaturze procesorów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3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Temperaturze powietrza wlotowego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3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Zużyciu prądu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3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Zmianach w fizycznej konfiguracji serwera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3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Dla wszystkich wymienionych parametrów muszą być dostępne dane historyczne oraz automatycznie generowana informacja o anomaliach.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85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Monitoring parametrów pamięci masowych z informacją o minimum: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Opóźnieniach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IOPS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Przepustowości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Utylizacji kontrolerów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Pojemność całkowita i dostępna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Wszystkie informacje muszą być dostępne zarówno dla całej pamięci masowej jak i poszczególnych LUN-ów.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Dane historyczne o wykorzystaniu przestrzeni pamięci masowej muszą być przechowywane co najmniej 2 lata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poziomie redukcji danych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statusie replikacji oraz snapshotów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907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Monitoring parametrów przełączników sieciowych z informacją o minimum: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247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Modelu, oprogramowania, adresacji IP, MAC adres, nr seryjny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247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Stanie komponentów: zasilacze, wentylatory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247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Podłączonych hostach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247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Ilości i statusu portów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247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Utylizacji procesora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247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Utylizacji poszczególnych portów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247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ind w:hanging="340" w:left="34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Aktualizacja firmware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964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aktualizcji firmware, oprogramowania zarządzającego dla systemów pamięci masowych, wraz z informacją o zalecanych wersjach oprogramowania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964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aktualizcji firmware, oprogramowania zarządzającego dla serwerów, wraz z informacją o zalecanych wersjach oprogramowania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964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aktualizcji firmware, oprogramowania zarządzającego dla rozwiazań HCI, wraz z informacją o zalecanych wersjach oprogramowania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964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aktualizcji firmware, dla systemów przełączników FC, wraz z informacją o zalecanych wersjach oprogramowania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964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aktualizcji firmware, dla deduplikatorów, wraz z informacją o zalecanych wersjach oprogramowania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ind w:hanging="340" w:left="34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Raporty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02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generowania raportów dla serwerów zawierających informację o: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191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Średnim obciążeniu: procesorów, pamięci RAM, IO,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077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generowania raportów dla systemów pamięci masowych zawierających informację o: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ind w:hanging="340" w:left="1247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Nazwie, nr seryjnym, lokalizacji urządzenia, modelu urządzenia, wersji oprogramowania, zajętości systemu oraz poziomu redukcją danych, informacje o utworzonych LUN-ach i systemach pliku, status replikacji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02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Generowanie raportów do plików CSV i PDF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ind w:hanging="340" w:left="34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Cyberbezpieczeństwo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02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Analiza środowiska w oparciu o najlepsze praktyki dotyczące cyberbezpieczeństwa sprawdzająca stan poszczególnych urządzeń w środowisku i przypisujący im odpowiedni wynik bezpieczeństwa. System musi informować administratora o wykrytych lukach bezpieczeństwa oraz sposobie ich zabezpieczenia.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02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Musi istnieć możliwość tworzenia własnych polityk bezpieczeństwa w oparciu o wzorce dla poszczególnych urządzeń.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02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Stała analiza środowiska IT umożliwiająca wykrycie ataku ransomware na podstawie analizy posiadanych danych.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02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przypisania dedykowanych ról dla poszczególnych administratorów.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ind w:hanging="340" w:left="34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Wspierane urządzenia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077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Urządzenie Producenta dostarczane w ramach postępowania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077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Posiadane przez Zamawiającego serwery, urządzenia pamięci masowych, przełączniki sieciowe, przełączniki SAN, rozwiązania HCI, deduplikatory Producenta oferowanego urządzenia (jeśli takie są w posiadaniu Zamawiającego)</w:t>
            </w:r>
          </w:p>
          <w:p>
            <w:pPr>
              <w:pStyle w:val="Normal"/>
              <w:numPr>
                <w:ilvl w:val="0"/>
                <w:numId w:val="12"/>
              </w:numPr>
              <w:spacing w:lineRule="auto" w:line="259" w:before="0" w:after="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Wirtualny asystent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ind w:hanging="340" w:left="1077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Wbudowana w platformę funkcjonalność wirtualnego asystenta w oparciu o algorytmy GenAI przy dostępie do bazy wiedzy producenta urządzeń oraz analizie danych z monitoringu poszczególnych elementów infrastruktury;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ind w:hanging="340" w:left="340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rozszerzenia funkcjonalności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134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rozbudowy systemu o zintegrowane i dodatkowe płatne moduły do monitoringu aplikacji oraz zarządzania incydentami w ramach infrastruktury IT.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ind w:hanging="340" w:left="397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Inne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ind w:hanging="340" w:left="1134"/>
              <w:contextualSpacing/>
              <w:textAlignment w:val="baseline"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Oferowana platforma musi posiadać dedykowaną aplikację na urządzenia iOS oraz Android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cs="Aptos" w:ascii="Calibri" w:hAnsi="Calibri" w:cstheme="minorHAnsi"/>
                <w:sz w:val="20"/>
                <w:szCs w:val="20"/>
              </w:rPr>
              <w:t>Kryterium oceny ofert</w:t>
              <w:br/>
            </w:r>
            <w:r>
              <w:rPr>
                <w:rFonts w:ascii="Calibri" w:hAnsi="Calibri"/>
                <w:sz w:val="20"/>
                <w:szCs w:val="20"/>
              </w:rPr>
              <w:t xml:space="preserve">NIE – 0 punktów </w:t>
              <w:br/>
              <w:t>TAK – 6 punktów</w:t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ind w:hanging="340" w:left="34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Serwer musi być wyprodukowany zgodnie z normą ISO-9001:2015, ISO-50001 oraz ISO-14001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ind w:hanging="340" w:left="34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Serwer musi posiadać deklaracja CE.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ind w:hanging="340" w:left="34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</w:t>
            </w:r>
            <w:hyperlink r:id="rId2">
              <w:r>
                <w:rPr>
                  <w:rStyle w:val="Hyperlink"/>
                  <w:rFonts w:cs="Calibri" w:ascii="Calibri" w:hAnsi="Calibri"/>
                  <w:color w:val="auto"/>
                  <w:sz w:val="20"/>
                  <w:szCs w:val="20"/>
                </w:rPr>
                <w:t>www.epeat.net</w:t>
              </w:r>
            </w:hyperlink>
            <w:r>
              <w:rPr>
                <w:rFonts w:cs="Calibri" w:ascii="Calibri" w:hAnsi="Calibri"/>
                <w:sz w:val="20"/>
                <w:szCs w:val="20"/>
              </w:rPr>
              <w:t xml:space="preserve"> potwierdzający spełnienie normy co najmniej Epeat Silver, dla kraju, w którym produkt będzie użytkowany, według normy wprowadzonej w 2019 roku - </w:t>
            </w: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Wykonawca złoży dokument potwierdzający spełnianie wymogu.</w:t>
            </w:r>
          </w:p>
          <w:p>
            <w:pPr>
              <w:pStyle w:val="Normal"/>
              <w:numPr>
                <w:ilvl w:val="0"/>
                <w:numId w:val="4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Oferowany serwer musi znajdować się na liście Windows Server Catalog i posiadać status „Certified for Windows” dla systemów Microsoft Windows Server 2022, Microsoft Windows Server 2025.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>
          <w:trHeight w:val="530" w:hRule="atLeast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ind w:hanging="340" w:left="34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Zamawiający wymaga dokumentacji w języku polskim lub angi</w:t>
            </w:r>
            <w:r>
              <w:rPr>
                <w:rFonts w:cs="Calibri" w:ascii="Calibri" w:hAnsi="Calibri"/>
                <w:i/>
                <w:sz w:val="20"/>
                <w:szCs w:val="20"/>
              </w:rPr>
              <w:t>e</w:t>
            </w:r>
            <w:r>
              <w:rPr>
                <w:rFonts w:cs="Calibri" w:ascii="Calibri" w:hAnsi="Calibri"/>
                <w:sz w:val="20"/>
                <w:szCs w:val="20"/>
              </w:rPr>
              <w:t>lskim.</w:t>
            </w:r>
          </w:p>
          <w:p>
            <w:pPr>
              <w:pStyle w:val="Normal"/>
              <w:numPr>
                <w:ilvl w:val="0"/>
                <w:numId w:val="4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Warunki gwarancji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wymaga zapewnienia gwarancji Producenta z zakresu wdrażanej technologii na okres 3 lat.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  <w:lang w:eastAsia="zh-CN"/>
              </w:rPr>
              <w:t>Możliwość bezpłatnego pobierania aktualizacji firmware, BIOS i sterowników po wygaśnięciu gwarancji.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możliwości zgłaszania zdarzeń serwisowych w trybie 24/7/365 następującymi kanałami: telefonicznie, przez Internet.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bezpośredniego dostępu do wykwalifikowanej kadry inżynierów technicznych a w przypadku konieczności eskalacji zgłoszenia serwisowego wyznaczonego Kierownika Eskalacji po stronie Producenta (dla krytycznych zgłoszeń serwisowych)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wymaga pojedynczego punktu kontaktu dla całego rozwiązania Producenta, w tym także sprzedanego oprogramowania.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Zgłoszenie przyjęte jest potwierdzane przez zespół pomocy technicznej (mail/telefon/portal) przez nadanie unikalnego numeru zgłoszenia pozwalającego na identyfikację zgłoszenia w trakcie realizacji naprawy i po jej zakończeniu.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możliwości samodzielnego kwalifikowania poziomu ważności naprawy.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Certyfikowany Technik Producenta z właściwym zestawem części do naprawy (potwierdzonym na etapie diagnostyki) powinien rozpocząć naprawę w siedzibie zamawiającego najpóźniej w następnym dniu roboczym (NBD) od zakończenia diagnostyki.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Naprawa ma się odbyć w siedzibie zamawiającego, chyba, że zamawiający dla danej naprawy zgodzi się na inną formę.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rozszerzenia gwarancji producenta o usługę diagnostyki sprzętu na miejscu w przypadku awarii. Charakterystyka usługi diagnostyki:</w:t>
            </w:r>
          </w:p>
          <w:p>
            <w:pPr>
              <w:pStyle w:val="Normal"/>
              <w:numPr>
                <w:ilvl w:val="1"/>
                <w:numId w:val="11"/>
              </w:numPr>
              <w:tabs>
                <w:tab w:val="clear" w:pos="720"/>
                <w:tab w:val="left" w:pos="1416" w:leader="none"/>
              </w:tabs>
              <w:spacing w:lineRule="auto" w:line="252" w:before="0" w:after="160"/>
              <w:ind w:hanging="340" w:left="62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Możliwości utworzenia zgłaszania serwisowego w wyniku, którego proces diagnostyki odbędzie się na miejscu w siedzibie zamawiającego.</w:t>
            </w:r>
          </w:p>
          <w:p>
            <w:pPr>
              <w:pStyle w:val="Normal"/>
              <w:numPr>
                <w:ilvl w:val="1"/>
                <w:numId w:val="11"/>
              </w:numPr>
              <w:tabs>
                <w:tab w:val="clear" w:pos="720"/>
                <w:tab w:val="left" w:pos="1416" w:leader="none"/>
              </w:tabs>
              <w:spacing w:lineRule="auto" w:line="259" w:before="0" w:after="160"/>
              <w:ind w:hanging="340" w:left="62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>
            <w:pPr>
              <w:pStyle w:val="Normal"/>
              <w:numPr>
                <w:ilvl w:val="1"/>
                <w:numId w:val="11"/>
              </w:numPr>
              <w:tabs>
                <w:tab w:val="clear" w:pos="720"/>
                <w:tab w:val="left" w:pos="1416" w:leader="none"/>
              </w:tabs>
              <w:spacing w:lineRule="auto" w:line="252" w:before="0" w:after="160"/>
              <w:ind w:hanging="340" w:left="62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Reakcja na miejscu u Zamawiającego powinna nastąpić w okresie zgodnym z czasem reakcji przypisanym do urządzenia, które posiada wykupioną usługę serwisową.</w:t>
            </w:r>
          </w:p>
          <w:p>
            <w:pPr>
              <w:pStyle w:val="Normal"/>
              <w:numPr>
                <w:ilvl w:val="1"/>
                <w:numId w:val="11"/>
              </w:numPr>
              <w:tabs>
                <w:tab w:val="clear" w:pos="720"/>
                <w:tab w:val="left" w:pos="1416" w:leader="none"/>
              </w:tabs>
              <w:spacing w:lineRule="auto" w:line="252" w:before="0" w:after="160"/>
              <w:ind w:hanging="340" w:left="62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>
            <w:pPr>
              <w:pStyle w:val="Normal"/>
              <w:numPr>
                <w:ilvl w:val="1"/>
                <w:numId w:val="11"/>
              </w:numPr>
              <w:tabs>
                <w:tab w:val="clear" w:pos="720"/>
                <w:tab w:val="left" w:pos="1416" w:leader="none"/>
              </w:tabs>
              <w:spacing w:lineRule="auto" w:line="252" w:before="0" w:after="160"/>
              <w:ind w:hanging="340" w:left="624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ind w:hanging="340" w:left="340"/>
              <w:contextualSpacing/>
              <w:rPr/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rPr>
                <w:rFonts w:ascii="Calibri" w:hAnsi="Calibri"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Standard"/>
        <w:widowControl w:val="false"/>
        <w:spacing w:lineRule="auto" w:line="276" w:before="0" w:after="0"/>
        <w:rPr/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 xml:space="preserve">UWAGA!  </w:t>
      </w:r>
    </w:p>
    <w:p>
      <w:pPr>
        <w:pStyle w:val="Standard"/>
        <w:widowControl w:val="false"/>
        <w:spacing w:lineRule="auto" w:line="276" w:before="0" w:after="0"/>
        <w:rPr/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 xml:space="preserve">Należy złożyć wraz z ofertą. 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>Dokument należy wypełnić i podpisać kwalifikowanym podpisem elektronicznym lub podpisem zaufanym lub podpisem osobistym.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  <w:br/>
      </w:r>
      <w:r>
        <w:br w:type="page"/>
      </w:r>
    </w:p>
    <w:p>
      <w:pPr>
        <w:pStyle w:val="Normal"/>
        <w:spacing w:before="0" w:after="0"/>
        <w:jc w:val="right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Załącznik nr 5b  do SWZ</w:t>
      </w:r>
    </w:p>
    <w:p>
      <w:pPr>
        <w:pStyle w:val="Normal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color w:val="000000"/>
          <w:sz w:val="20"/>
          <w:szCs w:val="20"/>
        </w:rPr>
        <w:t>WZP.271.16.2026.AA.MT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Zamawiający :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Gmina Nowogard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Plac Wolności 1</w:t>
      </w:r>
    </w:p>
    <w:p>
      <w:pPr>
        <w:pStyle w:val="Normal"/>
        <w:ind w:firstLine="708" w:left="5664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/>
          <w:color w:val="000000"/>
        </w:rPr>
        <w:t>72-200 Nowogard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………………………………………………</w:t>
      </w:r>
      <w:r>
        <w:rPr>
          <w:rFonts w:cs="Times New Roman" w:ascii="Times New Roman" w:hAnsi="Times New Roman"/>
          <w:color w:val="000000"/>
        </w:rPr>
        <w:t>.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………………………………………………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(nazwa oraz adres Wykonawcy)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 w:before="12" w:after="0"/>
        <w:jc w:val="center"/>
        <w:rPr>
          <w:rFonts w:ascii="Times New Roman" w:hAnsi="Times New Roman" w:cs="Times New Roman"/>
          <w:b/>
          <w:bCs/>
          <w:sz w:val="28"/>
          <w:szCs w:val="28"/>
          <w:shd w:fill="FFFFFF" w:val="clear"/>
          <w:lang w:bidi="hi-IN"/>
        </w:rPr>
      </w:pPr>
      <w:r>
        <w:rPr>
          <w:rFonts w:eastAsia="Times New Roman" w:cs="Times New Roman" w:ascii="Times New Roman" w:hAnsi="Times New Roman"/>
          <w:b/>
          <w:color w:val="000000"/>
        </w:rPr>
        <w:t>Przedmiotowe środki dowodowe składane celem potwierdzenia zgodności ……………………..z opisem przedmiotu zamówienia w postępowaniu pn:</w:t>
      </w:r>
    </w:p>
    <w:p>
      <w:pPr>
        <w:pStyle w:val="Normal"/>
        <w:jc w:val="center"/>
        <w:rPr>
          <w:rFonts w:ascii="Times New Roman" w:hAnsi="Times New Roman" w:eastAsia="Times New Roman" w:cs="Calibri"/>
          <w:b/>
          <w:bCs/>
          <w:color w:val="000000"/>
          <w:sz w:val="28"/>
          <w:szCs w:val="28"/>
        </w:rPr>
      </w:pPr>
      <w:r>
        <w:rPr>
          <w:rStyle w:val="Domylnaczcionkaakapitu4"/>
          <w:rFonts w:eastAsia="Times New Roman" w:cs="Calibri" w:ascii="Times New Roman" w:hAnsi="Times New Roman"/>
          <w:b/>
          <w:bCs/>
          <w:color w:val="000000"/>
          <w:kern w:val="2"/>
          <w:sz w:val="28"/>
          <w:szCs w:val="28"/>
          <w:lang w:bidi="hi-IN"/>
        </w:rPr>
        <w:t>Dostawa i wdrożenie sprzętu informatycznego oraz modernizacja istniejącego środowiska informatycznego wraz z podniesieniem poziomu cyberbezpieczeństwa w ramach konkursu grantowego „Cyberbezpieczny Samorząd” w trzech jednostkach Gminy Nowogard</w:t>
      </w:r>
    </w:p>
    <w:p>
      <w:pPr>
        <w:pStyle w:val="Normal"/>
        <w:jc w:val="center"/>
        <w:rPr>
          <w:rStyle w:val="Domylnaczcionkaakapitu4"/>
          <w:rFonts w:ascii="Times New Roman" w:hAnsi="Times New Roman" w:eastAsia="Times New Roman" w:cs="Calibri"/>
          <w:b/>
          <w:bCs/>
          <w:color w:val="000000"/>
          <w:kern w:val="2"/>
          <w:sz w:val="24"/>
          <w:szCs w:val="24"/>
          <w:u w:val="single"/>
          <w:lang w:bidi="hi-IN"/>
        </w:rPr>
      </w:pPr>
      <w:r>
        <w:rPr>
          <w:rFonts w:eastAsia="Times New Roman" w:cs="Calibri" w:ascii="Times New Roman" w:hAnsi="Times New Roman"/>
          <w:b/>
          <w:bCs/>
          <w:color w:val="000000"/>
          <w:kern w:val="2"/>
          <w:sz w:val="24"/>
          <w:szCs w:val="24"/>
          <w:u w:val="single"/>
          <w:lang w:bidi="hi-IN"/>
        </w:rPr>
      </w:r>
    </w:p>
    <w:p>
      <w:pPr>
        <w:pStyle w:val="Normal"/>
        <w:jc w:val="center"/>
        <w:rPr>
          <w:rFonts w:ascii="Calibri" w:hAnsi="Calibri" w:cs="Calibri"/>
          <w:sz w:val="20"/>
          <w:szCs w:val="20"/>
        </w:rPr>
      </w:pPr>
      <w:r>
        <w:rPr>
          <w:rStyle w:val="Domylnaczcionkaakapitu4"/>
          <w:rFonts w:eastAsia="Times New Roman" w:cs="Calibri" w:ascii="Times New Roman" w:hAnsi="Times New Roman"/>
          <w:b/>
          <w:bCs/>
          <w:color w:val="000000"/>
          <w:kern w:val="2"/>
          <w:sz w:val="24"/>
          <w:szCs w:val="24"/>
          <w:u w:val="single"/>
          <w:lang w:bidi="hi-IN"/>
        </w:rPr>
        <w:t>SERWER TYP 2 (1 sztuka)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tbl>
      <w:tblPr>
        <w:tblW w:w="5000" w:type="pct"/>
        <w:jc w:val="left"/>
        <w:tblInd w:w="6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1241"/>
        <w:gridCol w:w="5573"/>
        <w:gridCol w:w="2546"/>
      </w:tblGrid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solid"/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Parametr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solid"/>
          </w:tcPr>
          <w:p>
            <w:pPr>
              <w:pStyle w:val="Normal"/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Charakterystyka (wymagania minimalne)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solid"/>
          </w:tcPr>
          <w:p>
            <w:pPr>
              <w:pStyle w:val="Normal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i/>
                <w:sz w:val="20"/>
                <w:szCs w:val="20"/>
              </w:rPr>
              <w:t>Parametry oferowane</w:t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Obudowa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lineRule="auto" w:line="252" w:before="0" w:after="160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Obudowa Rack o wysokości max 2U</w:t>
            </w:r>
          </w:p>
          <w:p>
            <w:pPr>
              <w:pStyle w:val="Normal"/>
              <w:numPr>
                <w:ilvl w:val="0"/>
                <w:numId w:val="6"/>
              </w:numPr>
              <w:spacing w:lineRule="auto" w:line="252" w:before="0" w:after="160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16 wnęk na dyski 2.5”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5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lineRule="auto" w:line="252" w:before="0" w:after="160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Obudowa z możliwością wyposażenia w kartę umożliwiającą dostęp bezpośredni poprzez urządzenia mobilne - serwer musi posiadać możliwość konfiguracji oraz monitoringu najważniejszych komponentów serwera przy użyciu dedykowanej aplikacji mobilnej min. (Android/ Apple iOS) przy użyciu jednego z protokołów BLE/ WIFI.</w:t>
            </w:r>
          </w:p>
        </w:tc>
        <w:tc>
          <w:tcPr>
            <w:tcW w:w="2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Kryterium oceny ofert</w:t>
              <w:br/>
              <w:t xml:space="preserve">NIE – 0 punktów </w:t>
              <w:br/>
              <w:t>TAK – 3 punkty</w:t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Płyta główna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7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Płyta główna z możliwością zainstalowania do dwóch procesorów.</w:t>
            </w:r>
          </w:p>
          <w:p>
            <w:pPr>
              <w:pStyle w:val="Normal"/>
              <w:numPr>
                <w:ilvl w:val="0"/>
                <w:numId w:val="7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Obsługa procesorów 144 rdzeniowych.</w:t>
            </w:r>
          </w:p>
          <w:p>
            <w:pPr>
              <w:pStyle w:val="Normal"/>
              <w:numPr>
                <w:ilvl w:val="0"/>
                <w:numId w:val="7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Płyta główna musi być zaprojektowana przez producenta serwera i oznaczona jego znakiem firmowym.</w:t>
            </w:r>
          </w:p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Na płycie głównej powinno znajdować się minimum 32 sloty przeznaczone do instalacji pamięci.</w:t>
            </w:r>
          </w:p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Płyta główna powinna obsługiwać do 8TB pamięci RAM.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>
          <w:trHeight w:val="1076" w:hRule="atLeast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Procesor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Zainstalowane dwa procesory min. 8-rdzeniowe, min. 3.7GHz, klasy x86 dedykowane do pracy z zaoferowanym serwerem umożliwiające osiągnięcie wyniku min. 170 w teście SPECspeed®2017_fp_base, dostępnym na stronie www.spec.org dla konfiguracji dwuprocesorowej oferowanego serwera.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RAM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cs="Calibri" w:ascii="Calibri" w:hAnsi="Calibri"/>
                <w:sz w:val="20"/>
                <w:szCs w:val="20"/>
                <w:lang w:val="en-US"/>
              </w:rPr>
              <w:t>128GB DDR5 RDIMM 6400MT/s,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cs="Calibri" w:ascii="Calibri" w:hAnsi="Calibri"/>
                <w:sz w:val="20"/>
                <w:szCs w:val="20"/>
                <w:lang w:val="en-US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Kontroler RAID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spacing w:lineRule="auto" w:line="252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Sprzętowy kontroler dyskowy, posiadający</w:t>
            </w:r>
          </w:p>
          <w:p>
            <w:pPr>
              <w:pStyle w:val="Normal"/>
              <w:numPr>
                <w:ilvl w:val="1"/>
                <w:numId w:val="8"/>
              </w:numPr>
              <w:spacing w:lineRule="auto" w:line="252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Min. 8GB nieulotnej pamięci cache,</w:t>
            </w:r>
          </w:p>
          <w:p>
            <w:pPr>
              <w:pStyle w:val="Normal"/>
              <w:numPr>
                <w:ilvl w:val="1"/>
                <w:numId w:val="8"/>
              </w:numPr>
              <w:spacing w:lineRule="auto" w:line="252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konfiguracji poziomów RAID: 0, 1, 5, 6, 10, 50, 60.</w:t>
            </w:r>
          </w:p>
          <w:p>
            <w:pPr>
              <w:pStyle w:val="Normal"/>
              <w:numPr>
                <w:ilvl w:val="1"/>
                <w:numId w:val="8"/>
              </w:numPr>
              <w:spacing w:lineRule="auto" w:line="252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Wsparcie dla dysków samoszyfrujących</w:t>
            </w:r>
          </w:p>
          <w:p>
            <w:pPr>
              <w:pStyle w:val="Normal"/>
              <w:numPr>
                <w:ilvl w:val="1"/>
                <w:numId w:val="8"/>
              </w:numPr>
              <w:spacing w:lineRule="auto" w:line="252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Obsługa dysków 22.5 Gbps SAS, 12 Gbps SAS, and 6 Gbps SATA/SAS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Dyski twarde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  <w:t>Zainstalowane:</w:t>
            </w:r>
          </w:p>
          <w:p>
            <w:pPr>
              <w:pStyle w:val="Normal"/>
              <w:numPr>
                <w:ilvl w:val="1"/>
                <w:numId w:val="5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  <w:t>2x dysk SSD SATA o pojemności min. 480GB, Hot-Plug</w:t>
            </w:r>
          </w:p>
          <w:p>
            <w:pPr>
              <w:pStyle w:val="Normal"/>
              <w:numPr>
                <w:ilvl w:val="1"/>
                <w:numId w:val="5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  <w:t>4x dysk SAS o pojemności min. 2.4TB, Hot-Plug</w:t>
            </w:r>
          </w:p>
          <w:p>
            <w:pPr>
              <w:pStyle w:val="Normal"/>
              <w:numPr>
                <w:ilvl w:val="0"/>
                <w:numId w:val="5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zainstalowania dwóch dysków M.2 NVMe SSD o pojemności min. 960GB Hot-Plug z możliwością konfiguracji RAID 1.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Gniazda PCI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Cztery sloty PCIe</w:t>
            </w:r>
          </w:p>
          <w:p>
            <w:pPr>
              <w:pStyle w:val="Normal"/>
              <w:numPr>
                <w:ilvl w:val="0"/>
                <w:numId w:val="13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  <w:t>Dwa sloty OCP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sz w:val="20"/>
                <w:szCs w:val="20"/>
                <w:lang w:val="de-DE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4 interfejsy sieciowe 1Gb Ethernet w standardzie BaseT (porty nie mogą być osiągnięte poprzez karty w slotach PCIe)</w:t>
            </w:r>
          </w:p>
          <w:p>
            <w:pPr>
              <w:pStyle w:val="Normal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Dwuportowa karta sieciowa 25Gb Ethernet w standardzie SFP28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b/>
                <w:sz w:val="20"/>
                <w:szCs w:val="20"/>
                <w:lang w:val="de-DE"/>
              </w:rPr>
              <w:t>Wbudowane porty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4 porty USB w tym min:</w:t>
            </w:r>
          </w:p>
          <w:p>
            <w:pPr>
              <w:pStyle w:val="Normal"/>
              <w:numPr>
                <w:ilvl w:val="1"/>
                <w:numId w:val="3"/>
              </w:numPr>
              <w:spacing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1 port USB 2.0 Type-C</w:t>
            </w:r>
          </w:p>
          <w:p>
            <w:pPr>
              <w:pStyle w:val="Normal"/>
              <w:numPr>
                <w:ilvl w:val="1"/>
                <w:numId w:val="3"/>
              </w:numPr>
              <w:spacing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2 porty USB 3.1</w:t>
            </w:r>
          </w:p>
          <w:p>
            <w:pPr>
              <w:pStyle w:val="Normal"/>
              <w:numPr>
                <w:ilvl w:val="1"/>
                <w:numId w:val="3"/>
              </w:numPr>
              <w:spacing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1 port USB 3.0 wewnątrz obudowy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Port VGA z tyłu obudowy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cs="Calibri" w:ascii="Calibri" w:hAnsi="Calibri"/>
                <w:b/>
                <w:sz w:val="20"/>
                <w:szCs w:val="20"/>
                <w:lang w:val="de-DE"/>
              </w:rPr>
              <w:t>Video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Zintegrowana karta graficzna umożliwiająca wyświetlenie rozdzielczości min. 1920x1200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Zasilacze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Redundantne, Hot-Plug min. 1500W klasy Titanium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Elementy montażowe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Komplet wysuwanych szyn umożliwiających montaż w szafie rack i wysuwanie serwera do celów serwisowych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Ramię (organizer) do kabli ułatwiające wysuwanie serwera do celów serwisowych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b/>
                <w:bCs/>
                <w:sz w:val="20"/>
                <w:szCs w:val="20"/>
              </w:rPr>
              <w:t>System operacyjny/dodatkowe oprogramowanie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242" w:leader="none"/>
              </w:tabs>
              <w:spacing w:before="0" w:after="0"/>
              <w:ind w:left="397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 xml:space="preserve">Microsoft Windows Server 2025 Standard lub Datacenter </w:t>
              <w:br/>
              <w:t>lub rozwiązanie równoważne.</w:t>
            </w:r>
          </w:p>
          <w:p>
            <w:pPr>
              <w:pStyle w:val="Normal"/>
              <w:tabs>
                <w:tab w:val="clear" w:pos="720"/>
                <w:tab w:val="left" w:pos="242" w:leader="none"/>
              </w:tabs>
              <w:spacing w:before="0" w:after="0"/>
              <w:ind w:left="397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20"/>
                <w:tab w:val="left" w:pos="242" w:leader="none"/>
              </w:tabs>
              <w:spacing w:before="0" w:after="0"/>
              <w:ind w:left="397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 przypadku zaoferowania systemu Microsoft Windows Server 2025 Standard liczba dostarczonych licencji musi zostać dobrana w sposób zapewniający, zgodnie z zasadami licencjonowania producenta, możliwość legalnego uruchomienia minimum 8 maszyn wirtualnych w środowisku CUS i ZEAS.</w:t>
            </w:r>
          </w:p>
          <w:p>
            <w:pPr>
              <w:pStyle w:val="Normal"/>
              <w:tabs>
                <w:tab w:val="clear" w:pos="720"/>
                <w:tab w:val="left" w:pos="242" w:leader="none"/>
              </w:tabs>
              <w:spacing w:before="0" w:after="0"/>
              <w:ind w:left="397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20"/>
                <w:tab w:val="left" w:pos="242" w:leader="none"/>
              </w:tabs>
              <w:spacing w:before="0" w:after="0"/>
              <w:ind w:left="397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 przypadku zaoferowania systemu Microsoft Windows Server 2025 Datacenter liczba dostarczonych licencji musi zostać dobrana w sposób zapewniający zgodne z warunkami producenta uruchomienie wszystkich maszyn wirtualnych przewidzianych do wdrożenia.</w:t>
            </w:r>
          </w:p>
          <w:p>
            <w:pPr>
              <w:pStyle w:val="Normal"/>
              <w:tabs>
                <w:tab w:val="clear" w:pos="720"/>
                <w:tab w:val="left" w:pos="242" w:leader="none"/>
              </w:tabs>
              <w:spacing w:before="0" w:after="0"/>
              <w:ind w:left="397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20"/>
                <w:tab w:val="left" w:pos="242" w:leader="none"/>
              </w:tabs>
              <w:spacing w:before="0" w:after="0"/>
              <w:ind w:left="397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Przez rozwiązanie równoważne Zamawiający rozumie system operacyjny zapewniający co najmniej: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val="en-US"/>
              </w:rPr>
              <w:t>pełną obsługę usług Active Directory Domain Services (AD DS),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obsługę usług DNS oraz DHCP,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obsługę zasad grup (Group Policy),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pracy jako kontroler domeny Active Directory,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obsługę środowiska wirtualizacji Hyper-V lub rozwiązania równoważnego,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obsługę funkcji Failover Clustering,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obsługę funkcji Storage Replica,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integrację z usługami katalogowymi Active Directory,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współpracę z bazami danych Microsoft SQL Server,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współpracę z systemami SIEM, NAC oraz rozwiązaniami monitoringu przewidzianymi w projekcie,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centralnego zarządzania aktualizacjami systemowymi,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integracji z mechanizmami uwierzytelniania wieloskładnikowego (MFA),</w:t>
            </w:r>
          </w:p>
          <w:p>
            <w:pPr>
              <w:pStyle w:val="Normal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pracy w środowisku kopii zapasowych oraz odtwarzania awaryjnego wdrażanym w ramach projektu.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Zatrzask górnej pokrywy oraz blokada na ramce panela zamykana na klucz służąca do ochrony nieautoryzowanego dostępu do dysków twardych.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wyłączenia w BIOS funkcji przycisku zasilania.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BIOS ma możliwość przejścia do bezpiecznego trybu rozruchowego z możliwością zarządzania blokadą zasilania, panelem sterowania oraz zmianą hasła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Wbudowany czujnik otwarcia obudowy współpracujący z BIOS i kartą zarządzającą.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Moduł TPM 2.0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5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spacing w:before="0" w:after="0"/>
              <w:contextualSpacing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Możliwość dynamicznego włączania i wyłączania portów USB na obudowie – bez potrzeby restartu serwera</w:t>
            </w:r>
          </w:p>
        </w:tc>
        <w:tc>
          <w:tcPr>
            <w:tcW w:w="2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Kryterium oceny ofert</w:t>
              <w:br/>
              <w:t xml:space="preserve">NIE – 0 punktów </w:t>
              <w:br/>
              <w:t>TAK – 3 punkty</w:t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Niezależna od zainstalowanego na serwerze systemu operacyjnego posiadająca dedykowane port RJ-45 Gigabit Ethernet umożliwiająca: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zdalny dostęp do graficznego interfejsu Web karty zarządzającej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szyfrowane połączenie (TLS) oraz autentykacje i autoryzację użytkownika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IPv6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SNMP; IPMI2.0, VLAN tagging, SSH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automatycznej rejestracji DNS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wsparcie dla LLDP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zarządzania bezpośredniego poprzez złącze USB umieszczone na froncie obudowy.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Monitorowanie zużycia dysków SSD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przywrócenia poprzednich wersji firmware</w:t>
            </w:r>
          </w:p>
          <w:p>
            <w:pPr>
              <w:pStyle w:val="Normal"/>
              <w:spacing w:lineRule="auto" w:line="252"/>
              <w:ind w:left="1080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rozszerzenia funkcjonalności o: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integracja z Active Directory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podmontowania zdalnych wirtualnych napędów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wirtualną konsolę z dostępem do myszy, klawiatury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obsługi przez sześciu administratorów jednocześnie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wysyłanie do administratora maila z powiadomieniem o awarii lub zmianie konfiguracji sprzętowej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zdalnego monitorowania w czasie rzeczywistym poboru prądu przez serwer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wykrywania odchyleń konfiguracji na poziomie konfiguracji UEFI oraz wersji firmware serwera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kontrola stanu BIOS pod kątem naruszenia integralności oprogramowania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modyfikacji reguł chłodzenia kart w slotach PCIe, z możliwością własnych ustawień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ustawienia limitu temperatury powietrza wychodzącego z serwera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Automatyczne zgłaszanie alertów do centrum serwisowego producenta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Automatyczne update firmware dla wszystkich komponentów serwera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ustawienia dopuszczalnego wzrostu temperatury powietrza przepływającego przez serwer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ustawienia maksymalnej temperatury powietrza dochodzącego do slotów PCIe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zdalnego ustawienia limitu poboru prądu przez konkretny serwer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eksportu eksportu/importu konfiguracji (ustawienie karty zarządzającej, BIOSu, kart sieciowych, HBA oraz konfiguracji kontrolera RAID) serwera do pliku XML lub JSON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zaimportowania ustawień, poprzez bezpośrednie podłączenie plików konfiguracyjnych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Automatyczne tworzenie kopii ustawień serwera w opraciu o harmonogram.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wysyłania danych o stanie procesora, kart sieciowych, zasilaczy, kart GPU, lokalnych dysków i urządzeń NVMe, jak również dane wydajnościowe serwera do zewnętrznych narzędzi analitycznych jak Splunk, Grafana, ElasticSearch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możliwość wykorzystania tokenu lub aplikacji SecurID do uwierzytelniania wielkoskładnikowego przy logowaniu do karty zarządzającej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Automatyczne odświeżanie certyfikatów SSL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2" w:before="0" w:after="0"/>
              <w:contextualSpacing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monitorowanie przepływu powietrza na bieżąco (w CFM)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textAlignment w:val="baseline"/>
              <w:rPr>
                <w:rFonts w:cs="Aptos" w:cstheme="minorHAnsi"/>
              </w:rPr>
            </w:pPr>
            <w:r>
              <w:rPr>
                <w:rFonts w:cs="Aptos" w:cstheme="minorHAnsi"/>
              </w:rPr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Oprogramowanie do zarządzania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Wsparcie dla serwerów, urządzeń sieciowych oraz pamięci masowych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integracja z Active Directory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zarządzania dostarczonymi serwerami bez udziału dedykowanego agenta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Wsparcie dla protokołów SNMP, IPMI, Linux SSH, Redfish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uruchamiania procesu wykrywania urządzeń w oparciu o harmonogram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Szczegółowy opis wykrytych systemów oraz ich komponentów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eksportu raportu do CSV, HTML, XLS, PDF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tworzenia własnych raportów w oparciu o wszystkie informacje zawarte w inwentarzu.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Grupowanie urządzeń w oparciu o kryteria użytkownika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Tworzenie automatycznie grup urządzeń w oparciu o dowolny element konfiguracji serwera np. Nazwa, lokalizacja, system operacyjny, obsadzenie slotów PCIe, pozostałego czasu gwarancji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uruchamiania narzędzi zarządzających w poszczególnych urządzeniach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Szybki podgląd stanu środowiska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Podsumowanie stanu dla każdego urządzenia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Szczegółowy status urządzenia/elementu/komponentu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Generowanie alertów przy zmianie stanu urządzenia.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Filtry raportów umożliwiające podgląd najważniejszych zdarzeń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Integracja z service desk producenta dostarczonej platformy sprzętowej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przejęcia zdalnego pulpitu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podmontowania wirtualnego napędu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Kreator umożliwiający dostosowanie akcji dla wybranych alertów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importu plików MIB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Przesyłanie alertów „as-is” do innych konsol firm trzecich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definiowania ról administratorów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zdalnej aktualizacji oprogramowania wewnętrznego serwerów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instalacji oprogramowania wewnętrznego bez potrzeby instalacji agenta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Wdrażanie serwerów, rozwiązań modularnych oraz przełączników sieciowych w oparciu o profile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Zdalne uruchamianie diagnostyki serwera.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Oprogramowanie dostarczane jako wirtualny appliance dla KVM, ESXi i Hyper-V.</w:t>
            </w:r>
          </w:p>
          <w:p>
            <w:pPr>
              <w:pStyle w:val="Normal"/>
              <w:numPr>
                <w:ilvl w:val="1"/>
                <w:numId w:val="2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Integracja z środowiskiem VMware vCenter pozwalająca z konsoli/plugin: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wykonać zautomatyzowaną aktualizację firmware serwerów w klastrze  Vmware do zdefiniowanej polityki poziomu mikrokodów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wykonać/zweryfikować konfigurację serwera zgodną ze zdefiniowaną polityka konfiguracji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 konsoli vCenter uruchomić zdalną konsolę graficzną serwera (nawet gdy nie jest uruchomiony na serwerze system operacyjny)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inwentaryzacja komponentów w serwerze i ich mikrokodów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historia poboru mocy i temperatury serwera</w:t>
            </w:r>
          </w:p>
          <w:p>
            <w:pPr>
              <w:pStyle w:val="Normal"/>
              <w:numPr>
                <w:ilvl w:val="2"/>
                <w:numId w:val="2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zbieranie danych diagnostycznych serwera do paczki serwisowej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Kryterium oceny ofert</w:t>
              <w:br/>
              <w:t xml:space="preserve">NIE – 0 punktów </w:t>
              <w:br/>
              <w:t>TAK – 3 punkty</w:t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Oprogramowanie do monitorowania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Oparta na chmurze aplikacja Producenta oferowanego urządzenia, która zapewnia proaktywne monitorowanie i rozwiązywanie problemów infrastruktury IT oraz integrację z posiadaną platformą wirtualizacji VMware. Zaproponowane rozwiązanie musi posiadać następujące funkcjonalności:</w:t>
            </w:r>
          </w:p>
          <w:p>
            <w:pPr>
              <w:pStyle w:val="Normal"/>
              <w:numPr>
                <w:ilvl w:val="0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Monitoring: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ilość podłączonych oraz rozłączonych systemów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stan podłączonych urządzeń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potencjalnych zagrożeniach związanych z cyberbezpieczeństwem w oparciu o najlepsze praktyki i szczegółową analizę posiadanych systemów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alertach z podziałem na minimum: krytyczne, błędy, ostrzeżenia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statusie gwarancji dla poszczególnych urządzeń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stanie licencji na posiadane oprogramowanie rozszerzające funkcjonalności urządzeń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w oparciu o dane historyczne umożliwiające określenie trendów krótko- i długoterminowej prognozy wykorzystania przestrzeni na pamięciach masowych.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Wykrywanie anomalii w oparciu o analizę zajętości przestrzeni na pamięciach masowych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Monitorowanie wydajności, przepustowości oraz opóźnień dla systemy pamięci masowych.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Zaimplementowana analityka predykcyjna umożliwiająca określenie szacowanego czasu awarii dla optyki przełączników FC.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Szczegółowe informacje dla serwerów o modelu, konfiguracji, wersjach firmware poszczególnych komponentów adresacji IP karty zarządzającej.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Monitoring parametrów serwerów z informacją o minimum: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Obciążeniu procesora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Zużyciu pamięci RAM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Temperaturze procesorów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Temperaturze powietrza wlotowego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Zużyciu prądu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Zmianach w fizycznej konfiguracji serwera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Dla wszystkich wymienionych parametrów muszą być dostępne dane historyczne oraz automatycznie generowana informacja o anomaliach.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Monitoring parametrów pamięci masowych z informacją o minimum: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Opóźnieniach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IOPS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Przepustowości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Utylizacji kontrolerów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Pojemność całkowita i dostępna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Wszystkie informacje muszą być dostępne zarówno dla całej pamięci masowej jak i poszczególnych LUN-ów.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Dane historyczne o wykorzystaniu przestrzeni pamięci masowej muszą być przechowywane co najmniej 2 lata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poziomie redukcji danych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Informacje o statusie replikacji oraz snapshotów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Monitoring parametrów przełączników sieciowych z informacją o minimum: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Modelu, oprogramowania, adresacji IP, MAC adres, nr seryjny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Stanie komponentów: zasilacze, wentylatory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Podłączonych hostach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Ilości i statusu portów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Utylizacji procesora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Utylizacji poszczególnych portów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Aktualizacja firmware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aktualizcji firmware, oprogramowania zarządzającego dla systemów pamięci masowych, wraz z informacją o zalecanych wersjach oprogramowania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aktualizcji firmware, oprogramowania zarządzającego dla serwerów, wraz z informacją o zalecanych wersjach oprogramowania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aktualizcji firmware, oprogramowania zarządzającego dla rozwiazań HCI, wraz z informacją o zalecanych wersjach oprogramowania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aktualizcji firmware, dla systemów przełączników FC, wraz z informacją o zalecanych wersjach oprogramowania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aktualizcji firmware, dla deduplikatorów, wraz z informacją o zalecanych wersjach oprogramowania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Raporty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generowania raportów dla serwerów zawierających informację o: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Średnim obciążeniu: procesorów, pamięci RAM, IO,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generowania raportów dla systemów pamięci masowych zawierających informację o:</w:t>
            </w:r>
          </w:p>
          <w:p>
            <w:pPr>
              <w:pStyle w:val="Normal"/>
              <w:numPr>
                <w:ilvl w:val="2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Nazwie, nr seryjnym, lokalizacji urządzenia, modelu urządzenia, wersji oprogramowania, zajętości systemu oraz poziomu redukcją danych, informacje o utworzonych LUN-ach i systemach pliku, status replikacji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Generowanie raportów do plików CSV i PDF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Cyberbezpieczeństwo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Analiza środowiska w oparciu o najlepsze praktyki dotyczące cyberbezpieczeństwa sprawdzająca stan poszczególnych urządzeń w środowisku i przypisujący im odpowiedni wynik bezpieczeństwa. System musi informować administratora o wykrytych lukach bezpieczeństwa oraz sposobie ich zabezpieczenia.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Musi istnieć możliwość tworzenia własnych polityk bezpieczeństwa w oparciu o wzorce dla poszczególnych urządzeń.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Stała analiza środowiska IT umożliwiająca wykrycie ataku ransomware na podstawie analizy posiadanych danych.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przypisania dedykowanych ról dla poszczególnych administratorów.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Wspierane urządzenia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Urządzenie Producenta dostarczane w ramach postępowania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Posiadane przez Zamawiającego serwery, urządzenia pamięci masowych, przełączniki sieciowe, przełączniki SAN, rozwiązania HCI, deduplikatory Producenta oferowanego urządzenia (jeśli takie są w posiadaniu Zamawiającego)</w:t>
            </w:r>
          </w:p>
          <w:p>
            <w:pPr>
              <w:pStyle w:val="Normal"/>
              <w:numPr>
                <w:ilvl w:val="0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Wirtualny asystent</w:t>
            </w:r>
          </w:p>
          <w:p>
            <w:pPr>
              <w:pStyle w:val="Normal"/>
              <w:numPr>
                <w:ilvl w:val="1"/>
                <w:numId w:val="12"/>
              </w:numPr>
              <w:spacing w:lineRule="auto" w:line="259" w:before="0" w:after="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Wbudowana w platformę funkcjonalność wirtualnego asystenta w oparciu o algorytmy GenAI przy dostępie do bazy wiedzy producenta urządzeń oraz analizie danych z monitoringu poszczególnych elementów infrastruktury;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rozszerzenia funkcjonalności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rozbudowy systemu o zintegrowane i dodatkowe płatne moduły do monitoringu aplikacji oraz zarządzania incydentami w ramach infrastruktury IT.</w:t>
            </w:r>
          </w:p>
          <w:p>
            <w:pPr>
              <w:pStyle w:val="Normal"/>
              <w:numPr>
                <w:ilvl w:val="0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Inne</w:t>
            </w:r>
          </w:p>
          <w:p>
            <w:pPr>
              <w:pStyle w:val="Normal"/>
              <w:numPr>
                <w:ilvl w:val="1"/>
                <w:numId w:val="12"/>
              </w:numPr>
              <w:spacing w:before="0" w:after="0"/>
              <w:contextualSpacing/>
              <w:jc w:val="both"/>
              <w:textAlignment w:val="baseline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Oferowana platforma musi posiadać dedykowaną aplikację na urządzenia iOS oraz Android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Kryterium oceny ofert</w:t>
              <w:br/>
              <w:t xml:space="preserve">NIE – 0 punktów </w:t>
              <w:br/>
              <w:t>TAK – 3 punkty</w:t>
            </w:r>
          </w:p>
        </w:tc>
      </w:tr>
      <w:tr>
        <w:trPr/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Serwer musi być wyprodukowany zgodnie z normą ISO-9001:2015, ISO-50001 oraz ISO-14001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Serwer musi posiadać deklaracja CE.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</w:t>
            </w:r>
            <w:hyperlink r:id="rId3">
              <w:r>
                <w:rPr>
                  <w:rStyle w:val="Hyperlink"/>
                  <w:rFonts w:cs="Calibri" w:ascii="Calibri" w:hAnsi="Calibri"/>
                  <w:color w:val="auto"/>
                  <w:sz w:val="20"/>
                  <w:szCs w:val="20"/>
                </w:rPr>
                <w:t>www.epeat.net</w:t>
              </w:r>
            </w:hyperlink>
            <w:r>
              <w:rPr>
                <w:rFonts w:cs="Calibri" w:ascii="Calibri" w:hAnsi="Calibri"/>
                <w:sz w:val="20"/>
                <w:szCs w:val="20"/>
              </w:rPr>
              <w:t xml:space="preserve"> potwierdzający spełnienie normy co najmniej Epeat Silver, dla kraju, w którym produkt będzie użytkowany, według normy wprowadzonej w 2019 roku - </w:t>
            </w: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Wykonawca złoży dokument potwierdzający spełnianie wymogu.</w:t>
            </w:r>
          </w:p>
          <w:p>
            <w:pPr>
              <w:pStyle w:val="Normal"/>
              <w:numPr>
                <w:ilvl w:val="0"/>
                <w:numId w:val="4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Oferowany serwer musi znajdować się na liście Windows Server Catalog i posiadać status „Certified for Windows” dla systemów Microsoft Windows Server 2022, Microsoft Windows Server 2025.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>
          <w:trHeight w:val="530" w:hRule="atLeast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Zamawiający wymaga dokumentacji w języku polskim lub angi</w:t>
            </w:r>
            <w:r>
              <w:rPr>
                <w:rFonts w:cs="Calibri" w:ascii="Calibri" w:hAnsi="Calibri"/>
                <w:i/>
                <w:sz w:val="20"/>
                <w:szCs w:val="20"/>
              </w:rPr>
              <w:t>e</w:t>
            </w:r>
            <w:r>
              <w:rPr>
                <w:rFonts w:cs="Calibri" w:ascii="Calibri" w:hAnsi="Calibri"/>
                <w:sz w:val="20"/>
                <w:szCs w:val="20"/>
              </w:rPr>
              <w:t>lskim.</w:t>
            </w:r>
          </w:p>
          <w:p>
            <w:pPr>
              <w:pStyle w:val="Normal"/>
              <w:numPr>
                <w:ilvl w:val="0"/>
                <w:numId w:val="4"/>
              </w:numPr>
              <w:spacing w:lineRule="auto" w:line="252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Warunki gwarancji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wymaga zapewnienia gwarancji Producenta z zakresu wdrażanej technologii na okres 3 lat.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zh-CN"/>
              </w:rPr>
              <w:t>Możliwość bezpłatnego pobierania aktualizacji firmware, BIOS i sterowników po wygaśnięciu gwarancji.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możliwości zgłaszania zdarzeń serwisowych w trybie 24/7/365 następującymi kanałami: telefonicznie, przez Internet.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bezpośredniego dostępu do wykwalifikowanej kadry inżynierów technicznych a w przypadku konieczności eskalacji zgłoszenia serwisowego wyznaczonego Kierownika Eskalacji po stronie Producenta (dla krytycznych zgłoszeń serwisowych)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wymaga pojedynczego punktu kontaktu dla całego rozwiązania Producenta, w tym także sprzedanego oprogramowania.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Zgłoszenie przyjęte jest potwierdzane przez zespół pomocy technicznej (mail/telefon/portal) przez nadanie unikalnego numeru zgłoszenia pozwalającego na identyfikację zgłoszenia w trakcie realizacji naprawy i po jej zakończeniu.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możliwości samodzielnego kwalifikowania poziomu ważności naprawy.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Certyfikowany Technik Producenta z właściwym zestawem części do naprawy (potwierdzonym na etapie diagnostyki) powinien rozpocząć naprawę w siedzibie zamawiającego najpóźniej w następnym dniu roboczym (NBD) od zakończenia diagnostyki.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Naprawa ma się odbyć w siedzibie zamawiającego, chyba, że zamawiający dla danej naprawy zgodzi się na inną formę.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rozszerzenia gwarancji producenta o usługę diagnostyki sprzętu na miejscu w przypadku awarii. Charakterystyka usługi diagnostyki:</w:t>
            </w:r>
          </w:p>
          <w:p>
            <w:pPr>
              <w:pStyle w:val="Normal"/>
              <w:numPr>
                <w:ilvl w:val="1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Możliwości utworzenia zgłaszania serwisowego w wyniku, którego proces diagnostyki odbędzie się na miejscu w siedzibie zamawiającego.</w:t>
            </w:r>
          </w:p>
          <w:p>
            <w:pPr>
              <w:pStyle w:val="Normal"/>
              <w:numPr>
                <w:ilvl w:val="1"/>
                <w:numId w:val="11"/>
              </w:numPr>
              <w:spacing w:lineRule="auto" w:line="259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>
            <w:pPr>
              <w:pStyle w:val="Normal"/>
              <w:numPr>
                <w:ilvl w:val="1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Reakcja na miejscu u Zamawiającego powinna nastąpić w okresie zgodnym z czasem reakcji przypisanym do urządzenia, które posiada wykupioną usługę serwisową.</w:t>
            </w:r>
          </w:p>
          <w:p>
            <w:pPr>
              <w:pStyle w:val="Normal"/>
              <w:numPr>
                <w:ilvl w:val="1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>
            <w:pPr>
              <w:pStyle w:val="Normal"/>
              <w:numPr>
                <w:ilvl w:val="1"/>
                <w:numId w:val="11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>
            <w:pPr>
              <w:pStyle w:val="Normal"/>
              <w:numPr>
                <w:ilvl w:val="0"/>
                <w:numId w:val="11"/>
              </w:numPr>
              <w:spacing w:lineRule="auto" w:line="259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Standard"/>
        <w:widowControl w:val="false"/>
        <w:spacing w:lineRule="auto" w:line="276" w:before="0" w:after="0"/>
        <w:rPr/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 xml:space="preserve">UWAGA!  </w:t>
      </w:r>
    </w:p>
    <w:p>
      <w:pPr>
        <w:pStyle w:val="Standard"/>
        <w:widowControl w:val="false"/>
        <w:spacing w:lineRule="auto" w:line="276" w:before="0" w:after="0"/>
        <w:rPr/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 xml:space="preserve">Należy złożyć wraz z ofertą. </w:t>
      </w:r>
    </w:p>
    <w:p>
      <w:pPr>
        <w:pStyle w:val="Standard"/>
        <w:widowControl w:val="false"/>
        <w:spacing w:lineRule="auto" w:line="276" w:before="0" w:after="0"/>
        <w:rPr/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>Dokument należy wypełnić i podpisać kwalifikowanym podpisem elektronicznym lub podpisem zaufanym lub podpisem osobistym.</w:t>
      </w:r>
      <w:r>
        <w:br w:type="page"/>
      </w:r>
    </w:p>
    <w:p>
      <w:pPr>
        <w:pStyle w:val="Normal"/>
        <w:spacing w:before="0" w:after="0"/>
        <w:jc w:val="right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Załącznik nr 5c  do SWZ</w:t>
      </w:r>
    </w:p>
    <w:p>
      <w:pPr>
        <w:pStyle w:val="Normal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color w:val="000000"/>
          <w:sz w:val="20"/>
          <w:szCs w:val="20"/>
        </w:rPr>
        <w:t>WZP.271.16.2026.AA.MT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Zamawiający :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Gmina Nowogard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Plac Wolności 1</w:t>
      </w:r>
    </w:p>
    <w:p>
      <w:pPr>
        <w:pStyle w:val="Normal"/>
        <w:ind w:firstLine="708" w:left="5664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/>
          <w:color w:val="000000"/>
        </w:rPr>
        <w:t>72-200 Nowogard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………………………………………………</w:t>
      </w:r>
      <w:r>
        <w:rPr>
          <w:rFonts w:cs="Times New Roman" w:ascii="Times New Roman" w:hAnsi="Times New Roman"/>
          <w:color w:val="000000"/>
        </w:rPr>
        <w:t>.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………………………………………………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(nazwa oraz adres Wykonawcy)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 w:before="12" w:after="0"/>
        <w:jc w:val="center"/>
        <w:rPr>
          <w:rFonts w:ascii="Times New Roman" w:hAnsi="Times New Roman" w:cs="Times New Roman"/>
          <w:b/>
          <w:bCs/>
          <w:sz w:val="28"/>
          <w:szCs w:val="28"/>
          <w:shd w:fill="FFFFFF" w:val="clear"/>
          <w:lang w:bidi="hi-IN"/>
        </w:rPr>
      </w:pPr>
      <w:r>
        <w:rPr>
          <w:rFonts w:eastAsia="Times New Roman" w:cs="Times New Roman" w:ascii="Times New Roman" w:hAnsi="Times New Roman"/>
          <w:b/>
          <w:color w:val="000000"/>
        </w:rPr>
        <w:t>Przedmiotowe środki dowodowe składane celem potwierdzenia zgodności ……………………..z opisem przedmiotu zamówienia w postępowaniu pn:</w:t>
      </w:r>
    </w:p>
    <w:p>
      <w:pPr>
        <w:pStyle w:val="Normal"/>
        <w:jc w:val="center"/>
        <w:rPr>
          <w:rFonts w:ascii="Times New Roman" w:hAnsi="Times New Roman" w:eastAsia="Times New Roman" w:cs="Calibri"/>
          <w:b/>
          <w:bCs/>
          <w:color w:val="000000"/>
          <w:sz w:val="28"/>
          <w:szCs w:val="28"/>
        </w:rPr>
      </w:pPr>
      <w:r>
        <w:rPr>
          <w:rStyle w:val="Domylnaczcionkaakapitu4"/>
          <w:rFonts w:eastAsia="Times New Roman" w:cs="Calibri" w:ascii="Times New Roman" w:hAnsi="Times New Roman"/>
          <w:b/>
          <w:bCs/>
          <w:color w:val="000000"/>
          <w:kern w:val="2"/>
          <w:sz w:val="28"/>
          <w:szCs w:val="28"/>
          <w:lang w:bidi="hi-IN"/>
        </w:rPr>
        <w:t>Dostawa i wdrożenie sprzętu informatycznego oraz modernizacja istniejącego środowiska informatycznego wraz z podniesieniem poziomu cyberbezpieczeństwa w ramach konkursu grantowego „Cyberbezpieczny Samorząd” w trzech jednostkach Gminy Nowogard</w:t>
      </w:r>
    </w:p>
    <w:p>
      <w:pPr>
        <w:pStyle w:val="Normal"/>
        <w:jc w:val="center"/>
        <w:rPr>
          <w:rStyle w:val="Domylnaczcionkaakapitu4"/>
          <w:rFonts w:ascii="Times New Roman" w:hAnsi="Times New Roman" w:eastAsia="Times New Roman" w:cs="Calibri"/>
          <w:b/>
          <w:bCs/>
          <w:color w:val="000000"/>
          <w:kern w:val="2"/>
          <w:sz w:val="24"/>
          <w:szCs w:val="24"/>
          <w:u w:val="single"/>
          <w:lang w:bidi="hi-IN"/>
        </w:rPr>
      </w:pPr>
      <w:r>
        <w:rPr>
          <w:rFonts w:eastAsia="Times New Roman" w:cs="Calibri" w:ascii="Times New Roman" w:hAnsi="Times New Roman"/>
          <w:b/>
          <w:bCs/>
          <w:color w:val="000000"/>
          <w:kern w:val="2"/>
          <w:sz w:val="24"/>
          <w:szCs w:val="24"/>
          <w:u w:val="single"/>
          <w:lang w:bidi="hi-IN"/>
        </w:rPr>
      </w:r>
    </w:p>
    <w:p>
      <w:pPr>
        <w:pStyle w:val="Normal"/>
        <w:jc w:val="center"/>
        <w:rPr/>
      </w:pPr>
      <w:r>
        <w:rPr>
          <w:rStyle w:val="Domylnaczcionkaakapitu4"/>
          <w:rFonts w:eastAsia="Times New Roman" w:ascii="Times New Roman" w:hAnsi="Times New Roman"/>
          <w:b/>
          <w:bCs/>
          <w:color w:val="000000"/>
          <w:kern w:val="2"/>
          <w:sz w:val="24"/>
          <w:szCs w:val="24"/>
          <w:u w:val="single"/>
          <w:lang w:bidi="hi-IN"/>
        </w:rPr>
        <w:t>MACIERZ DYSKOWA (1 sztuka)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tbl>
      <w:tblPr>
        <w:tblW w:w="949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108"/>
        <w:gridCol w:w="5755"/>
        <w:gridCol w:w="2635"/>
      </w:tblGrid>
      <w:tr>
        <w:trPr>
          <w:trHeight w:val="528" w:hRule="atLeast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000000" w:themeFill="text1" w:val="clear"/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Parametr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000000" w:themeFill="text1" w:val="clear"/>
          </w:tcPr>
          <w:p>
            <w:pPr>
              <w:pStyle w:val="Normal"/>
              <w:jc w:val="both"/>
              <w:rPr>
                <w:rFonts w:ascii="Calibri" w:hAnsi="Calibri" w:cs="Calibri"/>
                <w:b/>
                <w:color w:themeColor="text1" w:val="000000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Charakterystyka (wymagania minimalne)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000000" w:themeFill="text1" w:val="clear"/>
          </w:tcPr>
          <w:p>
            <w:pPr>
              <w:pStyle w:val="Normal"/>
              <w:jc w:val="both"/>
              <w:rPr>
                <w:rFonts w:ascii="Calibri" w:hAnsi="Calibri" w:cs="Calibri"/>
                <w:b/>
                <w:color w:themeColor="text1" w:val="000000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themeColor="text1" w:val="000000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Typ obudowy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 xml:space="preserve">Macierz musi być przystosowana do montażu w szafie rack 19”, </w:t>
              <w:br/>
              <w:t>o wysokość maksymalnie 2U z możliwością instalacji min. 12 dysków 3.5”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Przestrzeń dyskowa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Zainstalowane: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7x dysk SAS o pojemności min. 12TB, Hot-Plug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4x dysk SSD SAS o pojemności min. 1.92TB, Hot-Plug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rozbudowy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rozbudowę (bez wymiany kontrolerów macierzy), do co najmniej 264 dysków twardych.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Obsługa dysków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mieć możliwość obsługiwania dysków SSD, SAS i Nearline SAS. Macierz musi umożliwiać mieszanie napędów dyskowych SSD, SAS i NL SAS w obrębie pojedynczej półki dyskowej. Macierz musi obsługiwać dyski 2,5” jak również 3,5”.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Sposób zabezpieczenia danych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obsługiwać mechanizmy RAID zgodne z RAID0, RAID1, RAID10, RAID5, RAID6 oraz RAID z tzw. rozproszoną wolną pojemnością, realizowane sprzętowo za pomocą dedykowanego układu, z możliwością dowolnej ich kombinacji w obrębie oferowanej macierzy i z wykorzystaniem wszystkich dysków (tzw. wide-striping).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definiowanie globalnych dysków spare</w:t>
            </w:r>
            <w:r>
              <w:rPr>
                <w:rFonts w:cs="Calibri" w:ascii="Calibri" w:hAnsi="Calibri"/>
                <w:bCs/>
                <w:sz w:val="20"/>
                <w:szCs w:val="20"/>
              </w:rPr>
              <w:t xml:space="preserve"> oraz dedykowanie dysków spare do konkretnych grup RAID</w:t>
            </w:r>
            <w:r>
              <w:rPr>
                <w:rFonts w:cs="Calibri" w:ascii="Calibri" w:hAnsi="Calibri"/>
                <w:sz w:val="20"/>
                <w:szCs w:val="20"/>
              </w:rPr>
              <w:t>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również oferować możliwość zdefiniowania grup dyskowych z tzw. rozproszoną wolną pojemnością, która nie wykorzystuje tradycyjnych dysków zapasowych (integracja dysków zapasowych i nieaktywnych do zwiększenia dostępności i wydajności macierzy, zwiększenie szybkości odbudowy macierzy na wypadek awarii dysku).</w:t>
            </w:r>
          </w:p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obsługę dysków różnej pojemności w ramach grupy dysków.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Tryb pracy kontrolerów macierzowych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posiadać minimum 2 kontrolery macierzowe pracujące w trybie active-active i udostępniające jednocześnie dane blokowe. Wszystkie kontrolery muszą komunikować się między sobą bez stosowania dodatkowych przełączników lub koncentratorów.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Pamięć cache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posiadać minimum sumarycznie 32 GB pamięci cache. Pamięć cache musi być zbudowana w oparciu o wydajną pamięć typu RAM.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Pamięć zapisu musi być mirrorowana (kopie lustrzane) pomiędzy kontrolerami dyskowymi.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Dane niezapisane na dyskach (np. zawartość pamięci kontrolera) muszą zostać zabezpieczone w przypadku awarii zasilania za pomocą podtrzymania bateryjnego lub z zastosowaniem innej technologii przez okres minimum 5 lat.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Rozbudowa pamięci cache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zwiększenie pojemności pamięci cache dla odczytów do minimum 8 TB z wykorzystaniem dysków SSD lub kart pamięci flash.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Jeżeli do obsługi powyższej funkcjonalności wymagane są dodatkowe licencje, należy je dostarczyć wraz z rozwiązaniem.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Interfejsy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posiadać, co najmniej 8 portów 32Gb FC (4 porty na kontroler)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Kable/wkładki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8x wkładka 32Gb FC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Zarządzanie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Zarządzanie macierzą musi być możliwe z poziomu interfejsu graficznego i interfejsu znakowego. Zarządzanie macierzą musi odbywać się bezpośrednio na kontrolerach macierzy z poziomu przeglądarki internetowej.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Zarządzanie grupami dyskowymi oraz dyskami logicznymi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zdefiniowanie, co najmniej 500 wolumenów logicznych w ramach oferowanej macierzy dyskowej.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Musi istnieć możliwość rozłożenia pojedynczego wolumenu logicznego na wszystkie dyski fizyczne macierzy (tzw. wide-striping), bez konieczności łączenia wielu różnych dysków logicznych w jeden większy.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Thin Provisioning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udostępnianie zasobów dyskowych do serwerów w trybie tradycyjnym, jak i w trybie typu Thin Provisioning.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odzyskiwanie przestrzeni dyskowych po usuniętych danych w ramach wolumenów typu Thin. Proces odzyskiwania danych musi być automatyczny bez konieczności uruchamiania dodatkowych procesów na kontrolerach macierzowych (wymagana obsługa standardu T10 SCSI UNMAP).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Tiering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posiadać funkcjonalność Tiering między dyskami SSD i SAS i między dyskami SAS i NL SAS.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Tiering musi obejmować wszystkie woluminy w danej puli dyskowej.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Dyski SSD mogą być wykorzystane zarówno do uzyskania pojemności w warstwie wydajności lub na potrzeby zwiększenia pamięci podręcznej odczytu w celu przyspieszenia operacji losowego odczytu z jednej lub wielu warstw napędów mechanicznych.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Wewnętrzne kopie migawkowe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Macierz musi umożliwiać dokonywania na żądanie tzw. migawkowej kopii danych (snapshot, point-in-time) w ramach macierzy za pomocą wewnętrznych kontrolerów macierzowych. Kopia migawkowa wykonuje się bez alokowania dodatkowej przestrzeni dyskowej na potrzeby kopii. Zajmowanie dodatkowej przestrzeni dyskowej następuje w momencie zmiany danych na dysku źródłowym lub na jego kopii.</w:t>
            </w:r>
          </w:p>
          <w:p>
            <w:pPr>
              <w:pStyle w:val="Normal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Macierz musi wspierać minimum 512 kopii migawkowych. Jeżeli do obsługi powyższych funkcjonalności wymagane są dodatkowe licencje, należy je dostarczyć dla całej pojemności urządzenia.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Wewnętrzne kopie pełne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dokonywanie na żądanie pełnej fizycznej kopii danych (clone) w ramach macierzy za pomocą wewnętrznych kontrolerów macierzowych.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Migracja danych w obrębie macierzy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 xml:space="preserve">Macierz dyskowa musi umożliwiać migrację danych bez przerywania do nich dostępu pomiędzy różnymi warstwami technologii dyskowych na poziomie części wolumenów logicznych (ang. Sub-LUN). Zmiany te muszą się odbywać wewnętrznymi mechanizmami macierzy. Funkcjonalność musi umożliwiać zdefiniowanie zasobu LUN, który fizycznie będzie znajdował się na min. 3 typach dysków obsługiwanych przez macierz, a jego części będą realokowane na podstawie analizy ruchu w sposób automatyczny i transparentny (bez przerywania dostępu do danych) dla korzystających z tego wolumenu hostów. Zmiany te muszą się odbywać wewnętrznymi mechanizmami macierzy. </w:t>
            </w:r>
            <w:r>
              <w:rPr>
                <w:rFonts w:cs="Calibri" w:ascii="Calibri" w:hAnsi="Calibri"/>
                <w:bCs/>
                <w:sz w:val="20"/>
                <w:szCs w:val="20"/>
              </w:rPr>
              <w:t>Jeżeli do obsługi powyższych funkcjonalności wymagane są dodatkowe licencje, należy je dostarczyć dla całej pojemności dostarczanego urządzenia.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Zdalna replikacja danych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asynchroniczną replikację danych do innej macierzy z tej samej rodziny. Replikacja musi być wykonywana na poziomie kontrolerów, bez użycia dodatkowych serwerów lub innych urządzeń i bez obciążania serwerów podłączonych do macierzy.</w:t>
            </w:r>
          </w:p>
          <w:p>
            <w:pPr>
              <w:pStyle w:val="Normal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Jeżeli do obsługi powyższej funkcjonalności wymagane są dodatkowe licencje, należy je dostarczyć wraz z urządzeniem.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Podłączanie zewnętrznych systemów operacyjnych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jednoczesne podłączenie wielu serwerów w trybie wysokiej dostępności (co najmniej dwoma ścieżkami).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wspierać podłączenie następujących systemów operacyjnych: Windows, RHEL, SLES, Vmware, Citrix.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Dla wymienionych systemów operacyjnych należy dostarczyć oprogramowanie do przełączania ścieżek i równoważenia obciążenia poszczególnych ścieżek. Wymagane jest oprogramowanie dla nielimitowanej liczby serwerów. Dopuszcza się rozwiązania bazujące na natywnych możliwościach systemów operacyjnych.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 xml:space="preserve">Jeżeli do obsługi powyższych funkcjonalności wymagane są dodatkowe licencje, należy je dostarczyć dla </w:t>
            </w:r>
            <w:r>
              <w:rPr>
                <w:rFonts w:cs="Calibri" w:ascii="Calibri" w:hAnsi="Calibri"/>
                <w:sz w:val="20"/>
                <w:szCs w:val="20"/>
              </w:rPr>
              <w:t>maksymalnej liczby serwerów obsługiwanych przez oferowane urządzenie.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Redundancja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nie może posiadać pojedynczego punktu awarii, który powodowałby brak dostępu do danych. Musi być zapewniona pełna redundancja komponentów, w szczególności zdublowanie kontrolerów, zasilaczy i wentylatorów.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Macierz musi umożliwiać wymianę elementów systemu w trybie „hot-swap”, a w szczególności takich, jak: dyski, kontrolery, zasilacze, wentylatory.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Macierz musi mieć możliwość zasilania z dwu niezależnych źródeł zasilania – odporność na zanik zasilania jednej fazy lub awarię jednego z zasilaczy macierzy.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Zasilacze użyte w macierzy powinny spełniać wymagania dotyczące sprawności dla zasilacza minimum 80+ Gold.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Monitoring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Rozwiązanie w obszarze monitoringu musi zapewniać automatyczną ocenę kondycji środowiska macierzy na podstawie wskaźnika health score wraz z prezentacją rekomendowanych działań korygujących, ciągły monitoring konfiguracji bezpieczeństwa (w tym wykrywanie odchyleń od dobrych praktyk i ocenę ich wpływu na ryzyko), predykcyjne wykrywanie anomalii w telemetrii z wykorzystaniem mechanizmów analitycznych/ML, centralny widok ryzyka dla całej floty macierzy z możliwością rankingu i filtrowania systemów, nadzór nad łącznością oraz integralnością danych telemetrycznych (z generowaniem alertów przy przerwach lub niekompletności danych), analizę zużycia energii i parametrów środowiskowych pod kątem ryzyka operacyjnego, a także generowanie raportów oceny bezpieczeństwa środowiska, zawierających listę odchyleń i rekomendowane działania prewencyjne lub naprawcze.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Dodatkowe wymagania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Oferowany system dyskowy musi się składać z pojedynczej macierzy dyskowej. Niedopuszczalna jest realizacja zamówienia poprzez dostarczenie wielu macierzy dyskowych. Za pojedynczą macierz nie uznaje się rozwiązania opartego o wiele macierzy dyskowych (par kontrolerów macierzowych) połączonych przełącznikami SAN lub tzw. wirtualizatorem sieci SAN czy wirtualizatorem macierzy dyskowych.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Możliwość ograniczania poboru zasilania przez dyski, które nie obsługują operacji we/wy, poprzez ich zatrzymanie.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Standardy bezpieczeństwa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 xml:space="preserve">Urządzenie musi spełniać następujące standardy bezpieczeństwa: EN 62368-1 (European Union), IEC 60950-1 (International). </w:t>
            </w:r>
            <w:r>
              <w:rPr>
                <w:rFonts w:eastAsia="Times New Roman" w:cs="Calibri" w:ascii="Calibri" w:hAnsi="Calibri"/>
                <w:sz w:val="20"/>
                <w:szCs w:val="20"/>
              </w:rPr>
              <w:t>Wymagane dołączenie do oferty oświadczenia Producenta potwierdzające spełnienie powyższych zaleceń.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eastAsia="MS Mincho" w:cs="Calibri"/>
                <w:sz w:val="20"/>
                <w:szCs w:val="20"/>
                <w:lang w:eastAsia="ja-JP"/>
              </w:rPr>
            </w:pPr>
            <w:r>
              <w:rPr>
                <w:rFonts w:eastAsia="MS Mincho" w:cs="Calibri" w:ascii="Calibri" w:hAnsi="Calibri"/>
                <w:sz w:val="20"/>
                <w:szCs w:val="20"/>
                <w:lang w:eastAsia="ja-JP"/>
              </w:rPr>
              <w:t>Inne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Urządzenia muszą być zakupione w oficjalnym kanale dystrybucyjnym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producenta. Na żądanie Zamawiającego, Wykonawca musi przedstawić oświadczenie producenta oferowanego serwera, potwierdzające pochodzenie urządzenia z oficjalnego kanału dystrybucyjnego producenta.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Oferowany model macierzy w momencie składania oferty nie może mieć ogłoszonej daty końca sprzedaży. Na żądanie Zamawiającego, Wykonawca musi przedstawić oświadczenie producenta oferowanego urządzenia, potwierdzające brak ogłoszenia takiej daty.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Wymagane są dokumenty poświadczające, że sprzęt jest produkowany zgodnie z normami ISO 9001 oraz ISO 14001.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Deklaracja zgodności CE.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eastAsia="MS Mincho" w:cs="Calibri"/>
                <w:sz w:val="20"/>
                <w:szCs w:val="20"/>
                <w:lang w:eastAsia="ja-JP"/>
              </w:rPr>
            </w:pPr>
            <w:r>
              <w:rPr>
                <w:rFonts w:eastAsia="MS Mincho" w:cs="Calibri" w:ascii="Calibri" w:hAnsi="Calibri"/>
                <w:sz w:val="20"/>
                <w:szCs w:val="20"/>
                <w:lang w:eastAsia="ja-JP"/>
              </w:rPr>
              <w:t>Warunki gwarancji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wymaga zapewnienia gwarancji Producenta z zakresu wdrażanej technologii na okres 3 lat.</w:t>
            </w:r>
          </w:p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możliwości zgłaszania zdarzeń serwisowych w trybie 24/7/365 następującymi kanałami: telefonicznie i przez Internet.</w:t>
            </w:r>
          </w:p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wymaga pojedynczego punktu kontaktu dla całego rozwiązania Producenta, w tym także sprzedanego oprogramowania.</w:t>
            </w:r>
          </w:p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możliwości samodzielnego kwalifikowania poziomu ważności naprawy.</w:t>
            </w:r>
          </w:p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Certyfikowany Technik Producenta z właściwym zestawem części do naprawy (potwierdzonym na etapie diagnostyki) powinien rozpocząć naprawę w siedzibie zamawiającego najpóźniej w następnym dniu roboczym (NBD) od zakończenia diagnostyki.</w:t>
            </w:r>
          </w:p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Naprawa ma się odbyć w siedzibie zamawiającego, chyba, że zamawiający dla danej naprawy zgodzi się na inną formę.</w:t>
            </w:r>
          </w:p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Możliwość rozszerzenia gwarancji producenta o usługę diagnostyki sprzętu na miejscu w przypadku awarii. Charakterystyka usługi diagnostyki:</w:t>
            </w:r>
          </w:p>
          <w:p>
            <w:pPr>
              <w:pStyle w:val="Normal"/>
              <w:numPr>
                <w:ilvl w:val="0"/>
                <w:numId w:val="15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Możliwości utworzenia zgłaszania serwisowego w wyniku, którego proces diagnostyki odbędzie się na miejscu w siedzibie zamawiającego.</w:t>
            </w:r>
          </w:p>
          <w:p>
            <w:pPr>
              <w:pStyle w:val="Normal"/>
              <w:numPr>
                <w:ilvl w:val="0"/>
                <w:numId w:val="15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>
            <w:pPr>
              <w:pStyle w:val="Normal"/>
              <w:numPr>
                <w:ilvl w:val="0"/>
                <w:numId w:val="15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Reakcja na miejscu u Zamawiającego powinna nastąpić w okresie zgodnym z czasem reakcji przypisanym do urządzenia, które posiada wykupioną usługę serwisową.</w:t>
            </w:r>
          </w:p>
          <w:p>
            <w:pPr>
              <w:pStyle w:val="Normal"/>
              <w:numPr>
                <w:ilvl w:val="0"/>
                <w:numId w:val="15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>
            <w:pPr>
              <w:pStyle w:val="Normal"/>
              <w:numPr>
                <w:ilvl w:val="0"/>
                <w:numId w:val="15"/>
              </w:numPr>
              <w:spacing w:lineRule="auto" w:line="252" w:before="0" w:after="160"/>
              <w:contextualSpacing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2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Standard"/>
        <w:widowControl w:val="false"/>
        <w:spacing w:lineRule="auto" w:line="276" w:before="0" w:after="0"/>
        <w:rPr/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 xml:space="preserve">UWAGA!  </w:t>
      </w:r>
    </w:p>
    <w:p>
      <w:pPr>
        <w:pStyle w:val="Standard"/>
        <w:widowControl w:val="false"/>
        <w:spacing w:lineRule="auto" w:line="276" w:before="0" w:after="0"/>
        <w:rPr/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 xml:space="preserve">Należy złożyć wraz z ofertą. </w:t>
      </w:r>
    </w:p>
    <w:p>
      <w:pPr>
        <w:pStyle w:val="Standard"/>
        <w:widowControl w:val="false"/>
        <w:spacing w:lineRule="auto" w:line="276" w:before="0" w:after="0"/>
        <w:rPr/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>Dokument należy wypełnić i podpisać kwalifikowanym podpisem elektronicznym lub podpisem zaufanym lub podpisem osobistym.</w:t>
      </w:r>
      <w:r>
        <w:br w:type="page"/>
      </w:r>
    </w:p>
    <w:p>
      <w:pPr>
        <w:pStyle w:val="Normal"/>
        <w:spacing w:before="0" w:after="0"/>
        <w:jc w:val="right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Załącznik nr 5d  do SWZ</w:t>
      </w:r>
    </w:p>
    <w:p>
      <w:pPr>
        <w:pStyle w:val="Normal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color w:val="000000"/>
          <w:sz w:val="20"/>
          <w:szCs w:val="20"/>
        </w:rPr>
        <w:t>WZP.271.16.2026.AA.MT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Zamawiający :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Gmina Nowogard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Plac Wolności 1</w:t>
      </w:r>
    </w:p>
    <w:p>
      <w:pPr>
        <w:pStyle w:val="Normal"/>
        <w:ind w:firstLine="708" w:left="5664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/>
          <w:color w:val="000000"/>
        </w:rPr>
        <w:t>72-200 Nowogard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………………………………………………</w:t>
      </w:r>
      <w:r>
        <w:rPr>
          <w:rFonts w:cs="Times New Roman" w:ascii="Times New Roman" w:hAnsi="Times New Roman"/>
          <w:color w:val="000000"/>
        </w:rPr>
        <w:t>.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………………………………………………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(nazwa oraz adres Wykonawcy)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 w:before="12" w:after="0"/>
        <w:jc w:val="center"/>
        <w:rPr>
          <w:rFonts w:ascii="Times New Roman" w:hAnsi="Times New Roman" w:cs="Times New Roman"/>
          <w:b/>
          <w:bCs/>
          <w:sz w:val="28"/>
          <w:szCs w:val="28"/>
          <w:shd w:fill="FFFFFF" w:val="clear"/>
          <w:lang w:bidi="hi-IN"/>
        </w:rPr>
      </w:pPr>
      <w:r>
        <w:rPr>
          <w:rFonts w:eastAsia="Times New Roman" w:cs="Times New Roman" w:ascii="Times New Roman" w:hAnsi="Times New Roman"/>
          <w:b/>
          <w:color w:val="000000"/>
        </w:rPr>
        <w:t>Przedmiotowe środki dowodowe składane celem potwierdzenia zgodności ……………………..z opisem przedmiotu zamówienia w postępowaniu pn:</w:t>
      </w:r>
    </w:p>
    <w:p>
      <w:pPr>
        <w:pStyle w:val="Normal"/>
        <w:jc w:val="center"/>
        <w:rPr>
          <w:rFonts w:ascii="Times New Roman" w:hAnsi="Times New Roman" w:eastAsia="Times New Roman" w:cs="Calibri"/>
          <w:b/>
          <w:bCs/>
          <w:color w:val="000000"/>
          <w:sz w:val="28"/>
          <w:szCs w:val="28"/>
        </w:rPr>
      </w:pPr>
      <w:r>
        <w:rPr>
          <w:rStyle w:val="Domylnaczcionkaakapitu4"/>
          <w:rFonts w:eastAsia="Times New Roman" w:cs="Calibri" w:ascii="Times New Roman" w:hAnsi="Times New Roman"/>
          <w:b/>
          <w:bCs/>
          <w:color w:val="000000"/>
          <w:kern w:val="2"/>
          <w:sz w:val="28"/>
          <w:szCs w:val="28"/>
          <w:lang w:bidi="hi-IN"/>
        </w:rPr>
        <w:t>Dostawa i wdrożenie sprzętu informatycznego oraz modernizacja istniejącego środowiska informatycznego wraz z podniesieniem poziomu cyberbezpieczeństwa w ramach konkursu grantowego „Cyberbezpieczny Samorząd” w trzech jednostkach Gminy Nowogard</w:t>
      </w:r>
    </w:p>
    <w:p>
      <w:pPr>
        <w:pStyle w:val="Normal"/>
        <w:jc w:val="center"/>
        <w:rPr>
          <w:rStyle w:val="Domylnaczcionkaakapitu4"/>
          <w:rFonts w:ascii="Times New Roman" w:hAnsi="Times New Roman" w:eastAsia="Times New Roman" w:cs="Calibri"/>
          <w:b/>
          <w:bCs/>
          <w:color w:val="000000"/>
          <w:kern w:val="2"/>
          <w:sz w:val="24"/>
          <w:szCs w:val="24"/>
          <w:u w:val="single"/>
          <w:lang w:bidi="hi-IN"/>
        </w:rPr>
      </w:pPr>
      <w:r>
        <w:rPr>
          <w:rFonts w:eastAsia="Times New Roman" w:cs="Calibri" w:ascii="Times New Roman" w:hAnsi="Times New Roman"/>
          <w:b/>
          <w:bCs/>
          <w:color w:val="000000"/>
          <w:kern w:val="2"/>
          <w:sz w:val="24"/>
          <w:szCs w:val="24"/>
          <w:u w:val="single"/>
          <w:lang w:bidi="hi-IN"/>
        </w:rPr>
      </w:r>
    </w:p>
    <w:p>
      <w:pPr>
        <w:pStyle w:val="Normal"/>
        <w:jc w:val="center"/>
        <w:rPr/>
      </w:pPr>
      <w:r>
        <w:rPr>
          <w:rStyle w:val="Domylnaczcionkaakapitu4"/>
          <w:rFonts w:eastAsia="Times New Roman" w:ascii="Times New Roman" w:hAnsi="Times New Roman"/>
          <w:b/>
          <w:bCs/>
          <w:color w:val="000000"/>
          <w:kern w:val="2"/>
          <w:sz w:val="24"/>
          <w:szCs w:val="24"/>
          <w:u w:val="single"/>
          <w:lang w:bidi="hi-IN"/>
        </w:rPr>
        <w:t>UPS CENTRALNY (1 sztuka)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tbl>
      <w:tblPr>
        <w:tblW w:w="5000" w:type="pct"/>
        <w:jc w:val="left"/>
        <w:tblInd w:w="6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1240"/>
        <w:gridCol w:w="5575"/>
        <w:gridCol w:w="2545"/>
      </w:tblGrid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solid"/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Parametr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solid"/>
          </w:tcPr>
          <w:p>
            <w:pPr>
              <w:pStyle w:val="Normal"/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Charakterystyka (wymagania minimalne)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solid"/>
          </w:tcPr>
          <w:p>
            <w:pPr>
              <w:pStyle w:val="Normal"/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i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before="0" w:after="160"/>
              <w:jc w:val="both"/>
              <w:rPr>
                <w:rFonts w:ascii="Calibri" w:hAnsi="Calibri" w:eastAsia="Aptos" w:cs="Calibri"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Opis zasilacza UPS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Projektuje się zasilacz UPS pracujący w topologii on-line VFI-SS-111, wg normy IEC 62040-3, o mocy 20kVA/20kW. UPS będzie wyposażony w wewnętrzny, bezprzerwowy bypass elektroniczny. Bypass wewnętrzny będzie posiadał zabezpieczenie przed zwrotnym podawaniem energii do sieci zasilającej (backfeed protection, zgodnie z normą IEC 62040). UPS będzie zasilany dwutorowo – przez tor główny (układ prostownik-falownik) oraz tor rezerwowy (bypass elektroniczny). Dodatkowo będzie wyposażony w zewnętrzny tor obejściowy (serwisowy, mechaniczny). Baterie akumulatorów, zapewniające czas podtrzymania 6 minut dla obciążenia 20kW, będą umieszczone wewnątrz zasilacza UPS.</w:t>
            </w:r>
          </w:p>
          <w:p>
            <w:pPr>
              <w:pStyle w:val="Normal"/>
              <w:spacing w:lineRule="auto" w:line="259"/>
              <w:jc w:val="both"/>
              <w:rPr>
                <w:rFonts w:ascii="Calibri" w:hAnsi="Calibri" w:eastAsia="Aptos" w:cs="Calibri" w:eastAsiaTheme="minorHAnsi"/>
                <w:b/>
                <w:sz w:val="20"/>
                <w:szCs w:val="20"/>
              </w:rPr>
            </w:pPr>
            <w:r>
              <w:rPr>
                <w:rFonts w:eastAsia="Aptos" w:cs="Calibri" w:eastAsiaTheme="minorHAnsi" w:ascii="Calibri" w:hAnsi="Calibri"/>
                <w:b/>
                <w:sz w:val="20"/>
                <w:szCs w:val="20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Opis techniczny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numPr>
                <w:ilvl w:val="0"/>
                <w:numId w:val="17"/>
              </w:numPr>
              <w:spacing w:lineRule="auto" w:line="276"/>
              <w:ind w:hanging="360" w:left="720" w:right="-8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producent oferowanego urządzenia powinien posiadać certyfikat ISO 9001 w zakresie projektowania, produkcji, sprzedaży i serwisu systemów zasilania gwarantowanego UPS</w:t>
            </w:r>
          </w:p>
          <w:p>
            <w:pPr>
              <w:pStyle w:val="Normal"/>
              <w:numPr>
                <w:ilvl w:val="0"/>
                <w:numId w:val="17"/>
              </w:numPr>
              <w:spacing w:lineRule="auto" w:line="276"/>
              <w:ind w:hanging="360" w:left="720" w:right="-8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moc wyjściowa: 20 kVA/20 kW</w:t>
            </w:r>
          </w:p>
          <w:p>
            <w:pPr>
              <w:pStyle w:val="Normal"/>
              <w:numPr>
                <w:ilvl w:val="0"/>
                <w:numId w:val="17"/>
              </w:numPr>
              <w:spacing w:lineRule="auto" w:line="276"/>
              <w:ind w:hanging="360" w:left="720" w:right="-8"/>
              <w:rPr>
                <w:rFonts w:ascii="Calibri" w:hAnsi="Calibri" w:cs="Calibri"/>
                <w:bCs/>
                <w:sz w:val="20"/>
              </w:rPr>
            </w:pPr>
            <w:r>
              <w:rPr>
                <w:rFonts w:cs="Calibri" w:ascii="Calibri" w:hAnsi="Calibri"/>
                <w:bCs/>
                <w:sz w:val="20"/>
              </w:rPr>
              <w:t>możliwość pracy równoległej do 4 jednostek</w:t>
            </w:r>
          </w:p>
          <w:p>
            <w:pPr>
              <w:pStyle w:val="Normal"/>
              <w:numPr>
                <w:ilvl w:val="0"/>
                <w:numId w:val="17"/>
              </w:numPr>
              <w:spacing w:lineRule="auto" w:line="276"/>
              <w:ind w:hanging="360" w:left="720" w:right="-8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ilość faz 3/3 – trzy fazy wejściowe i trzy fazy wyjściowe</w:t>
            </w:r>
          </w:p>
          <w:p>
            <w:pPr>
              <w:pStyle w:val="Normal"/>
              <w:numPr>
                <w:ilvl w:val="0"/>
                <w:numId w:val="16"/>
              </w:numPr>
              <w:spacing w:lineRule="auto" w:line="276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 xml:space="preserve">sprawność w trybie on-line: minimum </w:t>
            </w:r>
            <w:r>
              <w:rPr>
                <w:rFonts w:eastAsia="Times New Roman" w:cs="Calibri" w:ascii="Calibri" w:hAnsi="Calibri"/>
                <w:b/>
                <w:sz w:val="20"/>
                <w:szCs w:val="20"/>
              </w:rPr>
              <w:t>95,64% w zakresie obciążenia 50-100%</w:t>
            </w:r>
            <w:r>
              <w:rPr>
                <w:rFonts w:eastAsia="Times New Roman" w:cs="Calibri" w:ascii="Calibri" w:hAnsi="Calibri"/>
                <w:sz w:val="20"/>
                <w:szCs w:val="20"/>
              </w:rPr>
              <w:t xml:space="preserve"> (do </w:t>
            </w:r>
            <w:r>
              <w:rPr>
                <w:rFonts w:eastAsia="Times New Roman" w:cs="Calibri" w:ascii="Calibri" w:hAnsi="Calibri"/>
                <w:b/>
                <w:sz w:val="20"/>
                <w:szCs w:val="20"/>
              </w:rPr>
              <w:t>99,08%</w:t>
            </w:r>
            <w:r>
              <w:rPr>
                <w:rFonts w:eastAsia="Times New Roman" w:cs="Calibri" w:ascii="Calibri" w:hAnsi="Calibri"/>
                <w:sz w:val="20"/>
                <w:szCs w:val="20"/>
              </w:rPr>
              <w:t xml:space="preserve"> w trybie oszczędzania energii)</w:t>
            </w:r>
          </w:p>
          <w:p>
            <w:pPr>
              <w:pStyle w:val="Normal"/>
              <w:numPr>
                <w:ilvl w:val="0"/>
                <w:numId w:val="16"/>
              </w:numPr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tolerancja napięcia wejściowego prostownika, bez przejścia na pracę z baterii: 190/330-276/478 V przy obciążeniu 100%;</w:t>
            </w:r>
          </w:p>
          <w:p>
            <w:pPr>
              <w:pStyle w:val="Normal"/>
              <w:numPr>
                <w:ilvl w:val="0"/>
                <w:numId w:val="16"/>
              </w:numPr>
              <w:spacing w:lineRule="auto" w:line="276"/>
              <w:ind w:hanging="360" w:left="720" w:right="-8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częstotliwość wejściowa 50 Hz lub 60 Hz z tolerancją 40 Hz do 72 Hz</w:t>
            </w:r>
          </w:p>
          <w:p>
            <w:pPr>
              <w:pStyle w:val="Normal"/>
              <w:numPr>
                <w:ilvl w:val="0"/>
                <w:numId w:val="16"/>
              </w:numPr>
              <w:spacing w:lineRule="auto" w:line="276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cosφ wyjściowy = 1</w:t>
            </w:r>
          </w:p>
          <w:p>
            <w:pPr>
              <w:pStyle w:val="Normal"/>
              <w:numPr>
                <w:ilvl w:val="0"/>
                <w:numId w:val="16"/>
              </w:numPr>
              <w:spacing w:lineRule="auto" w:line="276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cosφ wejściowy = 0,99 przy 100% obciążenia</w:t>
            </w:r>
          </w:p>
          <w:p>
            <w:pPr>
              <w:pStyle w:val="Normal"/>
              <w:numPr>
                <w:ilvl w:val="0"/>
                <w:numId w:val="16"/>
              </w:numPr>
              <w:spacing w:lineRule="auto" w:line="276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współczynnik szczytu: 3:1</w:t>
            </w:r>
          </w:p>
          <w:p>
            <w:pPr>
              <w:pStyle w:val="Normal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zabezpieczenie przed zwrotnym podaniem energii do sieci zasilającej (backfeed protection, zgodnie z normą IEC 62040) w torze bypassu statycznego UPS</w:t>
            </w:r>
          </w:p>
          <w:p>
            <w:pPr>
              <w:pStyle w:val="Normal"/>
              <w:numPr>
                <w:ilvl w:val="0"/>
                <w:numId w:val="16"/>
              </w:numPr>
              <w:spacing w:lineRule="auto" w:line="276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urządzenie powinno być wyposażone w system nieciągłego ładowania baterii. Należy dołączyć opis sposobu zarządzania pracą baterii. W opisie znaleźć się muszą informacje nt. trwania okresów ładowania forsującego, konserwującego i okresu spoczynkowego (tzw. restingu). Okres spoczynkowy w jednym cyklu nie może być krótszy niż 14 dni. Opis powinien być materiałem firmowym producenta</w:t>
            </w:r>
          </w:p>
          <w:p>
            <w:pPr>
              <w:pStyle w:val="Normal"/>
              <w:numPr>
                <w:ilvl w:val="0"/>
                <w:numId w:val="16"/>
              </w:numPr>
              <w:spacing w:lineRule="auto" w:line="276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wejściowe zniekształcenia THDi &lt; 3%</w:t>
            </w:r>
          </w:p>
          <w:p>
            <w:pPr>
              <w:pStyle w:val="Normal"/>
              <w:numPr>
                <w:ilvl w:val="0"/>
                <w:numId w:val="16"/>
              </w:numPr>
              <w:spacing w:lineRule="auto" w:line="276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wyjściowe THDu:</w:t>
            </w:r>
          </w:p>
          <w:p>
            <w:pPr>
              <w:pStyle w:val="Normal"/>
              <w:ind w:left="360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ab/>
              <w:tab/>
              <w:t>- dla obciążenia liniowego &lt; 2%</w:t>
            </w:r>
          </w:p>
          <w:p>
            <w:pPr>
              <w:pStyle w:val="Normal"/>
              <w:ind w:left="360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ab/>
              <w:tab/>
              <w:t>- dla obciążenia nieliniowego &lt; 5%</w:t>
            </w:r>
          </w:p>
          <w:p>
            <w:pPr>
              <w:pStyle w:val="Normal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984" w:leader="none"/>
              </w:tabs>
              <w:spacing w:lineRule="auto" w:line="276"/>
              <w:ind w:hanging="360" w:left="720" w:right="-8"/>
              <w:jc w:val="both"/>
              <w:rPr>
                <w:rFonts w:ascii="Calibri" w:hAnsi="Calibri" w:cs="Calibri"/>
                <w:color w:val="000000"/>
                <w:spacing w:val="-12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pacing w:val="-12"/>
                <w:sz w:val="20"/>
                <w:szCs w:val="20"/>
              </w:rPr>
              <w:t>Urządzenie musi posiadać panel komunikacyjny, w którym powinny być zainstalowane:</w:t>
            </w:r>
          </w:p>
          <w:p>
            <w:pPr>
              <w:pStyle w:val="Normal"/>
              <w:shd w:val="clear" w:color="auto" w:fill="FFFFFF"/>
              <w:ind w:left="984" w:right="-8"/>
              <w:jc w:val="both"/>
              <w:rPr>
                <w:rFonts w:ascii="Calibri" w:hAnsi="Calibri" w:cs="Calibri"/>
                <w:color w:val="000000"/>
                <w:spacing w:val="-12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pacing w:val="-12"/>
                <w:sz w:val="20"/>
                <w:szCs w:val="20"/>
              </w:rPr>
              <w:t>- gniazdo komunikacji RS-232</w:t>
            </w:r>
          </w:p>
          <w:p>
            <w:pPr>
              <w:pStyle w:val="Normal"/>
              <w:shd w:val="clear" w:color="auto" w:fill="FFFFFF"/>
              <w:ind w:left="984" w:right="-8"/>
              <w:jc w:val="both"/>
              <w:rPr>
                <w:rFonts w:ascii="Calibri" w:hAnsi="Calibri" w:cs="Calibri"/>
                <w:color w:val="000000"/>
                <w:spacing w:val="-12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pacing w:val="-12"/>
                <w:sz w:val="20"/>
                <w:szCs w:val="20"/>
              </w:rPr>
              <w:t>- gniazdo wyłącznika awaryjnego p.poż.</w:t>
            </w:r>
          </w:p>
          <w:p>
            <w:pPr>
              <w:pStyle w:val="Normal"/>
              <w:numPr>
                <w:ilvl w:val="0"/>
                <w:numId w:val="16"/>
              </w:numPr>
              <w:spacing w:lineRule="auto" w:line="276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interfejs komunikacyjny SNMP – obsługiwane protokoły: IPv4/v6, TLS, SNMPv1/v3, DHCP, SSH, LDAP prędkość gigabit’owa (half-duplex, full-duplex). Zgodność z normami dot. cyberbezpieczeństwa</w:t>
              <w:tab/>
            </w:r>
            <w:r>
              <w:rPr>
                <w:rFonts w:eastAsia="Times New Roman" w:cs="Calibri" w:ascii="Calibri" w:hAnsi="Calibri"/>
                <w:b/>
                <w:bCs/>
                <w:sz w:val="20"/>
                <w:szCs w:val="20"/>
              </w:rPr>
              <w:t xml:space="preserve">UL 2900-1 lub IEC62443-4-2. </w:t>
            </w:r>
            <w:r>
              <w:rPr>
                <w:rFonts w:eastAsia="Times New Roman" w:cs="Calibri" w:ascii="Calibri" w:hAnsi="Calibri"/>
                <w:sz w:val="20"/>
                <w:szCs w:val="20"/>
              </w:rPr>
              <w:t>Opcjonalnie: Modbus TCP/RTU</w:t>
            </w:r>
          </w:p>
          <w:p>
            <w:pPr>
              <w:pStyle w:val="Normal"/>
              <w:numPr>
                <w:ilvl w:val="0"/>
                <w:numId w:val="16"/>
              </w:numPr>
              <w:spacing w:lineRule="auto" w:line="276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graficzny wyświetlacz LCD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76"/>
              <w:ind w:left="113" w:right="57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</w:r>
          </w:p>
        </w:tc>
      </w:tr>
      <w:tr>
        <w:trPr/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Wymiary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  <w:t>Wymiary UPS (szer. x gł. x wys.): 380 x 740 x 1328 mm</w:t>
            </w:r>
          </w:p>
          <w:p>
            <w:pPr>
              <w:pStyle w:val="Normal"/>
              <w:spacing w:lineRule="auto" w:line="276"/>
              <w:ind w:right="-8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</w:tr>
    </w:tbl>
    <w:p>
      <w:pPr>
        <w:pStyle w:val="Standard"/>
        <w:widowControl w:val="false"/>
        <w:spacing w:lineRule="auto" w:line="276" w:before="0" w:after="0"/>
        <w:rPr>
          <w:rFonts w:ascii="Times New Roman" w:hAnsi="Times New Roman" w:eastAsia="Arial" w:cs="Arial"/>
          <w:b/>
          <w:color w:val="FF0000"/>
          <w:sz w:val="24"/>
          <w:szCs w:val="24"/>
        </w:rPr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</w:r>
    </w:p>
    <w:p>
      <w:pPr>
        <w:pStyle w:val="Standard"/>
        <w:widowControl w:val="false"/>
        <w:spacing w:lineRule="auto" w:line="276" w:before="0" w:after="0"/>
        <w:rPr>
          <w:rFonts w:ascii="Times New Roman" w:hAnsi="Times New Roman" w:eastAsia="Arial" w:cs="Arial"/>
          <w:b/>
          <w:color w:val="FF0000"/>
          <w:sz w:val="24"/>
          <w:szCs w:val="24"/>
        </w:rPr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 xml:space="preserve">UWAGA!  </w:t>
      </w:r>
    </w:p>
    <w:p>
      <w:pPr>
        <w:pStyle w:val="Standard"/>
        <w:widowControl w:val="false"/>
        <w:spacing w:lineRule="auto" w:line="276" w:before="0" w:after="0"/>
        <w:rPr/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 xml:space="preserve">Należy złożyć wraz z ofertą. </w:t>
      </w:r>
    </w:p>
    <w:p>
      <w:pPr>
        <w:pStyle w:val="Standard"/>
        <w:widowControl w:val="false"/>
        <w:spacing w:lineRule="auto" w:line="276" w:before="0" w:after="0"/>
        <w:rPr/>
      </w:pPr>
      <w:r>
        <w:rPr>
          <w:rFonts w:eastAsia="Arial" w:cs="Arial" w:ascii="Times New Roman" w:hAnsi="Times New Roman"/>
          <w:b/>
          <w:color w:val="FF0000"/>
          <w:sz w:val="24"/>
          <w:szCs w:val="24"/>
        </w:rPr>
        <w:t>Dokument należy wypełnić i podpisać kwalifikowanym podpisem elektronicznym lub podpisem zaufanym lub podpisem osobistym.</w:t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2240" w:h="15840"/>
      <w:pgMar w:left="1440" w:right="1440" w:gutter="0" w:header="567" w:top="1828" w:footer="708" w:bottom="144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swiss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4" w:color="CCCCCC"/>
      </w:pBdr>
      <w:tabs>
        <w:tab w:val="clear" w:pos="720"/>
        <w:tab w:val="right" w:pos="9360" w:leader="none"/>
      </w:tabs>
      <w:rPr/>
    </w:pPr>
    <w:r>
      <w:rPr>
        <w:rFonts w:cs="Arial" w:ascii="Times New Roman" w:hAnsi="Times New Roman"/>
        <w:color w:val="auto"/>
        <w:sz w:val="20"/>
        <w:szCs w:val="20"/>
      </w:rPr>
      <w:t>WZP.271.16.2026.AA.MT</w:t>
    </w:r>
    <w:r>
      <w:rPr>
        <w:rFonts w:ascii="Times New Roman" w:hAnsi="Times New Roman"/>
        <w:color w:val="595959"/>
        <w:sz w:val="20"/>
        <w:szCs w:val="20"/>
      </w:rPr>
      <w:t xml:space="preserve"> </w:t>
    </w:r>
    <w:r>
      <w:rPr>
        <w:color w:val="595959"/>
        <w:sz w:val="16"/>
        <w:szCs w:val="16"/>
      </w:rPr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4" w:color="CCCCCC"/>
      </w:pBdr>
      <w:tabs>
        <w:tab w:val="clear" w:pos="720"/>
        <w:tab w:val="right" w:pos="9360" w:leader="none"/>
      </w:tabs>
      <w:rPr/>
    </w:pPr>
    <w:r>
      <w:rPr>
        <w:rFonts w:cs="Arial" w:ascii="Times New Roman" w:hAnsi="Times New Roman"/>
        <w:color w:val="auto"/>
        <w:sz w:val="20"/>
        <w:szCs w:val="20"/>
      </w:rPr>
      <w:t>WZP.271.16.2026.AA.MT</w:t>
    </w:r>
    <w:r>
      <w:rPr>
        <w:rFonts w:ascii="Times New Roman" w:hAnsi="Times New Roman"/>
        <w:color w:val="595959"/>
        <w:sz w:val="20"/>
        <w:szCs w:val="20"/>
      </w:rPr>
      <w:t xml:space="preserve"> </w:t>
    </w:r>
    <w:r>
      <w:rPr>
        <w:color w:val="595959"/>
        <w:sz w:val="16"/>
        <w:szCs w:val="16"/>
      </w:rPr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  <w:drawing>
        <wp:inline distT="0" distB="0" distL="0" distR="0">
          <wp:extent cx="5995670" cy="6210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" t="-108" r="-11" b="-108"/>
                  <a:stretch>
                    <a:fillRect/>
                  </a:stretch>
                </pic:blipFill>
                <pic:spPr bwMode="auto">
                  <a:xfrm>
                    <a:off x="0" y="0"/>
                    <a:ext cx="5995670" cy="621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  <w:drawing>
        <wp:inline distT="0" distB="0" distL="0" distR="0">
          <wp:extent cx="5995670" cy="62103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" t="-108" r="-11" b="-108"/>
                  <a:stretch>
                    <a:fillRect/>
                  </a:stretch>
                </pic:blipFill>
                <pic:spPr bwMode="auto">
                  <a:xfrm>
                    <a:off x="0" y="0"/>
                    <a:ext cx="5995670" cy="621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true"/>
  <w:hyphenationZone w:val="425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3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c3796"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pl-PL" w:bidi="ar-SA"/>
    </w:rPr>
  </w:style>
  <w:style w:type="paragraph" w:styleId="Heading1" w:customStyle="1">
    <w:name w:val="heading 1"/>
    <w:uiPriority w:val="9"/>
    <w:qFormat/>
    <w:rsid w:val="00043ce8"/>
    <w:pPr>
      <w:widowControl/>
      <w:suppressAutoHyphens w:val="true"/>
      <w:bidi w:val="0"/>
      <w:spacing w:before="320" w:after="160"/>
      <w:jc w:val="left"/>
      <w:outlineLvl w:val="0"/>
    </w:pPr>
    <w:rPr>
      <w:rFonts w:ascii="Arial" w:hAnsi="Arial" w:eastAsia="Arial" w:cs="Arial"/>
      <w:b/>
      <w:bCs/>
      <w:color w:val="1F3864"/>
      <w:kern w:val="0"/>
      <w:sz w:val="30"/>
      <w:szCs w:val="30"/>
      <w:lang w:val="pl-PL" w:eastAsia="pl-PL" w:bidi="ar-SA"/>
    </w:rPr>
  </w:style>
  <w:style w:type="paragraph" w:styleId="Heading2" w:customStyle="1">
    <w:name w:val="heading 2"/>
    <w:uiPriority w:val="9"/>
    <w:unhideWhenUsed/>
    <w:qFormat/>
    <w:rsid w:val="00043ce8"/>
    <w:pPr>
      <w:widowControl/>
      <w:suppressAutoHyphens w:val="true"/>
      <w:bidi w:val="0"/>
      <w:spacing w:before="0" w:after="0"/>
      <w:jc w:val="left"/>
      <w:outlineLvl w:val="1"/>
    </w:pPr>
    <w:rPr>
      <w:rFonts w:ascii="Arial" w:hAnsi="Arial" w:eastAsia="Arial" w:cs="Arial"/>
      <w:color w:val="2E74B5"/>
      <w:kern w:val="0"/>
      <w:sz w:val="26"/>
      <w:szCs w:val="26"/>
      <w:lang w:val="pl-PL" w:eastAsia="pl-PL" w:bidi="ar-SA"/>
    </w:rPr>
  </w:style>
  <w:style w:type="paragraph" w:styleId="Heading3" w:customStyle="1">
    <w:name w:val="heading 3"/>
    <w:uiPriority w:val="9"/>
    <w:unhideWhenUsed/>
    <w:qFormat/>
    <w:rsid w:val="00043ce8"/>
    <w:pPr>
      <w:widowControl/>
      <w:suppressAutoHyphens w:val="true"/>
      <w:bidi w:val="0"/>
      <w:spacing w:before="160" w:after="80"/>
      <w:jc w:val="left"/>
      <w:outlineLvl w:val="2"/>
    </w:pPr>
    <w:rPr>
      <w:rFonts w:ascii="Arial" w:hAnsi="Arial" w:eastAsia="Arial" w:cs="Arial"/>
      <w:b/>
      <w:bCs/>
      <w:color w:val="333333"/>
      <w:kern w:val="0"/>
      <w:sz w:val="23"/>
      <w:szCs w:val="23"/>
      <w:lang w:val="pl-PL" w:eastAsia="pl-PL" w:bidi="ar-SA"/>
    </w:rPr>
  </w:style>
  <w:style w:type="paragraph" w:styleId="Heading4" w:customStyle="1">
    <w:name w:val="heading 4"/>
    <w:uiPriority w:val="9"/>
    <w:semiHidden/>
    <w:unhideWhenUsed/>
    <w:qFormat/>
    <w:rsid w:val="00043ce8"/>
    <w:pPr>
      <w:widowControl/>
      <w:suppressAutoHyphens w:val="true"/>
      <w:bidi w:val="0"/>
      <w:spacing w:before="0" w:after="0"/>
      <w:jc w:val="left"/>
      <w:outlineLvl w:val="3"/>
    </w:pPr>
    <w:rPr>
      <w:rFonts w:ascii="Arial" w:hAnsi="Arial" w:eastAsia="Arial" w:cs="Arial"/>
      <w:i/>
      <w:iCs/>
      <w:color w:val="2E74B5"/>
      <w:kern w:val="0"/>
      <w:sz w:val="22"/>
      <w:szCs w:val="22"/>
      <w:lang w:val="pl-PL" w:eastAsia="pl-PL" w:bidi="ar-SA"/>
    </w:rPr>
  </w:style>
  <w:style w:type="paragraph" w:styleId="Heading5" w:customStyle="1">
    <w:name w:val="heading 5"/>
    <w:uiPriority w:val="9"/>
    <w:semiHidden/>
    <w:unhideWhenUsed/>
    <w:qFormat/>
    <w:rsid w:val="00043ce8"/>
    <w:pPr>
      <w:widowControl/>
      <w:suppressAutoHyphens w:val="true"/>
      <w:bidi w:val="0"/>
      <w:spacing w:before="0" w:after="0"/>
      <w:jc w:val="left"/>
      <w:outlineLvl w:val="4"/>
    </w:pPr>
    <w:rPr>
      <w:rFonts w:ascii="Arial" w:hAnsi="Arial" w:eastAsia="Arial" w:cs="Arial"/>
      <w:color w:val="2E74B5"/>
      <w:kern w:val="0"/>
      <w:sz w:val="22"/>
      <w:szCs w:val="22"/>
      <w:lang w:val="pl-PL" w:eastAsia="pl-PL" w:bidi="ar-SA"/>
    </w:rPr>
  </w:style>
  <w:style w:type="paragraph" w:styleId="Heading6" w:customStyle="1">
    <w:name w:val="heading 6"/>
    <w:uiPriority w:val="9"/>
    <w:semiHidden/>
    <w:unhideWhenUsed/>
    <w:qFormat/>
    <w:rsid w:val="00043ce8"/>
    <w:pPr>
      <w:widowControl/>
      <w:suppressAutoHyphens w:val="true"/>
      <w:bidi w:val="0"/>
      <w:spacing w:before="0" w:after="0"/>
      <w:jc w:val="left"/>
      <w:outlineLvl w:val="5"/>
    </w:pPr>
    <w:rPr>
      <w:rFonts w:ascii="Arial" w:hAnsi="Arial" w:eastAsia="Arial" w:cs="Arial"/>
      <w:color w:val="1F4D78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unhideWhenUsed/>
    <w:rsid w:val="00043ce8"/>
    <w:rPr>
      <w:color w:val="0563C1"/>
      <w:u w:val="single"/>
    </w:rPr>
  </w:style>
  <w:style w:type="character" w:styleId="Znakiprzypiswdolnychuser" w:customStyle="1">
    <w:name w:val="Znaki przypisów dolnych (user)"/>
    <w:uiPriority w:val="99"/>
    <w:semiHidden/>
    <w:unhideWhenUsed/>
    <w:qFormat/>
    <w:rsid w:val="00043ce8"/>
    <w:rPr>
      <w:vertAlign w:val="superscript"/>
    </w:rPr>
  </w:style>
  <w:style w:type="character" w:styleId="Znakiprzypiswdolnych" w:customStyle="1">
    <w:name w:val="Znaki przypisów dolnych"/>
    <w:qFormat/>
    <w:rsid w:val="00043ce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rzypisudolnegoZnak" w:customStyle="1">
    <w:name w:val="Tekst przypisu dolnego Znak"/>
    <w:uiPriority w:val="99"/>
    <w:semiHidden/>
    <w:unhideWhenUsed/>
    <w:qFormat/>
    <w:rsid w:val="00043ce8"/>
    <w:rPr>
      <w:sz w:val="20"/>
      <w:szCs w:val="20"/>
    </w:rPr>
  </w:style>
  <w:style w:type="character" w:styleId="Znakiprzypiswkocowychuser" w:customStyle="1">
    <w:name w:val="Znaki przypisów końcowych (user)"/>
    <w:uiPriority w:val="99"/>
    <w:semiHidden/>
    <w:unhideWhenUsed/>
    <w:qFormat/>
    <w:rsid w:val="00043ce8"/>
    <w:rPr>
      <w:vertAlign w:val="superscript"/>
    </w:rPr>
  </w:style>
  <w:style w:type="character" w:styleId="Znakiprzypiswkocowych" w:customStyle="1">
    <w:name w:val="Znaki przypisów końcowych"/>
    <w:qFormat/>
    <w:rsid w:val="00043ce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kocowegoZnak" w:customStyle="1">
    <w:name w:val="Tekst przypisu końcowego Znak"/>
    <w:uiPriority w:val="99"/>
    <w:semiHidden/>
    <w:unhideWhenUsed/>
    <w:qFormat/>
    <w:rsid w:val="00043ce8"/>
    <w:rPr>
      <w:sz w:val="20"/>
      <w:szCs w:val="20"/>
    </w:rPr>
  </w:style>
  <w:style w:type="character" w:styleId="AkapitzlistZnak" w:customStyle="1">
    <w:name w:val="Akapit z listą Znak"/>
    <w:basedOn w:val="DefaultParagraphFont"/>
    <w:qFormat/>
    <w:locked/>
    <w:rsid w:val="00614b23"/>
    <w:rPr/>
  </w:style>
  <w:style w:type="character" w:styleId="Tekstpodstawowy3Znak" w:customStyle="1">
    <w:name w:val="Tekst podstawowy 3 Znak"/>
    <w:basedOn w:val="DefaultParagraphFont"/>
    <w:qFormat/>
    <w:rsid w:val="00614b23"/>
    <w:rPr>
      <w:rFonts w:ascii="Times New Roman" w:hAnsi="Times New Roman" w:eastAsia="Times New Roman" w:cs="Times New Roman"/>
      <w:b/>
      <w:sz w:val="28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ed7b03"/>
    <w:rPr/>
  </w:style>
  <w:style w:type="character" w:styleId="StopkaZnak" w:customStyle="1">
    <w:name w:val="Stopka Znak"/>
    <w:basedOn w:val="DefaultParagraphFont"/>
    <w:uiPriority w:val="99"/>
    <w:qFormat/>
    <w:rsid w:val="00ed7b03"/>
    <w:rPr/>
  </w:style>
  <w:style w:type="character" w:styleId="Znakiwypunktowaniauser" w:customStyle="1">
    <w:name w:val="Znaki wypunktowania (user)"/>
    <w:qFormat/>
    <w:rsid w:val="00043ce8"/>
    <w:rPr>
      <w:rFonts w:ascii="OpenSymbol" w:hAnsi="OpenSymbol" w:eastAsia="OpenSymbol" w:cs="OpenSymbol"/>
    </w:rPr>
  </w:style>
  <w:style w:type="character" w:styleId="StopkaZnak1" w:customStyle="1">
    <w:name w:val="Stopka Znak1"/>
    <w:basedOn w:val="DefaultParagraphFont"/>
    <w:uiPriority w:val="99"/>
    <w:qFormat/>
    <w:rsid w:val="001b0527"/>
    <w:rPr/>
  </w:style>
  <w:style w:type="character" w:styleId="Domylnaczcionkaakapitu4" w:customStyle="1">
    <w:name w:val="Domyślna czcionka akapitu4"/>
    <w:qFormat/>
    <w:rsid w:val="00043ce8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ae34fb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043ce8"/>
    <w:pPr>
      <w:spacing w:lineRule="auto" w:line="276" w:before="0" w:after="140"/>
    </w:pPr>
    <w:rPr/>
  </w:style>
  <w:style w:type="paragraph" w:styleId="List">
    <w:name w:val="List"/>
    <w:basedOn w:val="BodyText"/>
    <w:rsid w:val="00043ce8"/>
    <w:pPr/>
    <w:rPr>
      <w:rFonts w:cs="Lucida Sans"/>
    </w:rPr>
  </w:style>
  <w:style w:type="paragraph" w:styleId="Caption" w:customStyle="1">
    <w:name w:val="caption"/>
    <w:basedOn w:val="Normal"/>
    <w:qFormat/>
    <w:rsid w:val="00043ce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 w:customStyle="1">
    <w:name w:val="header"/>
    <w:basedOn w:val="Gwkaistopkauser"/>
    <w:next w:val="BodyText"/>
    <w:rsid w:val="00043ce8"/>
    <w:pPr/>
    <w:rPr/>
  </w:style>
  <w:style w:type="paragraph" w:styleId="Indeksuser" w:customStyle="1">
    <w:name w:val="Indeks (user)"/>
    <w:basedOn w:val="Normal"/>
    <w:qFormat/>
    <w:rsid w:val="00043ce8"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rsid w:val="00043ce8"/>
    <w:pPr/>
    <w:rPr/>
  </w:style>
  <w:style w:type="paragraph" w:styleId="Footer" w:customStyle="1">
    <w:name w:val="footer"/>
    <w:basedOn w:val="Gwkaistopkauser"/>
    <w:rsid w:val="00043ce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e34fb"/>
    <w:pPr/>
    <w:rPr>
      <w:rFonts w:ascii="Tahoma" w:hAnsi="Tahoma" w:cs="Tahoma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00000A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peat.net/" TargetMode="External"/><Relationship Id="rId3" Type="http://schemas.openxmlformats.org/officeDocument/2006/relationships/hyperlink" Target="http://www.epeat.net/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itchFamily="0" charset="1"/>
        <a:ea typeface=""/>
        <a:cs typeface=""/>
      </a:majorFont>
      <a:minorFont>
        <a:latin typeface="Aptos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F5E6E-F87C-4388-9676-B211AC66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LibreOffice/26.2.3.2$Windows_X86_64 LibreOffice_project/70e089b17412e4cb7773e41413306b17a2328c34</Application>
  <AppVersion>15.0000</AppVersion>
  <Pages>33</Pages>
  <Words>8134</Words>
  <Characters>56062</Characters>
  <CharactersWithSpaces>63104</CharactersWithSpaces>
  <Paragraphs>692</Paragraphs>
  <Company>Dell Technologies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2026-06-09T10:34:00Z</dcterms:created>
  <dc:creator>EOT</dc:creator>
  <dc:description/>
  <dc:language>pl-PL</dc:language>
  <cp:lastModifiedBy/>
  <cp:lastPrinted>2026-06-09T10:52:00Z</cp:lastPrinted>
  <dcterms:modified xsi:type="dcterms:W3CDTF">2026-06-09T12:53:09Z</dcterms:modified>
  <cp:revision>5</cp:revision>
  <dc:subject/>
  <dc:title>OPZ — opis usług i konsultacji (Nowogard)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dd1fcc-24d7-4f55-9dc2-c1518f171327_ActionId">
    <vt:lpwstr>6a76f697-0666-4bbc-81e2-9092a3df9c53</vt:lpwstr>
  </property>
  <property fmtid="{D5CDD505-2E9C-101B-9397-08002B2CF9AE}" pid="3" name="MSIP_Label_73dd1fcc-24d7-4f55-9dc2-c1518f171327_ContentBits">
    <vt:lpwstr>2</vt:lpwstr>
  </property>
  <property fmtid="{D5CDD505-2E9C-101B-9397-08002B2CF9AE}" pid="4" name="MSIP_Label_73dd1fcc-24d7-4f55-9dc2-c1518f171327_Enabled">
    <vt:lpwstr>true</vt:lpwstr>
  </property>
  <property fmtid="{D5CDD505-2E9C-101B-9397-08002B2CF9AE}" pid="5" name="MSIP_Label_73dd1fcc-24d7-4f55-9dc2-c1518f171327_Method">
    <vt:lpwstr>Privileged</vt:lpwstr>
  </property>
  <property fmtid="{D5CDD505-2E9C-101B-9397-08002B2CF9AE}" pid="6" name="MSIP_Label_73dd1fcc-24d7-4f55-9dc2-c1518f171327_Name">
    <vt:lpwstr>No Protection (Label Only) - Internal Use</vt:lpwstr>
  </property>
  <property fmtid="{D5CDD505-2E9C-101B-9397-08002B2CF9AE}" pid="7" name="MSIP_Label_73dd1fcc-24d7-4f55-9dc2-c1518f171327_SetDate">
    <vt:lpwstr>2026-06-09T09:51:33Z</vt:lpwstr>
  </property>
  <property fmtid="{D5CDD505-2E9C-101B-9397-08002B2CF9AE}" pid="8" name="MSIP_Label_73dd1fcc-24d7-4f55-9dc2-c1518f171327_SiteId">
    <vt:lpwstr>945c199a-83a2-4e80-9f8c-5a91be5752dd</vt:lpwstr>
  </property>
  <property fmtid="{D5CDD505-2E9C-101B-9397-08002B2CF9AE}" pid="9" name="MSIP_Label_73dd1fcc-24d7-4f55-9dc2-c1518f171327_Tag">
    <vt:lpwstr>10, 0, 1, 1</vt:lpwstr>
  </property>
</Properties>
</file>