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115F88F4">
      <w:pPr>
        <w:pStyle w:val="1_58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</w:pPr>
      <w:r>
        <w:rPr>
          <w:rFonts w:ascii="Verdana" w:hAnsi="Verdan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Nr sprawy: WK.321.1.2026.DR </w:t>
      </w:r>
      <w:r>
        <w:rPr>
          <w:rFonts w:ascii="Tahoma" w:hAnsi="Tahoma" w:cs="Tahoma"/>
          <w:b/>
          <w:i/>
          <w:sz w:val="22"/>
          <w:szCs w:val="22"/>
        </w:rPr>
        <w:t xml:space="preserve">                                                       ZAŁĄCZNIK NR 6</w:t>
      </w:r>
      <w:r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</w:r>
      <w:r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</w:r>
    </w:p>
    <w:p w14:paraId="2A21EB7F">
      <w:pPr>
        <w:pStyle w:val="688"/>
        <w:pBdr/>
        <w:spacing/>
        <w:ind w:right="0" w:left="283"/>
        <w:jc w:val="right"/>
        <w:rPr/>
      </w:pPr>
      <w:r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  <w:t xml:space="preserve">do Specyfikacji Warunków Zamówienia</w:t>
      </w:r>
      <w:r/>
      <w:r/>
    </w:p>
    <w:p w14:paraId="0AB76C63">
      <w:pPr>
        <w:pStyle w:val="1_57"/>
        <w:pBdr/>
        <w:spacing w:after="0" w:before="0"/>
        <w:ind/>
        <w:rPr/>
      </w:pPr>
      <w:r/>
      <w:r/>
      <w:r/>
    </w:p>
    <w:p w14:paraId="5AF130F4">
      <w:pPr>
        <w:pStyle w:val="688"/>
        <w:pBdr/>
        <w:spacing/>
        <w:ind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Fonts w:eastAsia="Times New Roman" w:cs="Times New Roman"/>
          <w:b w:val="0"/>
          <w:bCs w:val="0"/>
          <w:sz w:val="20"/>
          <w:szCs w:val="20"/>
          <w:lang w:val="pl-PL" w:eastAsia="en-US" w:bidi="en-US"/>
        </w:rPr>
        <w:t xml:space="preserve">  </w:t>
      </w:r>
      <w:r>
        <w:rPr>
          <w:rFonts w:ascii="Verdana" w:hAnsi="Verdana" w:eastAsia="Times New Roman" w:cs="Verdana"/>
          <w:b w:val="0"/>
          <w:bCs w:val="0"/>
          <w:sz w:val="20"/>
          <w:szCs w:val="20"/>
          <w:u w:val="single"/>
          <w:lang w:val="pl-PL" w:eastAsia="en-US" w:bidi="en-US"/>
        </w:rPr>
        <w:t xml:space="preserve">Zamawiający:</w:t>
      </w:r>
      <w:r>
        <w:rPr>
          <w:rFonts w:ascii="Verdana" w:hAnsi="Verdana" w:cs="Verdana"/>
          <w:b w:val="0"/>
          <w:bCs w:val="0"/>
          <w:sz w:val="20"/>
          <w:szCs w:val="20"/>
          <w:lang w:val="pl-PL" w:bidi="pl-PL"/>
        </w:rPr>
      </w:r>
      <w:r>
        <w:rPr>
          <w:rFonts w:ascii="Verdana" w:hAnsi="Verdana" w:cs="Verdana"/>
          <w:b w:val="0"/>
          <w:bCs w:val="0"/>
          <w:sz w:val="20"/>
          <w:szCs w:val="20"/>
          <w:lang w:val="pl-PL"/>
        </w:rPr>
      </w:r>
    </w:p>
    <w:p w14:paraId="2B3407F6">
      <w:pPr>
        <w:pStyle w:val="688"/>
        <w:pBdr/>
        <w:spacing w:after="0" w:before="0" w:line="240" w:lineRule="auto"/>
        <w:ind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Fonts w:ascii="Verdana" w:hAnsi="Verdana" w:cs="Verdana"/>
          <w:b w:val="0"/>
          <w:bCs w:val="0"/>
          <w:sz w:val="20"/>
          <w:szCs w:val="20"/>
          <w:lang w:val="pl-PL"/>
        </w:rPr>
        <w:t xml:space="preserve">Straż Miejska Wrocławia</w:t>
      </w:r>
      <w:r>
        <w:rPr>
          <w:rFonts w:ascii="Verdana" w:hAnsi="Verdana" w:cs="Verdana"/>
          <w:b w:val="0"/>
          <w:bCs w:val="0"/>
          <w:sz w:val="20"/>
          <w:szCs w:val="20"/>
          <w:lang w:val="pl-PL" w:bidi="pl-PL"/>
        </w:rPr>
      </w:r>
      <w:r>
        <w:rPr>
          <w:rFonts w:ascii="Verdana" w:hAnsi="Verdana" w:cs="Verdana"/>
          <w:b w:val="0"/>
          <w:bCs w:val="0"/>
          <w:sz w:val="20"/>
          <w:szCs w:val="20"/>
          <w:lang w:val="pl-PL"/>
        </w:rPr>
      </w:r>
    </w:p>
    <w:p w14:paraId="5D5C2959">
      <w:pPr>
        <w:pStyle w:val="688"/>
        <w:pBdr/>
        <w:spacing w:after="0" w:before="0" w:line="240" w:lineRule="auto"/>
        <w:ind/>
        <w:rPr>
          <w:rFonts w:ascii="Verdana" w:hAnsi="Verdana" w:eastAsia="Times New Roman" w:cs="Verdana"/>
          <w:b w:val="0"/>
          <w:bCs w:val="0"/>
          <w:sz w:val="20"/>
          <w:szCs w:val="20"/>
        </w:rPr>
      </w:pPr>
      <w:r>
        <w:rPr>
          <w:rFonts w:ascii="Verdana" w:hAnsi="Verdana" w:cs="Verdana"/>
          <w:b w:val="0"/>
          <w:bCs w:val="0"/>
          <w:sz w:val="20"/>
          <w:szCs w:val="20"/>
          <w:lang w:val="pl-PL"/>
        </w:rPr>
        <w:t xml:space="preserve">ul. Na Grobli 14/16</w:t>
      </w:r>
      <w:r>
        <w:rPr>
          <w:rFonts w:ascii="Verdana" w:hAnsi="Verdana" w:eastAsia="Times New Roman" w:cs="Verdana"/>
          <w:b w:val="0"/>
          <w:bCs w:val="0"/>
          <w:sz w:val="20"/>
          <w:szCs w:val="20"/>
          <w:lang w:val="pl-PL" w:eastAsia="en-US" w:bidi="pl-PL"/>
        </w:rPr>
      </w:r>
      <w:r>
        <w:rPr>
          <w:rFonts w:ascii="Verdana" w:hAnsi="Verdana" w:eastAsia="Times New Roman" w:cs="Verdana"/>
          <w:b w:val="0"/>
          <w:bCs w:val="0"/>
          <w:sz w:val="20"/>
          <w:szCs w:val="20"/>
          <w:lang w:val="pl-PL" w:eastAsia="en-US" w:bidi="en-US"/>
        </w:rPr>
      </w:r>
    </w:p>
    <w:p w14:paraId="57666E42">
      <w:pPr>
        <w:pStyle w:val="688"/>
        <w:pBdr/>
        <w:spacing w:after="0" w:before="0" w:line="240" w:lineRule="auto"/>
        <w:ind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Fonts w:ascii="Verdana" w:hAnsi="Verdana" w:eastAsia="Times New Roman" w:cs="Verdana"/>
          <w:b w:val="0"/>
          <w:bCs w:val="0"/>
          <w:sz w:val="20"/>
          <w:szCs w:val="20"/>
          <w:lang w:val="pl-PL" w:eastAsia="en-US" w:bidi="en-US"/>
        </w:rPr>
        <w:t xml:space="preserve">50-421 Wrocław</w:t>
      </w:r>
      <w:r>
        <w:rPr>
          <w:rFonts w:eastAsia="Times New Roman" w:cs="Times New Roman"/>
          <w:b w:val="0"/>
          <w:bCs w:val="0"/>
          <w:sz w:val="20"/>
          <w:szCs w:val="20"/>
          <w:lang w:val="pl-PL" w:eastAsia="en-US" w:bidi="en-US"/>
        </w:rPr>
        <w:t xml:space="preserve">    </w:t>
      </w:r>
      <w:r>
        <w:rPr>
          <w:rFonts w:ascii="Verdana" w:hAnsi="Verdana" w:cs="Verdana"/>
          <w:b w:val="0"/>
          <w:bCs w:val="0"/>
          <w:sz w:val="20"/>
          <w:szCs w:val="20"/>
          <w:lang w:val="pl-PL" w:bidi="pl-PL"/>
        </w:rPr>
      </w:r>
      <w:r>
        <w:rPr>
          <w:rFonts w:ascii="Verdana" w:hAnsi="Verdana" w:cs="Verdana"/>
          <w:b w:val="0"/>
          <w:bCs w:val="0"/>
          <w:sz w:val="20"/>
          <w:szCs w:val="20"/>
          <w:lang w:val="pl-PL"/>
        </w:rPr>
      </w:r>
    </w:p>
    <w:p w14:paraId="39D9D42A">
      <w:pPr>
        <w:pStyle w:val="688"/>
        <w:pBdr/>
        <w:bidi w:val="false"/>
        <w:spacing/>
        <w:ind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</w:r>
      <w:r>
        <w:rPr>
          <w:rFonts w:ascii="Verdana" w:hAnsi="Verdana"/>
          <w:sz w:val="20"/>
          <w:szCs w:val="20"/>
          <w:lang w:val="pl-PL"/>
        </w:rPr>
      </w:r>
      <w:r/>
    </w:p>
    <w:p w14:paraId="5C97D34A">
      <w:pPr>
        <w:pStyle w:val="688"/>
        <w:pBdr/>
        <w:bidi w:val="false"/>
        <w:spacing/>
        <w:ind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b/>
          <w:bCs/>
          <w:sz w:val="20"/>
          <w:szCs w:val="20"/>
          <w:highlight w:val="none"/>
          <w:lang w:val="pl-PL"/>
        </w:rPr>
      </w:r>
      <w:r>
        <w:rPr>
          <w:rFonts w:ascii="Verdana" w:hAnsi="Verdana"/>
          <w:b/>
          <w:bCs/>
          <w:sz w:val="20"/>
          <w:szCs w:val="20"/>
          <w:highlight w:val="none"/>
          <w:lang w:val="pl-PL"/>
        </w:rPr>
      </w:r>
      <w:r>
        <w:rPr>
          <w:rFonts w:ascii="Verdana" w:hAnsi="Verdana"/>
          <w:b/>
          <w:bCs/>
          <w:sz w:val="20"/>
          <w:szCs w:val="20"/>
          <w:highlight w:val="none"/>
          <w:lang w:val="pl-PL"/>
        </w:rPr>
      </w:r>
    </w:p>
    <w:p w14:paraId="227BC910">
      <w:pPr>
        <w:pStyle w:val="688"/>
        <w:pBdr/>
        <w:bidi w:val="false"/>
        <w:spacing/>
        <w:ind/>
        <w:jc w:val="both"/>
        <w:rPr>
          <w:rFonts w:ascii="Verdana" w:hAnsi="Verdana"/>
          <w:b/>
          <w:bCs/>
          <w:sz w:val="20"/>
          <w:szCs w:val="20"/>
          <w:highlight w:val="none"/>
          <w:lang w:val="pl-PL"/>
        </w:rPr>
      </w:pPr>
      <w:r>
        <w:rPr>
          <w:rFonts w:ascii="Verdana" w:hAnsi="Verdana"/>
          <w:b/>
          <w:bCs/>
          <w:sz w:val="20"/>
          <w:szCs w:val="20"/>
          <w:highlight w:val="none"/>
          <w:lang w:val="pl-PL"/>
        </w:rPr>
      </w:r>
      <w:r>
        <w:rPr>
          <w:rFonts w:ascii="Verdana" w:hAnsi="Verdana"/>
          <w:b/>
          <w:bCs/>
          <w:sz w:val="20"/>
          <w:szCs w:val="20"/>
          <w:highlight w:val="none"/>
          <w:lang w:val="pl-PL"/>
        </w:rPr>
      </w:r>
      <w:r>
        <w:rPr>
          <w:rFonts w:ascii="Verdana" w:hAnsi="Verdana"/>
          <w:b/>
          <w:bCs/>
          <w:sz w:val="20"/>
          <w:szCs w:val="20"/>
          <w:highlight w:val="none"/>
          <w:lang w:val="pl-PL"/>
        </w:rPr>
      </w:r>
    </w:p>
    <w:p w14:paraId="769060B2">
      <w:pPr>
        <w:pStyle w:val="688"/>
        <w:pBdr/>
        <w:bidi w:val="false"/>
        <w:spacing/>
        <w:ind/>
        <w:jc w:val="center"/>
        <w:rPr>
          <w:rFonts w:ascii="Verdana" w:hAnsi="Verdana"/>
          <w:b/>
          <w:bCs/>
          <w:sz w:val="20"/>
          <w:szCs w:val="20"/>
          <w:highlight w:val="none"/>
          <w:lang w:val="pl-PL"/>
        </w:rPr>
      </w:pPr>
      <w:r>
        <w:rPr>
          <w:rFonts w:ascii="Verdana" w:hAnsi="Verdana"/>
          <w:sz w:val="20"/>
          <w:szCs w:val="20"/>
          <w:lang w:val="pl-PL"/>
        </w:rPr>
        <w:tab/>
      </w:r>
      <w:r>
        <w:rPr>
          <w:rFonts w:ascii="Verdana" w:hAnsi="Verdana"/>
          <w:b/>
          <w:bCs/>
          <w:sz w:val="20"/>
          <w:szCs w:val="20"/>
          <w:lang w:val="pl-PL"/>
        </w:rPr>
        <w:t xml:space="preserve">SZCZEGÓŁOWY OPIS</w:t>
      </w:r>
      <w:r>
        <w:rPr>
          <w:rFonts w:ascii="Verdana" w:hAnsi="Verdana"/>
          <w:b/>
          <w:bCs/>
          <w:sz w:val="20"/>
          <w:szCs w:val="20"/>
          <w:lang w:val="pl-PL"/>
        </w:rPr>
        <w:t xml:space="preserve"> PRZEDMIOTU ZAMÓWIENIA</w:t>
      </w:r>
      <w:r>
        <w:rPr>
          <w:rFonts w:ascii="Verdana" w:hAnsi="Verdana"/>
          <w:sz w:val="20"/>
          <w:szCs w:val="20"/>
          <w:lang w:val="pl-PL"/>
        </w:rPr>
      </w:r>
      <w:r/>
    </w:p>
    <w:p>
      <w:pPr>
        <w:pStyle w:val="688"/>
        <w:pBdr/>
        <w:bidi w:val="false"/>
        <w:spacing/>
        <w:ind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 w:bidi="pl-PL"/>
        </w:rPr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numPr>
          <w:ilvl w:val="0"/>
          <w:numId w:val="1"/>
        </w:numPr>
        <w:pBdr/>
        <w:bidi w:val="false"/>
        <w:spacing/>
        <w:ind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 xml:space="preserve">Przedmiotem zamówienia j</w:t>
      </w:r>
      <w:r>
        <w:rPr>
          <w:rFonts w:ascii="Verdana" w:hAnsi="Verdana"/>
          <w:sz w:val="20"/>
          <w:szCs w:val="20"/>
          <w:lang w:val="pl-PL"/>
        </w:rPr>
        <w:t xml:space="preserve">est świadczenie przez Wykonawcę na rzecz Zamawiającego usług pocztowych w obrocie krajowym i zagranicznym, w zakresie odbioru, przyjmowania, przemieszczania i doręczania przesyłek pocztowych jak również dokonywania zwrotów przesyłek niedoręczonych, zgodnie</w:t>
      </w:r>
      <w:r>
        <w:rPr>
          <w:rFonts w:ascii="Verdana" w:hAnsi="Verdana"/>
          <w:color w:val="000000"/>
          <w:sz w:val="20"/>
          <w:szCs w:val="20"/>
          <w:lang w:val="pl-PL"/>
        </w:rPr>
        <w:t xml:space="preserve"> ustawą z dnia 23 listopada 2012 r. Prawo pocztowe, w okresie od dnia </w:t>
      </w:r>
      <w:r>
        <w:rPr>
          <w:rFonts w:ascii="Verdana" w:hAnsi="Verdana"/>
          <w:b w:val="0"/>
          <w:bCs w:val="0"/>
          <w:color w:val="000000"/>
          <w:sz w:val="20"/>
          <w:szCs w:val="20"/>
          <w:lang w:val="pl-PL"/>
        </w:rPr>
        <w:t xml:space="preserve">01 </w:t>
      </w:r>
      <w:r>
        <w:rPr>
          <w:rFonts w:ascii="Verdana" w:hAnsi="Verdana"/>
          <w:b w:val="0"/>
          <w:bCs w:val="0"/>
          <w:color w:val="000000"/>
          <w:sz w:val="20"/>
          <w:szCs w:val="20"/>
          <w:lang w:val="pl-PL"/>
        </w:rPr>
        <w:t xml:space="preserve">czerwca</w:t>
      </w:r>
      <w:r>
        <w:rPr>
          <w:rFonts w:ascii="Verdana" w:hAnsi="Verdana"/>
          <w:b w:val="0"/>
          <w:bCs w:val="0"/>
          <w:color w:val="000000"/>
          <w:sz w:val="20"/>
          <w:szCs w:val="20"/>
          <w:lang w:val="pl-PL"/>
        </w:rPr>
        <w:t xml:space="preserve"> 2026</w:t>
      </w:r>
      <w:r>
        <w:rPr>
          <w:rFonts w:ascii="Verdana" w:hAnsi="Verdana"/>
          <w:b w:val="0"/>
          <w:bCs w:val="0"/>
          <w:color w:val="000000"/>
          <w:sz w:val="20"/>
          <w:szCs w:val="20"/>
          <w:lang w:val="pl-PL"/>
        </w:rPr>
        <w:t xml:space="preserve"> </w:t>
      </w:r>
      <w:r>
        <w:rPr>
          <w:rFonts w:ascii="Verdana" w:hAnsi="Verdana"/>
          <w:b w:val="0"/>
          <w:bCs w:val="0"/>
          <w:color w:val="000000"/>
          <w:sz w:val="20"/>
          <w:szCs w:val="20"/>
          <w:lang w:val="pl-PL"/>
        </w:rPr>
        <w:t xml:space="preserve">roku </w:t>
      </w:r>
      <w:r>
        <w:rPr>
          <w:rFonts w:ascii="Verdana" w:hAnsi="Verdana"/>
          <w:b w:val="0"/>
          <w:bCs w:val="0"/>
          <w:color w:val="000000"/>
          <w:sz w:val="20"/>
          <w:szCs w:val="20"/>
          <w:lang w:val="pl-PL"/>
        </w:rPr>
        <w:t xml:space="preserve">do 31 grudnia 20</w:t>
      </w:r>
      <w:r>
        <w:rPr>
          <w:rFonts w:ascii="Verdana" w:hAnsi="Verdana"/>
          <w:b w:val="0"/>
          <w:bCs w:val="0"/>
          <w:color w:val="000000"/>
          <w:sz w:val="20"/>
          <w:szCs w:val="20"/>
          <w:lang w:val="pl-PL"/>
        </w:rPr>
        <w:t xml:space="preserve">29</w:t>
      </w:r>
      <w:r>
        <w:rPr>
          <w:rFonts w:ascii="Verdana" w:hAnsi="Verdana"/>
          <w:b w:val="0"/>
          <w:bCs w:val="0"/>
          <w:color w:val="000000"/>
          <w:sz w:val="20"/>
          <w:szCs w:val="20"/>
          <w:lang w:val="pl-PL"/>
        </w:rPr>
        <w:t xml:space="preserve"> </w:t>
      </w:r>
      <w:r>
        <w:rPr>
          <w:rFonts w:ascii="Verdana" w:hAnsi="Verdana"/>
          <w:b w:val="0"/>
          <w:bCs w:val="0"/>
          <w:color w:val="000000"/>
          <w:sz w:val="20"/>
          <w:szCs w:val="20"/>
          <w:lang w:val="pl-PL"/>
        </w:rPr>
        <w:t xml:space="preserve">roku.  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numPr>
          <w:ilvl w:val="0"/>
          <w:numId w:val="1"/>
        </w:numPr>
        <w:pBdr/>
        <w:bidi w:val="false"/>
        <w:spacing/>
        <w:ind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 xml:space="preserve">Świadczenie usług pocztowych polegać będzie w szczególności na: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numPr>
          <w:ilvl w:val="0"/>
          <w:numId w:val="0"/>
        </w:numPr>
        <w:pBdr/>
        <w:bidi w:val="false"/>
        <w:spacing/>
        <w:ind w:firstLine="0" w:left="720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 xml:space="preserve">Odbiorze </w:t>
      </w:r>
      <w:r>
        <w:rPr>
          <w:rFonts w:ascii="Verdana" w:hAnsi="Verdana"/>
          <w:sz w:val="20"/>
          <w:szCs w:val="20"/>
          <w:lang w:val="pl-PL"/>
        </w:rPr>
        <w:t xml:space="preserve">z siedziby Straży Miejskiej Wrocławia, ul.Na Grobli 14/16</w:t>
      </w:r>
      <w:r>
        <w:rPr>
          <w:rFonts w:ascii="Verdana" w:hAnsi="Verdana"/>
          <w:sz w:val="20"/>
          <w:szCs w:val="20"/>
          <w:lang w:val="pl-PL"/>
        </w:rPr>
        <w:t xml:space="preserve">, przyjmowaniu, przemieszczaniu </w:t>
      </w:r>
      <w:r>
        <w:rPr>
          <w:rFonts w:ascii="Verdana" w:hAnsi="Verdana"/>
          <w:sz w:val="20"/>
          <w:szCs w:val="20"/>
          <w:lang w:val="pl-PL"/>
        </w:rPr>
        <w:t xml:space="preserve">i</w:t>
      </w:r>
      <w:r>
        <w:rPr>
          <w:rFonts w:ascii="Verdana" w:hAnsi="Verdana"/>
          <w:sz w:val="20"/>
          <w:szCs w:val="20"/>
          <w:lang w:val="pl-PL"/>
        </w:rPr>
        <w:t xml:space="preserve"> doręczaniu: 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numPr>
          <w:ilvl w:val="0"/>
          <w:numId w:val="0"/>
        </w:numPr>
        <w:pBdr/>
        <w:bidi w:val="false"/>
        <w:spacing/>
        <w:ind w:firstLine="0" w:left="720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 xml:space="preserve">-przesyłek </w:t>
      </w:r>
      <w:r>
        <w:rPr>
          <w:rFonts w:ascii="Verdana" w:hAnsi="Verdana"/>
          <w:sz w:val="20"/>
          <w:szCs w:val="20"/>
          <w:lang w:val="pl-PL"/>
        </w:rPr>
        <w:t xml:space="preserve">listowych </w:t>
      </w:r>
      <w:r>
        <w:rPr>
          <w:rFonts w:ascii="Verdana" w:hAnsi="Verdana"/>
          <w:sz w:val="20"/>
          <w:szCs w:val="20"/>
          <w:lang w:val="pl-PL"/>
        </w:rPr>
        <w:t xml:space="preserve">krajowych</w:t>
      </w:r>
      <w:r>
        <w:rPr>
          <w:rFonts w:ascii="Verdana" w:hAnsi="Verdana"/>
          <w:sz w:val="20"/>
          <w:szCs w:val="20"/>
          <w:lang w:val="pl-PL"/>
        </w:rPr>
        <w:t xml:space="preserve"> nierejestrowanych ekonomicznych (listy zwykłe), Format S o wadze do 500g, M do 1000g, L do 2000g,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numPr>
          <w:ilvl w:val="0"/>
          <w:numId w:val="0"/>
        </w:numPr>
        <w:pBdr/>
        <w:bidi w:val="false"/>
        <w:spacing/>
        <w:ind w:firstLine="0" w:left="720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 xml:space="preserve">-przesyłek listowych krajowych rejestrowanych ekonomicznych (listy polecone), </w:t>
      </w:r>
      <w:r>
        <w:rPr>
          <w:rFonts w:ascii="Verdana" w:hAnsi="Verdana"/>
          <w:sz w:val="20"/>
          <w:szCs w:val="20"/>
          <w:lang w:val="pl-PL"/>
        </w:rPr>
        <w:t xml:space="preserve">Format S</w:t>
      </w:r>
      <w:r>
        <w:rPr>
          <w:rFonts w:ascii="Verdana" w:hAnsi="Verdana"/>
          <w:sz w:val="20"/>
          <w:szCs w:val="20"/>
          <w:lang w:val="pl-PL"/>
        </w:rPr>
        <w:t xml:space="preserve"> o wadze do 500g, </w:t>
      </w:r>
      <w:r>
        <w:rPr>
          <w:rFonts w:ascii="Verdana" w:hAnsi="Verdana"/>
          <w:sz w:val="20"/>
          <w:szCs w:val="20"/>
          <w:lang w:val="pl-PL"/>
        </w:rPr>
        <w:t xml:space="preserve">M </w:t>
      </w:r>
      <w:r>
        <w:rPr>
          <w:rFonts w:ascii="Verdana" w:hAnsi="Verdana"/>
          <w:sz w:val="20"/>
          <w:szCs w:val="20"/>
          <w:lang w:val="pl-PL"/>
        </w:rPr>
        <w:t xml:space="preserve">do 1000g, </w:t>
      </w:r>
      <w:r>
        <w:rPr>
          <w:rFonts w:ascii="Verdana" w:hAnsi="Verdana"/>
          <w:sz w:val="20"/>
          <w:szCs w:val="20"/>
          <w:lang w:val="pl-PL"/>
        </w:rPr>
        <w:t xml:space="preserve">L </w:t>
      </w:r>
      <w:r>
        <w:rPr>
          <w:rFonts w:ascii="Verdana" w:hAnsi="Verdana"/>
          <w:sz w:val="20"/>
          <w:szCs w:val="20"/>
          <w:lang w:val="pl-PL"/>
        </w:rPr>
        <w:t xml:space="preserve">do 2000g,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numPr>
          <w:ilvl w:val="0"/>
          <w:numId w:val="0"/>
        </w:numPr>
        <w:pBdr/>
        <w:bidi w:val="false"/>
        <w:spacing/>
        <w:ind w:firstLine="0" w:left="720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 xml:space="preserve">-przesyłek listowych krajowych </w:t>
      </w:r>
      <w:r>
        <w:rPr>
          <w:rFonts w:ascii="Verdana" w:hAnsi="Verdana"/>
          <w:sz w:val="20"/>
          <w:szCs w:val="20"/>
          <w:lang w:val="pl-PL"/>
        </w:rPr>
        <w:t xml:space="preserve">ekonomicznych </w:t>
      </w:r>
      <w:r>
        <w:rPr>
          <w:rFonts w:ascii="Verdana" w:hAnsi="Verdana"/>
          <w:sz w:val="20"/>
          <w:szCs w:val="20"/>
          <w:lang w:val="pl-PL"/>
        </w:rPr>
        <w:t xml:space="preserve">rejestrowanych z potwierdzeniem odbioru </w:t>
      </w:r>
      <w:r>
        <w:rPr>
          <w:rFonts w:ascii="Verdana" w:hAnsi="Verdana"/>
          <w:sz w:val="20"/>
          <w:szCs w:val="20"/>
          <w:lang w:val="pl-PL"/>
        </w:rPr>
        <w:t xml:space="preserve">(polecone z ZPO), Format S o wadze do 500g, M do 1000g, L do 2000g,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numPr>
          <w:ilvl w:val="0"/>
          <w:numId w:val="0"/>
        </w:numPr>
        <w:pBdr/>
        <w:bidi w:val="false"/>
        <w:spacing/>
        <w:ind w:firstLine="0" w:left="720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 xml:space="preserve">-przesyłek listowych zagranicznych rejestrowanych </w:t>
      </w:r>
      <w:r>
        <w:rPr>
          <w:rFonts w:ascii="Verdana" w:hAnsi="Verdana"/>
          <w:sz w:val="20"/>
          <w:szCs w:val="20"/>
          <w:lang w:val="pl-PL"/>
        </w:rPr>
        <w:t xml:space="preserve">priorytetowych</w:t>
      </w:r>
      <w:r>
        <w:rPr>
          <w:rFonts w:ascii="Verdana" w:hAnsi="Verdana"/>
          <w:sz w:val="20"/>
          <w:szCs w:val="20"/>
          <w:lang w:val="pl-PL"/>
        </w:rPr>
        <w:t xml:space="preserve"> </w:t>
      </w:r>
      <w:r>
        <w:rPr>
          <w:rFonts w:ascii="Verdana" w:hAnsi="Verdana"/>
          <w:sz w:val="20"/>
          <w:szCs w:val="20"/>
          <w:lang w:val="pl-PL"/>
        </w:rPr>
        <w:t xml:space="preserve">(strefa A,B,C,D)      o wadze do 50g,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numPr>
          <w:ilvl w:val="0"/>
          <w:numId w:val="0"/>
        </w:numPr>
        <w:pBdr/>
        <w:bidi w:val="false"/>
        <w:spacing/>
        <w:ind w:firstLine="0" w:left="720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 xml:space="preserve">-</w:t>
      </w:r>
      <w:r>
        <w:rPr>
          <w:rFonts w:ascii="Verdana" w:hAnsi="Verdana"/>
          <w:sz w:val="20"/>
          <w:szCs w:val="20"/>
          <w:lang w:val="pl-PL"/>
        </w:rPr>
        <w:t xml:space="preserve">paczek </w:t>
      </w:r>
      <w:r>
        <w:rPr>
          <w:rFonts w:ascii="Verdana" w:hAnsi="Verdana"/>
          <w:sz w:val="20"/>
          <w:szCs w:val="20"/>
          <w:lang w:val="pl-PL"/>
        </w:rPr>
        <w:t xml:space="preserve">pocztowych ekonomicznych krajowych Gabaryt A i B, o wadze do 1kg, ponad 1kg do 2kg, ponad 2kg do 5kg, ponad 5kg do 10kg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numPr>
          <w:ilvl w:val="0"/>
          <w:numId w:val="0"/>
        </w:numPr>
        <w:pBdr/>
        <w:bidi w:val="false"/>
        <w:spacing/>
        <w:ind w:firstLine="0" w:left="720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 xml:space="preserve">-paczek pocztowych </w:t>
      </w:r>
      <w:r>
        <w:rPr>
          <w:rFonts w:ascii="Verdana" w:hAnsi="Verdana"/>
          <w:sz w:val="20"/>
          <w:szCs w:val="20"/>
          <w:lang w:val="pl-PL"/>
        </w:rPr>
        <w:t xml:space="preserve">priorytetowych</w:t>
      </w:r>
      <w:r>
        <w:rPr>
          <w:rFonts w:ascii="Verdana" w:hAnsi="Verdana"/>
          <w:sz w:val="20"/>
          <w:szCs w:val="20"/>
          <w:lang w:val="pl-PL"/>
        </w:rPr>
        <w:t xml:space="preserve"> krajowych Gabaryt A i B, o wadze do 1kg, ponad 1kg do 2kg, ponad 2kg do 5kg, ponad 5kg do 10kg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numPr>
          <w:ilvl w:val="0"/>
          <w:numId w:val="0"/>
        </w:numPr>
        <w:pBdr/>
        <w:bidi w:val="false"/>
        <w:spacing/>
        <w:ind w:firstLine="0" w:left="720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 xml:space="preserve">oraz </w:t>
      </w:r>
      <w:r>
        <w:rPr>
          <w:rFonts w:ascii="Verdana" w:hAnsi="Verdana"/>
          <w:sz w:val="20"/>
          <w:szCs w:val="20"/>
          <w:lang w:val="pl-PL"/>
        </w:rPr>
        <w:t xml:space="preserve">zwrot</w:t>
      </w:r>
      <w:r>
        <w:rPr>
          <w:rFonts w:ascii="Verdana" w:hAnsi="Verdana"/>
          <w:sz w:val="20"/>
          <w:szCs w:val="20"/>
          <w:lang w:val="pl-PL"/>
        </w:rPr>
        <w:t xml:space="preserve">ach</w:t>
      </w:r>
      <w:r>
        <w:rPr>
          <w:rFonts w:ascii="Verdana" w:hAnsi="Verdana"/>
          <w:sz w:val="20"/>
          <w:szCs w:val="20"/>
          <w:lang w:val="pl-PL"/>
        </w:rPr>
        <w:t xml:space="preserve"> przesyłek niedoręczonych </w:t>
      </w:r>
      <w:r>
        <w:rPr>
          <w:rFonts w:ascii="Verdana" w:hAnsi="Verdana"/>
          <w:sz w:val="20"/>
          <w:szCs w:val="20"/>
          <w:lang w:val="pl-PL"/>
        </w:rPr>
        <w:t xml:space="preserve">po wyczerpaniu możliwości ich doręczenia adresatowi</w:t>
      </w:r>
      <w:r>
        <w:rPr>
          <w:rFonts w:ascii="Verdana" w:hAnsi="Verdana"/>
          <w:sz w:val="20"/>
          <w:szCs w:val="20"/>
          <w:lang w:val="pl-PL"/>
        </w:rPr>
        <w:t xml:space="preserve">. 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numPr>
          <w:ilvl w:val="0"/>
          <w:numId w:val="1"/>
        </w:numPr>
        <w:pBdr/>
        <w:bidi w:val="false"/>
        <w:spacing/>
        <w:ind/>
        <w:jc w:val="both"/>
        <w:rPr>
          <w:rFonts w:ascii="Verdana" w:hAnsi="Verdana"/>
          <w:b w:val="0"/>
          <w:bCs w:val="0"/>
          <w:sz w:val="20"/>
          <w:szCs w:val="20"/>
          <w:lang w:val="pl-PL"/>
        </w:rPr>
      </w:pPr>
      <w:r>
        <w:rPr>
          <w:rFonts w:ascii="Verdana" w:hAnsi="Verdana"/>
          <w:b w:val="0"/>
          <w:bCs w:val="0"/>
          <w:sz w:val="20"/>
          <w:szCs w:val="20"/>
          <w:lang w:val="pl-PL"/>
        </w:rPr>
        <w:t xml:space="preserve">Wymiary przesyłek:</w:t>
      </w:r>
      <w:r>
        <w:rPr>
          <w:rFonts w:ascii="Verdana" w:hAnsi="Verdana"/>
          <w:b w:val="0"/>
          <w:bCs w:val="0"/>
          <w:sz w:val="20"/>
          <w:szCs w:val="20"/>
          <w:lang w:val="pl-PL"/>
        </w:rPr>
      </w:r>
    </w:p>
    <w:p>
      <w:pPr>
        <w:pStyle w:val="688"/>
        <w:numPr>
          <w:ilvl w:val="0"/>
          <w:numId w:val="0"/>
        </w:numPr>
        <w:pBdr/>
        <w:bidi w:val="false"/>
        <w:spacing/>
        <w:ind w:firstLine="0" w:left="720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b w:val="0"/>
          <w:bCs w:val="0"/>
          <w:sz w:val="20"/>
          <w:szCs w:val="20"/>
          <w:lang w:val="pl-PL"/>
        </w:rPr>
        <w:t xml:space="preserve">FORMAT S </w:t>
      </w:r>
      <w:r>
        <w:rPr>
          <w:rFonts w:ascii="Verdana" w:hAnsi="Verdana"/>
          <w:sz w:val="20"/>
          <w:szCs w:val="20"/>
          <w:lang w:val="pl-PL"/>
        </w:rPr>
        <w:t xml:space="preserve">to przesyłki o wymiarach: 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pBdr/>
        <w:bidi w:val="false"/>
        <w:spacing/>
        <w:ind/>
        <w:jc w:val="left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ab/>
        <w:t xml:space="preserve">MINIMUM - wymiary strony adresowej nie mogą być mniejsze niż 90 x 140 mm 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pBdr/>
        <w:bidi w:val="false"/>
        <w:spacing/>
        <w:ind/>
        <w:jc w:val="left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ab/>
        <w:t xml:space="preserve">MAKSIMUM - żaden z wymiarów nie może przekroczyć: wysokość 20 mm, długość 230 </w:t>
        <w:tab/>
        <w:t xml:space="preserve">mm, szerokość 160 mm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numPr>
          <w:ilvl w:val="0"/>
          <w:numId w:val="0"/>
        </w:numPr>
        <w:pBdr/>
        <w:bidi w:val="false"/>
        <w:spacing/>
        <w:ind w:firstLine="0" w:left="720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b w:val="0"/>
          <w:bCs w:val="0"/>
          <w:sz w:val="20"/>
          <w:szCs w:val="20"/>
          <w:lang w:val="pl-PL"/>
        </w:rPr>
        <w:t xml:space="preserve">FORMAT M </w:t>
      </w:r>
      <w:r>
        <w:rPr>
          <w:rFonts w:ascii="Verdana" w:hAnsi="Verdana"/>
          <w:sz w:val="20"/>
          <w:szCs w:val="20"/>
          <w:lang w:val="pl-PL"/>
        </w:rPr>
        <w:t xml:space="preserve">to przesyłki o wymiarach: 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pBdr/>
        <w:bidi w:val="false"/>
        <w:spacing/>
        <w:ind/>
        <w:jc w:val="left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ab/>
        <w:t xml:space="preserve">MINIMUM </w:t>
      </w:r>
      <w:r>
        <w:rPr>
          <w:rFonts w:ascii="Verdana" w:hAnsi="Verdana"/>
          <w:sz w:val="20"/>
          <w:szCs w:val="20"/>
          <w:lang w:val="pl-PL"/>
        </w:rPr>
        <w:t xml:space="preserve">- </w:t>
      </w:r>
      <w:r>
        <w:rPr>
          <w:rFonts w:ascii="Verdana" w:hAnsi="Verdana"/>
          <w:sz w:val="20"/>
          <w:szCs w:val="20"/>
          <w:lang w:val="pl-PL"/>
        </w:rPr>
        <w:t xml:space="preserve">wymiary strony adresowej nie mogą być mniejsze niż 90 x 140 mm 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pBdr/>
        <w:bidi w:val="false"/>
        <w:spacing/>
        <w:ind/>
        <w:jc w:val="left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ab/>
        <w:t xml:space="preserve">MAKSIMUM - żaden z wymiarów nie może przekroczyć: wysokość 20 mm, długość 325 </w:t>
        <w:tab/>
        <w:t xml:space="preserve">mm, szerokość 230mm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pBdr/>
        <w:bidi w:val="false"/>
        <w:spacing/>
        <w:ind/>
        <w:jc w:val="left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ab/>
        <w:t xml:space="preserve">FORMAT L to przesyłki o wymiarach: 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pBdr/>
        <w:bidi w:val="false"/>
        <w:spacing/>
        <w:ind/>
        <w:jc w:val="left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ab/>
        <w:t xml:space="preserve">MINIMUM - wymiary strony adresowej nie mogą być mniejsze niż 90 x 140 mm 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pBdr/>
        <w:bidi w:val="false"/>
        <w:spacing/>
        <w:ind/>
        <w:jc w:val="left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ab/>
        <w:t xml:space="preserve">MAKSIMUM - suma długości, szerokości i wysokości 900 mm, przy czym największy z </w:t>
        <w:tab/>
        <w:t xml:space="preserve">tych wymiarów (długość) nie może przekroczyć 600 mm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numPr>
          <w:ilvl w:val="0"/>
          <w:numId w:val="1"/>
        </w:numPr>
        <w:pBdr/>
        <w:bidi w:val="false"/>
        <w:spacing/>
        <w:ind/>
        <w:jc w:val="both"/>
        <w:rPr>
          <w:rFonts w:ascii="Verdana" w:hAnsi="Verdana"/>
          <w:b w:val="0"/>
          <w:bCs w:val="0"/>
          <w:sz w:val="20"/>
          <w:szCs w:val="20"/>
          <w:lang w:val="pl-PL"/>
        </w:rPr>
      </w:pPr>
      <w:r>
        <w:rPr>
          <w:rFonts w:ascii="Verdana" w:hAnsi="Verdana"/>
          <w:b w:val="0"/>
          <w:bCs w:val="0"/>
          <w:color w:val="000000"/>
          <w:sz w:val="20"/>
          <w:szCs w:val="20"/>
          <w:lang w:val="pl-PL"/>
        </w:rPr>
        <w:t xml:space="preserve">Wymiary </w:t>
      </w:r>
      <w:r>
        <w:rPr>
          <w:rFonts w:ascii="Verdana" w:hAnsi="Verdana"/>
          <w:b w:val="0"/>
          <w:bCs w:val="0"/>
          <w:sz w:val="20"/>
          <w:szCs w:val="20"/>
          <w:lang w:val="pl-PL"/>
        </w:rPr>
        <w:t xml:space="preserve">paczek </w:t>
      </w:r>
      <w:r>
        <w:rPr>
          <w:rFonts w:ascii="Verdana" w:hAnsi="Verdana"/>
          <w:b w:val="0"/>
          <w:bCs w:val="0"/>
          <w:sz w:val="20"/>
          <w:szCs w:val="20"/>
          <w:lang w:val="pl-PL"/>
        </w:rPr>
        <w:t xml:space="preserve">pocztowych</w:t>
      </w:r>
      <w:r>
        <w:rPr>
          <w:rFonts w:ascii="Verdana" w:hAnsi="Verdana"/>
          <w:b w:val="0"/>
          <w:bCs w:val="0"/>
          <w:sz w:val="20"/>
          <w:szCs w:val="20"/>
          <w:lang w:val="pl-PL"/>
        </w:rPr>
        <w:t xml:space="preserve">: </w:t>
      </w:r>
      <w:r>
        <w:rPr>
          <w:rFonts w:ascii="Verdana" w:hAnsi="Verdana"/>
          <w:b w:val="0"/>
          <w:bCs w:val="0"/>
          <w:sz w:val="20"/>
          <w:szCs w:val="20"/>
          <w:lang w:val="pl-PL"/>
        </w:rPr>
      </w:r>
    </w:p>
    <w:p>
      <w:pPr>
        <w:pStyle w:val="688"/>
        <w:numPr>
          <w:ilvl w:val="0"/>
          <w:numId w:val="0"/>
        </w:numPr>
        <w:pBdr/>
        <w:bidi w:val="false"/>
        <w:spacing/>
        <w:ind w:firstLine="0" w:left="720"/>
        <w:jc w:val="both"/>
        <w:rPr>
          <w:rFonts w:ascii="Verdana" w:hAnsi="Verdana"/>
          <w:b w:val="0"/>
          <w:bCs w:val="0"/>
          <w:sz w:val="20"/>
          <w:szCs w:val="20"/>
          <w:lang w:val="pl-PL"/>
        </w:rPr>
      </w:pPr>
      <w:r>
        <w:rPr>
          <w:rFonts w:ascii="Verdana" w:hAnsi="Verdana"/>
          <w:b w:val="0"/>
          <w:bCs w:val="0"/>
          <w:sz w:val="20"/>
          <w:szCs w:val="20"/>
          <w:lang w:val="pl-PL"/>
        </w:rPr>
        <w:t xml:space="preserve">Gabaryt A to paczki o wymiarach: </w:t>
      </w:r>
      <w:r>
        <w:rPr>
          <w:rFonts w:ascii="Verdana" w:hAnsi="Verdana"/>
          <w:b w:val="0"/>
          <w:bCs w:val="0"/>
          <w:sz w:val="20"/>
          <w:szCs w:val="20"/>
          <w:lang w:val="pl-PL"/>
        </w:rPr>
      </w:r>
    </w:p>
    <w:p>
      <w:pPr>
        <w:pStyle w:val="688"/>
        <w:numPr>
          <w:ilvl w:val="0"/>
          <w:numId w:val="0"/>
        </w:numPr>
        <w:pBdr/>
        <w:bidi w:val="false"/>
        <w:spacing/>
        <w:ind w:firstLine="0" w:left="720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 xml:space="preserve">MINIMUM -wymiary strony adresowej nie mogą być mniejsze niż 90 x 140 mm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pBdr/>
        <w:bidi w:val="false"/>
        <w:spacing/>
        <w:ind/>
        <w:jc w:val="left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ab/>
        <w:t xml:space="preserve">MAKSIMUM -żaden z wymiarów nie może przekroczyć: długość 600 mm, szerokość 500 </w:t>
        <w:tab/>
        <w:t xml:space="preserve">mm, wysokość 300 mm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pBdr/>
        <w:bidi w:val="false"/>
        <w:spacing/>
        <w:ind/>
        <w:jc w:val="left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ab/>
        <w:t xml:space="preserve">GABARYT B to paczki o wymiarach: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pBdr/>
        <w:bidi w:val="false"/>
        <w:spacing/>
        <w:ind/>
        <w:jc w:val="left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ab/>
        <w:t xml:space="preserve">MINIMUM - jeśli choć jeden z wymiarów przekracza długość 600 mm lub szerokość 500 </w:t>
        <w:tab/>
        <w:t xml:space="preserve">mm lub wysokość 300 mm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pBdr/>
        <w:bidi w:val="false"/>
        <w:spacing/>
        <w:ind/>
        <w:jc w:val="left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ab/>
        <w:t xml:space="preserve">MAKSIMUM - suma długości i największego obwodu mierzonego w innym kierunku niż </w:t>
        <w:tab/>
        <w:t xml:space="preserve">długość - 3000 mm, przy czym największy wymiarnie może przekroczyć 1500 mm</w:t>
      </w:r>
      <w:r>
        <w:rPr>
          <w:rFonts w:ascii="Verdana" w:hAnsi="Verdana"/>
          <w:sz w:val="20"/>
          <w:szCs w:val="20"/>
          <w:lang w:val="pl-PL"/>
        </w:rPr>
      </w:r>
    </w:p>
    <w:p>
      <w:pPr>
        <w:pStyle w:val="688"/>
        <w:numPr>
          <w:ilvl w:val="0"/>
          <w:numId w:val="1"/>
        </w:numPr>
        <w:pBdr/>
        <w:bidi w:val="false"/>
        <w:spacing/>
        <w:ind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b w:val="0"/>
          <w:bCs w:val="0"/>
          <w:sz w:val="20"/>
          <w:szCs w:val="20"/>
          <w:lang w:val="pl-PL"/>
        </w:rPr>
        <w:t xml:space="preserve">Przedmiot zamówienia obejmuje orientacyjne nadawanie przesyłek w trybie Kodeksu postępowania karnego (</w:t>
      </w:r>
      <w:r>
        <w:rPr>
          <w:rFonts w:ascii="Verdana" w:hAnsi="Verdana"/>
          <w:b w:val="0"/>
          <w:bCs w:val="0"/>
          <w:sz w:val="20"/>
          <w:szCs w:val="20"/>
          <w:lang w:val="pl-PL"/>
        </w:rPr>
        <w:t xml:space="preserve">72</w:t>
      </w:r>
      <w:r>
        <w:rPr>
          <w:rFonts w:ascii="Verdana" w:hAnsi="Verdana"/>
          <w:b w:val="0"/>
          <w:bCs w:val="0"/>
          <w:sz w:val="20"/>
          <w:szCs w:val="20"/>
          <w:lang w:val="pl-PL"/>
        </w:rPr>
        <w:t xml:space="preserve">%), Kodeksu postępowania administracyjnego (</w:t>
      </w:r>
      <w:r>
        <w:rPr>
          <w:rFonts w:ascii="Verdana" w:hAnsi="Verdana"/>
          <w:b w:val="0"/>
          <w:bCs w:val="0"/>
          <w:sz w:val="20"/>
          <w:szCs w:val="20"/>
          <w:lang w:val="pl-PL"/>
        </w:rPr>
        <w:t xml:space="preserve">26</w:t>
      </w:r>
      <w:r>
        <w:rPr>
          <w:rFonts w:ascii="Verdana" w:hAnsi="Verdana"/>
          <w:b w:val="0"/>
          <w:bCs w:val="0"/>
          <w:sz w:val="20"/>
          <w:szCs w:val="20"/>
          <w:lang w:val="pl-PL"/>
        </w:rPr>
        <w:t xml:space="preserve">%), Kodeksu postępowania cywilnego (0,5%), Prawa o postępowaniu przed sądami administracyjnymi (0,5%), inne (1%).</w:t>
      </w:r>
      <w:r>
        <w:rPr>
          <w:rFonts w:ascii="Verdana" w:hAnsi="Verdana"/>
          <w:sz w:val="20"/>
          <w:szCs w:val="20"/>
          <w:lang w:val="pl-PL"/>
        </w:rPr>
      </w:r>
    </w:p>
    <w:sectPr>
      <w:headerReference w:type="default" r:id="rId9"/>
      <w:footerReference w:type="default" r:id="rId10"/>
      <w:footnotePr/>
      <w:endnotePr/>
      <w:type w:val="nextPage"/>
      <w:pgSz w:h="16837" w:orient="portrait" w:w="11905"/>
      <w:pgMar w:top="1979" w:right="1134" w:bottom="1693" w:left="1134" w:header="1134" w:footer="1134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Lucida Sans Unicode">
    <w:panose1 w:val="020B0602030504020204"/>
  </w:font>
  <w:font w:name="Mangal">
    <w:panose1 w:val="02040503050406030204"/>
  </w:font>
  <w:font w:name="OpenSymbol">
    <w:panose1 w:val="05010000000000000000"/>
  </w:font>
  <w:font w:name="Arial">
    <w:panose1 w:val="020B0604020202020204"/>
  </w:font>
  <w:font w:name="Andale Sans UI"/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7"/>
      <w:suppressLineNumbers w:val="true"/>
      <w:pBdr/>
      <w:bidi w:val="false"/>
      <w:spacing/>
      <w:ind/>
      <w:jc w:val="left"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2"/>
      <w:keepNext w:val="true"/>
      <w:pBdr/>
      <w:bidi w:val="false"/>
      <w:spacing w:after="120" w:before="240"/>
      <w:ind/>
      <w:jc w:val="left"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"/>
      <w:numFmt w:val="none"/>
      <w:pPr>
        <w:pBdr/>
        <w:tabs>
          <w:tab w:val="num" w:leader="none" w:pos="432"/>
        </w:tabs>
        <w:spacing/>
        <w:ind w:hanging="432" w:left="432"/>
      </w:pPr>
      <w:rPr/>
      <w:start w:val="1"/>
      <w:suff w:val="nothing"/>
    </w:lvl>
    <w:lvl w:ilvl="1">
      <w:isLgl w:val="false"/>
      <w:lvlJc w:val="left"/>
      <w:lvlText w:val="%2"/>
      <w:numFmt w:val="none"/>
      <w:pPr>
        <w:pBdr/>
        <w:tabs>
          <w:tab w:val="num" w:leader="none" w:pos="576"/>
        </w:tabs>
        <w:spacing/>
        <w:ind w:hanging="576" w:left="576"/>
      </w:pPr>
      <w:rPr/>
      <w:start w:val="1"/>
      <w:suff w:val="nothing"/>
    </w:lvl>
    <w:lvl w:ilvl="2">
      <w:isLgl w:val="false"/>
      <w:lvlJc w:val="left"/>
      <w:lvlText w:val="%3"/>
      <w:numFmt w:val="none"/>
      <w:pPr>
        <w:pBdr/>
        <w:tabs>
          <w:tab w:val="num" w:leader="none" w:pos="720"/>
        </w:tabs>
        <w:spacing/>
        <w:ind w:hanging="720" w:left="720"/>
      </w:pPr>
      <w:rPr/>
      <w:start w:val="1"/>
      <w:suff w:val="nothing"/>
    </w:lvl>
    <w:lvl w:ilvl="3">
      <w:isLgl w:val="false"/>
      <w:lvlJc w:val="left"/>
      <w:lvlText w:val="%4"/>
      <w:numFmt w:val="none"/>
      <w:pPr>
        <w:pBdr/>
        <w:tabs>
          <w:tab w:val="num" w:leader="none" w:pos="864"/>
        </w:tabs>
        <w:spacing/>
        <w:ind w:hanging="864" w:left="864"/>
      </w:pPr>
      <w:rPr/>
      <w:start w:val="1"/>
      <w:suff w:val="nothing"/>
    </w:lvl>
    <w:lvl w:ilvl="4">
      <w:isLgl w:val="false"/>
      <w:lvlJc w:val="left"/>
      <w:lvlText w:val="%5"/>
      <w:numFmt w:val="none"/>
      <w:pPr>
        <w:pBdr/>
        <w:tabs>
          <w:tab w:val="num" w:leader="none" w:pos="1008"/>
        </w:tabs>
        <w:spacing/>
        <w:ind w:hanging="1008" w:left="1008"/>
      </w:pPr>
      <w:rPr/>
      <w:start w:val="1"/>
      <w:suff w:val="nothing"/>
    </w:lvl>
    <w:lvl w:ilvl="5">
      <w:isLgl w:val="false"/>
      <w:lvlJc w:val="left"/>
      <w:lvlText w:val="%6"/>
      <w:numFmt w:val="none"/>
      <w:pPr>
        <w:pBdr/>
        <w:tabs>
          <w:tab w:val="num" w:leader="none" w:pos="1152"/>
        </w:tabs>
        <w:spacing/>
        <w:ind w:hanging="1152" w:left="1152"/>
      </w:pPr>
      <w:rPr/>
      <w:start w:val="1"/>
      <w:suff w:val="nothing"/>
    </w:lvl>
    <w:lvl w:ilvl="6">
      <w:isLgl w:val="false"/>
      <w:lvlJc w:val="left"/>
      <w:lvlText w:val="%7"/>
      <w:numFmt w:val="none"/>
      <w:pPr>
        <w:pBdr/>
        <w:tabs>
          <w:tab w:val="num" w:leader="none" w:pos="1296"/>
        </w:tabs>
        <w:spacing/>
        <w:ind w:hanging="1296" w:left="1296"/>
      </w:pPr>
      <w:rPr/>
      <w:start w:val="1"/>
      <w:suff w:val="nothing"/>
    </w:lvl>
    <w:lvl w:ilvl="7">
      <w:isLgl w:val="false"/>
      <w:lvlJc w:val="left"/>
      <w:lvlText w:val="%8"/>
      <w:numFmt w:val="none"/>
      <w:pPr>
        <w:pBdr/>
        <w:tabs>
          <w:tab w:val="num" w:leader="none" w:pos="1440"/>
        </w:tabs>
        <w:spacing/>
        <w:ind w:hanging="1440" w:left="1440"/>
      </w:pPr>
      <w:rPr/>
      <w:start w:val="1"/>
      <w:suff w:val="nothing"/>
    </w:lvl>
    <w:lvl w:ilvl="8">
      <w:isLgl w:val="false"/>
      <w:lvlJc w:val="left"/>
      <w:lvlText w:val="%9"/>
      <w:numFmt w:val="none"/>
      <w:pPr>
        <w:pBdr/>
        <w:tabs>
          <w:tab w:val="num" w:leader="none" w:pos="1584"/>
        </w:tabs>
        <w:spacing/>
        <w:ind w:hanging="1584" w:left="1584"/>
      </w:pPr>
      <w:rPr/>
      <w:start w:val="1"/>
      <w:suff w:val="nothing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6"/>
  <w:autoHyphenation w:val="true"/>
  <w:hyphenationZone w:val="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Andale Sans UI" w:cs="Tahoma"/>
        <w:sz w:val="24"/>
        <w:szCs w:val="24"/>
        <w:lang w:val="en-US" w:eastAsia="en-US" w:bidi="en-US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3feba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3feba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3feba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3feba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c5febd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c5febd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cbf04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43f0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c3feba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78fc6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78fc6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bde6fe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64c5f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64c5f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0369a3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0369a3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0369a3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0369a3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fed3ba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fc9c64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fc9c64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33e03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33e03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33e03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33e03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5bafe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e864fc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e864fc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e03a3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e03a3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e03a3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e03a3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ff1c0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fdf71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fdf71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8cecd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e9190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e9190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3feba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c3feba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cc204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cc204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1cc204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cc204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71b0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71b0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0371b0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71b0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2502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2502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2502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2502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703ad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703ad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9703ad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703ad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5b00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5b00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755b00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5b00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5b00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5b00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755b00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5b00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1cc204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3feba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c3feba" w:themeFill="accent1" w:themeFillTint="34"/>
        <w:tcBorders/>
      </w:tcPr>
    </w:tblStylePr>
    <w:tblStylePr w:type="band2Horz">
      <w:rPr>
        <w:rFonts w:ascii="Arial" w:hAnsi="Arial"/>
        <w:color w:val="1cc204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cc204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1cc204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1cc204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1cc204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2Horz">
      <w:rPr>
        <w:rFonts w:ascii="Arial" w:hAnsi="Arial"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71b0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2502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2Horz">
      <w:rPr>
        <w:rFonts w:ascii="Arial" w:hAnsi="Arial"/>
        <w:color w:val="602502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2502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2502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2502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2502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2Horz">
      <w:rPr>
        <w:rFonts w:ascii="Arial" w:hAnsi="Arial"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703ad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755b0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2Horz">
      <w:rPr>
        <w:rFonts w:ascii="Arial" w:hAnsi="Arial"/>
        <w:color w:val="755b0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5b00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755b0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755b00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755b0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51312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2Horz">
      <w:rPr>
        <w:rFonts w:ascii="Arial" w:hAnsi="Arial"/>
        <w:color w:val="751312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1312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51312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751312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751312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fb7f36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fd544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9706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0369a3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33e03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e03a3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18a303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8a303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37b4fb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fb7f36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fb7f36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fb7f36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fb7f36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fb7f36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e133fb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fd544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fd544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fd544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fd544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fd544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9706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9706e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9706e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9706e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9706e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e5f0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e5f0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e5f0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e5f0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71b0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71b0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0371b0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71b0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f430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f430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af430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f430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703ad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703ad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9703ad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703ad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d930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d930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bd930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d930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f1d1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f1d1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f1d1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f1d1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e5f0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b5fdaa" w:themeFill="accent1" w:themeFillTint="40"/>
        <w:tcBorders/>
      </w:tcPr>
    </w:tblStylePr>
    <w:tblStylePr w:type="band2Horz">
      <w:rPr>
        <w:rFonts w:ascii="Arial" w:hAnsi="Arial"/>
        <w:color w:val="0e5f0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e5f0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e5f0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0e5f0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e5f0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e5f0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aadffd" w:themeFill="accent2" w:themeFillTint="40"/>
        <w:tcBorders/>
      </w:tcPr>
    </w:tblStylePr>
    <w:tblStylePr w:type="band2Horz">
      <w:rPr>
        <w:rFonts w:ascii="Arial" w:hAnsi="Arial"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71b0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71b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af430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fdc9aa" w:themeFill="accent3" w:themeFillTint="40"/>
        <w:tcBorders/>
      </w:tcPr>
    </w:tblStylePr>
    <w:tblStylePr w:type="band2Horz">
      <w:rPr>
        <w:rFonts w:ascii="Arial" w:hAnsi="Arial"/>
        <w:color w:val="af430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f430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af430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af4303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af430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f430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3aafd" w:themeFill="accent4" w:themeFillTint="40"/>
        <w:tcBorders/>
      </w:tcPr>
    </w:tblStylePr>
    <w:tblStylePr w:type="band2Horz">
      <w:rPr>
        <w:rFonts w:ascii="Arial" w:hAnsi="Arial"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703ad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703ad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bd930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feeb1" w:themeFill="accent5" w:themeFillTint="40"/>
        <w:tcBorders/>
      </w:tcPr>
    </w:tblStylePr>
    <w:tblStylePr w:type="band2Horz">
      <w:rPr>
        <w:rFonts w:ascii="Arial" w:hAnsi="Arial"/>
        <w:color w:val="bd930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d930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bd930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bd930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bd930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bd930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f1d1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6c3c2" w:themeFill="accent6" w:themeFillTint="40"/>
        <w:tcBorders/>
      </w:tcPr>
    </w:tblStylePr>
    <w:tblStylePr w:type="band2Horz">
      <w:rPr>
        <w:rFonts w:ascii="Arial" w:hAnsi="Arial"/>
        <w:color w:val="af1d1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f1d1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f1d1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af1d1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af1d1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f1d1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a3fd95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a3fd95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cbf04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cbf04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cbf04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cbf04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43f03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43f03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43f03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43f03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a3fd95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a3fd95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cbf04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cbf04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cbf04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cbf04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bde6fe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37b4fb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fed3ba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43f03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43f03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43f03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43f03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5bafe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e133fb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ff1c0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c99c00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8cecd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9211e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88"/>
    <w:next w:val="688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88"/>
    <w:next w:val="68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88"/>
    <w:next w:val="688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88"/>
    <w:next w:val="68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88"/>
    <w:next w:val="688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88"/>
    <w:next w:val="68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88"/>
    <w:next w:val="688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88"/>
    <w:next w:val="688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88"/>
    <w:next w:val="688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8" w:default="1">
    <w:name w:val="Default Paragraph Font"/>
    <w:uiPriority w:val="1"/>
    <w:semiHidden/>
    <w:unhideWhenUsed/>
    <w:pPr>
      <w:pBdr/>
      <w:spacing/>
      <w:ind/>
    </w:pPr>
  </w:style>
  <w:style w:type="numbering" w:styleId="149" w:default="1">
    <w:name w:val="No List"/>
    <w:uiPriority w:val="99"/>
    <w:semiHidden/>
    <w:unhideWhenUsed/>
    <w:pPr>
      <w:pBdr/>
      <w:spacing/>
      <w:ind/>
    </w:pPr>
  </w:style>
  <w:style w:type="character" w:styleId="150">
    <w:name w:val="Heading 1 Char"/>
    <w:basedOn w:val="14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4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4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4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4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4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4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4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4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88"/>
    <w:next w:val="688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14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88"/>
    <w:next w:val="688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4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88"/>
    <w:next w:val="688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4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688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14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88"/>
    <w:next w:val="688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4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4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688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1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4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4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4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148"/>
    <w:link w:val="692"/>
    <w:uiPriority w:val="99"/>
    <w:pPr>
      <w:pBdr/>
      <w:spacing/>
      <w:ind/>
    </w:pPr>
  </w:style>
  <w:style w:type="character" w:styleId="179">
    <w:name w:val="Footer Char"/>
    <w:basedOn w:val="148"/>
    <w:link w:val="697"/>
    <w:uiPriority w:val="99"/>
    <w:pPr>
      <w:pBdr/>
      <w:spacing/>
      <w:ind/>
    </w:pPr>
  </w:style>
  <w:style w:type="paragraph" w:styleId="181">
    <w:name w:val="footnote text"/>
    <w:basedOn w:val="688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14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88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14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88"/>
    <w:next w:val="688"/>
    <w:uiPriority w:val="39"/>
    <w:unhideWhenUsed/>
    <w:pPr>
      <w:pBdr/>
      <w:spacing w:after="100"/>
      <w:ind/>
    </w:pPr>
  </w:style>
  <w:style w:type="paragraph" w:styleId="190">
    <w:name w:val="toc 2"/>
    <w:basedOn w:val="688"/>
    <w:next w:val="688"/>
    <w:uiPriority w:val="39"/>
    <w:unhideWhenUsed/>
    <w:pPr>
      <w:pBdr/>
      <w:spacing w:after="100"/>
      <w:ind w:left="220"/>
    </w:pPr>
  </w:style>
  <w:style w:type="paragraph" w:styleId="191">
    <w:name w:val="toc 3"/>
    <w:basedOn w:val="688"/>
    <w:next w:val="688"/>
    <w:uiPriority w:val="39"/>
    <w:unhideWhenUsed/>
    <w:pPr>
      <w:pBdr/>
      <w:spacing w:after="100"/>
      <w:ind w:left="440"/>
    </w:pPr>
  </w:style>
  <w:style w:type="paragraph" w:styleId="192">
    <w:name w:val="toc 4"/>
    <w:basedOn w:val="688"/>
    <w:next w:val="688"/>
    <w:uiPriority w:val="39"/>
    <w:unhideWhenUsed/>
    <w:pPr>
      <w:pBdr/>
      <w:spacing w:after="100"/>
      <w:ind w:left="660"/>
    </w:pPr>
  </w:style>
  <w:style w:type="paragraph" w:styleId="193">
    <w:name w:val="toc 5"/>
    <w:basedOn w:val="688"/>
    <w:next w:val="688"/>
    <w:uiPriority w:val="39"/>
    <w:unhideWhenUsed/>
    <w:pPr>
      <w:pBdr/>
      <w:spacing w:after="100"/>
      <w:ind w:left="880"/>
    </w:pPr>
  </w:style>
  <w:style w:type="paragraph" w:styleId="194">
    <w:name w:val="toc 6"/>
    <w:basedOn w:val="688"/>
    <w:next w:val="688"/>
    <w:uiPriority w:val="39"/>
    <w:unhideWhenUsed/>
    <w:pPr>
      <w:pBdr/>
      <w:spacing w:after="100"/>
      <w:ind w:left="1100"/>
    </w:pPr>
  </w:style>
  <w:style w:type="paragraph" w:styleId="195">
    <w:name w:val="toc 7"/>
    <w:basedOn w:val="688"/>
    <w:next w:val="688"/>
    <w:uiPriority w:val="39"/>
    <w:unhideWhenUsed/>
    <w:pPr>
      <w:pBdr/>
      <w:spacing w:after="100"/>
      <w:ind w:left="1320"/>
    </w:pPr>
  </w:style>
  <w:style w:type="paragraph" w:styleId="196">
    <w:name w:val="toc 8"/>
    <w:basedOn w:val="688"/>
    <w:next w:val="688"/>
    <w:uiPriority w:val="39"/>
    <w:unhideWhenUsed/>
    <w:pPr>
      <w:pBdr/>
      <w:spacing w:after="100"/>
      <w:ind w:left="1540"/>
    </w:pPr>
  </w:style>
  <w:style w:type="paragraph" w:styleId="197">
    <w:name w:val="toc 9"/>
    <w:basedOn w:val="688"/>
    <w:next w:val="688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4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88"/>
    <w:next w:val="688"/>
    <w:uiPriority w:val="99"/>
    <w:unhideWhenUsed/>
    <w:pPr>
      <w:pBdr/>
      <w:spacing w:after="0" w:afterAutospacing="0"/>
      <w:ind/>
    </w:pPr>
  </w:style>
  <w:style w:type="paragraph" w:styleId="688" w:default="1">
    <w:name w:val="Normal"/>
    <w:qFormat/>
    <w:pPr>
      <w:widowControl w:val="false"/>
      <w:pBdr/>
      <w:bidi w:val="false"/>
      <w:spacing/>
      <w:ind/>
    </w:pPr>
    <w:rPr>
      <w:rFonts w:ascii="Times New Roman" w:hAnsi="Times New Roman" w:eastAsia="Andale Sans UI" w:cs="Tahoma"/>
      <w:color w:val="auto"/>
      <w:sz w:val="24"/>
      <w:szCs w:val="24"/>
    </w:rPr>
  </w:style>
  <w:style w:type="character" w:styleId="689">
    <w:name w:val="Znaki numeracji"/>
    <w:qFormat/>
    <w:pPr>
      <w:pBdr/>
      <w:spacing/>
      <w:ind/>
    </w:pPr>
  </w:style>
  <w:style w:type="character" w:styleId="690">
    <w:name w:val="Znaki wypunktowania"/>
    <w:qFormat/>
    <w:pPr>
      <w:pBdr/>
      <w:spacing/>
      <w:ind/>
    </w:pPr>
    <w:rPr>
      <w:rFonts w:ascii="OpenSymbol" w:hAnsi="OpenSymbol" w:eastAsia="OpenSymbol" w:cs="OpenSymbol"/>
      <w:b w:val="0"/>
      <w:bCs w:val="0"/>
      <w:sz w:val="24"/>
      <w:szCs w:val="24"/>
    </w:rPr>
  </w:style>
  <w:style w:type="paragraph" w:styleId="691">
    <w:name w:val="Główka i stopka"/>
    <w:basedOn w:val="688"/>
    <w:qFormat/>
    <w:pPr>
      <w:suppressLineNumbers w:val="true"/>
      <w:pBdr/>
      <w:tabs>
        <w:tab w:val="clear" w:leader="none" w:pos="706"/>
        <w:tab w:val="center" w:leader="none" w:pos="4819"/>
        <w:tab w:val="right" w:leader="none" w:pos="9638"/>
      </w:tabs>
      <w:spacing/>
      <w:ind/>
    </w:pPr>
  </w:style>
  <w:style w:type="paragraph" w:styleId="692">
    <w:name w:val="Header"/>
    <w:basedOn w:val="688"/>
    <w:next w:val="693"/>
    <w:pPr>
      <w:keepNext w:val="true"/>
      <w:pBdr/>
      <w:spacing w:after="120" w:before="240"/>
      <w:ind/>
    </w:pPr>
    <w:rPr>
      <w:rFonts w:ascii="Arial" w:hAnsi="Arial" w:eastAsia="Andale Sans UI" w:cs="Tahoma"/>
      <w:sz w:val="28"/>
      <w:szCs w:val="28"/>
    </w:rPr>
  </w:style>
  <w:style w:type="paragraph" w:styleId="693">
    <w:name w:val="Body Text"/>
    <w:basedOn w:val="688"/>
    <w:pPr>
      <w:pBdr/>
      <w:spacing w:after="120" w:before="0"/>
      <w:ind/>
    </w:pPr>
  </w:style>
  <w:style w:type="paragraph" w:styleId="694">
    <w:name w:val="List"/>
    <w:basedOn w:val="693"/>
    <w:pPr>
      <w:pBdr/>
      <w:spacing/>
      <w:ind/>
    </w:pPr>
    <w:rPr>
      <w:rFonts w:cs="Tahoma"/>
    </w:rPr>
  </w:style>
  <w:style w:type="paragraph" w:styleId="695">
    <w:name w:val="Caption"/>
    <w:basedOn w:val="688"/>
    <w:qFormat/>
    <w:pPr>
      <w:suppressLineNumbers w:val="true"/>
      <w:pBdr/>
      <w:spacing w:after="120" w:before="120"/>
      <w:ind/>
    </w:pPr>
    <w:rPr>
      <w:rFonts w:cs="Tahoma"/>
      <w:i/>
      <w:iCs/>
      <w:sz w:val="24"/>
      <w:szCs w:val="24"/>
    </w:rPr>
  </w:style>
  <w:style w:type="paragraph" w:styleId="696">
    <w:name w:val="Indeks"/>
    <w:basedOn w:val="688"/>
    <w:qFormat/>
    <w:pPr>
      <w:suppressLineNumbers w:val="true"/>
      <w:pBdr/>
      <w:spacing/>
      <w:ind/>
    </w:pPr>
    <w:rPr>
      <w:rFonts w:cs="Tahoma"/>
    </w:rPr>
  </w:style>
  <w:style w:type="paragraph" w:styleId="697">
    <w:name w:val="Footer"/>
    <w:basedOn w:val="688"/>
    <w:pPr>
      <w:suppressLineNumbers w:val="true"/>
      <w:pBdr/>
      <w:tabs>
        <w:tab w:val="clear" w:leader="none" w:pos="706"/>
        <w:tab w:val="center" w:leader="none" w:pos="4818"/>
        <w:tab w:val="right" w:leader="none" w:pos="9637"/>
      </w:tabs>
      <w:spacing/>
      <w:ind/>
    </w:pPr>
  </w:style>
  <w:style w:type="paragraph" w:styleId="1_58" w:customStyle="1">
    <w:name w:val="Standard"/>
    <w:next w:val="741"/>
    <w:link w:val="726"/>
    <w:pPr>
      <w:keepNext w:val="false"/>
      <w:keepLines w:val="false"/>
      <w:pageBreakBefore w:val="false"/>
      <w:widowControl w:val="fals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Times New Roman" w:hAnsi="Times New Roman" w:eastAsia="Lucida Sans Unicode" w:cs="Mang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l-PL" w:eastAsia="zh-CN" w:bidi="hi-IN"/>
      <w14:ligatures w14:val="none"/>
    </w:rPr>
  </w:style>
  <w:style w:type="paragraph" w:styleId="1_57" w:customStyle="1">
    <w:name w:val="Normalny (Web)"/>
    <w:basedOn w:val="726"/>
    <w:next w:val="740"/>
    <w:link w:val="726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119" w:afterAutospacing="0" w:before="100" w:beforeAutospacing="0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l-PL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Application>ONLYOFFICE/9.3.1.8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pl-PL</dc:language>
  <cp:revision>56</cp:revision>
  <dcterms:created xsi:type="dcterms:W3CDTF">2009-04-16T11:32:02Z</dcterms:created>
  <dcterms:modified xsi:type="dcterms:W3CDTF">2026-04-30T09:29:24Z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