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DBE3" w14:textId="77777777" w:rsidR="009E4D1B" w:rsidRDefault="009E4D1B">
      <w:pPr>
        <w:spacing w:line="288" w:lineRule="auto"/>
        <w:rPr>
          <w:rFonts w:ascii="Century Gothic" w:hAnsi="Century Gothic" w:cs="Century Gothic"/>
          <w:sz w:val="20"/>
          <w:szCs w:val="20"/>
        </w:rPr>
      </w:pPr>
    </w:p>
    <w:p w14:paraId="7DB864E9" w14:textId="77777777" w:rsidR="009E4D1B" w:rsidRDefault="00D2304D">
      <w:pPr>
        <w:tabs>
          <w:tab w:val="left" w:pos="6804"/>
        </w:tabs>
        <w:spacing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Opis przedmiotu zamówienia </w:t>
      </w:r>
    </w:p>
    <w:p w14:paraId="2604297F" w14:textId="77777777" w:rsidR="009E4D1B" w:rsidRDefault="00D2304D">
      <w:pPr>
        <w:tabs>
          <w:tab w:val="left" w:pos="6804"/>
        </w:tabs>
        <w:spacing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Rezonans Magnetyczny </w:t>
      </w:r>
    </w:p>
    <w:p w14:paraId="08B8A184" w14:textId="77777777" w:rsidR="009E4D1B" w:rsidRDefault="009E4D1B">
      <w:pPr>
        <w:tabs>
          <w:tab w:val="left" w:pos="6804"/>
        </w:tabs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101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1"/>
        <w:gridCol w:w="3714"/>
        <w:gridCol w:w="5803"/>
      </w:tblGrid>
      <w:tr w:rsidR="009E4D1B" w14:paraId="7158B24D" w14:textId="77777777">
        <w:tc>
          <w:tcPr>
            <w:tcW w:w="681" w:type="dxa"/>
          </w:tcPr>
          <w:p w14:paraId="2E18F728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Lp. </w:t>
            </w:r>
          </w:p>
        </w:tc>
        <w:tc>
          <w:tcPr>
            <w:tcW w:w="9517" w:type="dxa"/>
            <w:gridSpan w:val="2"/>
          </w:tcPr>
          <w:p w14:paraId="0ECE87D6" w14:textId="77777777" w:rsidR="009E4D1B" w:rsidRDefault="00D2304D">
            <w:pPr>
              <w:tabs>
                <w:tab w:val="left" w:pos="6804"/>
              </w:tabs>
              <w:spacing w:line="288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REZONANS MAGNETYCZNY</w:t>
            </w:r>
          </w:p>
          <w:p w14:paraId="243DC91A" w14:textId="77777777" w:rsidR="009E4D1B" w:rsidRDefault="009E4D1B">
            <w:pPr>
              <w:tabs>
                <w:tab w:val="left" w:pos="6804"/>
              </w:tabs>
              <w:spacing w:line="288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9E4D1B" w14:paraId="044D9958" w14:textId="77777777">
        <w:tc>
          <w:tcPr>
            <w:tcW w:w="681" w:type="dxa"/>
          </w:tcPr>
          <w:p w14:paraId="72BD153A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714" w:type="dxa"/>
          </w:tcPr>
          <w:p w14:paraId="5AE44994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/ model / typ</w:t>
            </w:r>
          </w:p>
          <w:p w14:paraId="02E7A82F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3" w:type="dxa"/>
          </w:tcPr>
          <w:p w14:paraId="0C2BB864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4D1B" w14:paraId="3232176C" w14:textId="77777777">
        <w:tc>
          <w:tcPr>
            <w:tcW w:w="681" w:type="dxa"/>
          </w:tcPr>
          <w:p w14:paraId="3000743E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714" w:type="dxa"/>
          </w:tcPr>
          <w:p w14:paraId="1C782A59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Producent</w:t>
            </w:r>
          </w:p>
          <w:p w14:paraId="48FD5147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3" w:type="dxa"/>
          </w:tcPr>
          <w:p w14:paraId="3923EC6E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4D1B" w14:paraId="771495C5" w14:textId="77777777">
        <w:tc>
          <w:tcPr>
            <w:tcW w:w="681" w:type="dxa"/>
          </w:tcPr>
          <w:p w14:paraId="46B94D72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714" w:type="dxa"/>
          </w:tcPr>
          <w:p w14:paraId="4DDCE5A1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Kraj pochodzenia</w:t>
            </w:r>
          </w:p>
          <w:p w14:paraId="2E623BD0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3" w:type="dxa"/>
          </w:tcPr>
          <w:p w14:paraId="099D6ABD" w14:textId="77777777" w:rsidR="009E4D1B" w:rsidRDefault="009E4D1B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4D1B" w14:paraId="2F19854D" w14:textId="77777777">
        <w:tc>
          <w:tcPr>
            <w:tcW w:w="681" w:type="dxa"/>
          </w:tcPr>
          <w:p w14:paraId="6BC2A0D9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714" w:type="dxa"/>
          </w:tcPr>
          <w:p w14:paraId="24A18F75" w14:textId="77777777" w:rsidR="009E4D1B" w:rsidRDefault="00D2304D">
            <w:pPr>
              <w:tabs>
                <w:tab w:val="left" w:pos="6804"/>
              </w:tabs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Rok produkcji, minimum 2025 r., aparat fabrycznie nowy, nieużywany i </w:t>
            </w:r>
            <w:r>
              <w:rPr>
                <w:rFonts w:ascii="Arial" w:hAnsi="Arial" w:cs="Arial"/>
                <w:iCs/>
                <w:sz w:val="20"/>
                <w:szCs w:val="20"/>
              </w:rPr>
              <w:t>nierekondycjonowany, nie powystawowy, o polu minimum  1,5 [T] do badań całego ciała z elementami systemu pozwalającymi na dostawę, montaż oraz uruchomienie</w:t>
            </w:r>
          </w:p>
        </w:tc>
        <w:tc>
          <w:tcPr>
            <w:tcW w:w="5803" w:type="dxa"/>
          </w:tcPr>
          <w:p w14:paraId="65094143" w14:textId="77777777" w:rsidR="009E4D1B" w:rsidRDefault="009E4D1B">
            <w:pPr>
              <w:tabs>
                <w:tab w:val="left" w:pos="6804"/>
              </w:tabs>
              <w:spacing w:line="288" w:lineRule="auto"/>
              <w:ind w:firstLine="31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BAC46" w14:textId="77777777" w:rsidR="009E4D1B" w:rsidRDefault="009E4D1B">
      <w:pPr>
        <w:tabs>
          <w:tab w:val="left" w:pos="6804"/>
        </w:tabs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619" w:type="dxa"/>
        <w:tblInd w:w="1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8"/>
        <w:gridCol w:w="3827"/>
        <w:gridCol w:w="1843"/>
        <w:gridCol w:w="3281"/>
      </w:tblGrid>
      <w:tr w:rsidR="009E4D1B" w14:paraId="53D9CC7C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CAFFB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7ECA8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techniczne  i funkcjonalne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E980C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 wymagany/ wartość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F098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9E4D1B" w14:paraId="1A607279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A602" w14:textId="77777777" w:rsidR="009E4D1B" w:rsidRDefault="009E4D1B">
            <w:pPr>
              <w:pStyle w:val="Zawartotabeli"/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65430494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B8951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MAGNES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FEC86" w14:textId="77777777" w:rsidR="009E4D1B" w:rsidRDefault="009E4D1B">
            <w:pPr>
              <w:pStyle w:val="Zawartotabeli"/>
              <w:snapToGrid w:val="0"/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B383" w14:textId="77777777" w:rsidR="009E4D1B" w:rsidRDefault="009E4D1B">
            <w:pPr>
              <w:pStyle w:val="Zawartotabeli"/>
              <w:snapToGrid w:val="0"/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1E4F6EB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4432F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21089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Natężenie pola [T]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0FC90" w14:textId="77777777" w:rsidR="009E4D1B" w:rsidRDefault="00D2304D">
            <w:pPr>
              <w:pStyle w:val="Zawartotabeli"/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1,5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E668" w14:textId="77777777" w:rsidR="009E4D1B" w:rsidRDefault="009E4D1B">
            <w:pPr>
              <w:pStyle w:val="Zawartotabeli"/>
              <w:snapToGrid w:val="0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50DB1D3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149F8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F9C91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chłodzenia – zamknięty, chłodzenie helem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63F9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5B2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D201928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BDBBF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9FE0A" w14:textId="77777777" w:rsidR="009E4D1B" w:rsidRDefault="00D2304D">
            <w:pPr>
              <w:pStyle w:val="Zawartotabeli"/>
              <w:spacing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System niskohelowy, niewymagający quench rury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37C55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9348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5B02856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1F1DE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89F6D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Średnica otworu pacjenta [cm]</w:t>
            </w:r>
          </w:p>
          <w:p w14:paraId="03E8E0E8" w14:textId="77777777" w:rsidR="009E4D1B" w:rsidRDefault="00D2304D">
            <w:pPr>
              <w:pStyle w:val="Zawartotabeli"/>
              <w:spacing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UWAGA: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magnes z systemem „shim”, cewkami gradientowymi, cewką całego ciała i obudowami.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8E2A0" w14:textId="77777777" w:rsidR="009E4D1B" w:rsidRDefault="00D2304D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70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CC66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ADE78AC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86FC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57EA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Długość magnesu wraz z obudowami [cm]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8F0EB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=&lt; 188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117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37DE3E0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821EC" w14:textId="77777777" w:rsidR="009E4D1B" w:rsidRDefault="00D2304D">
            <w:pPr>
              <w:pStyle w:val="Zawartotabeli"/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A207D" w14:textId="77777777" w:rsidR="009E4D1B" w:rsidRDefault="00D2304D">
            <w:pPr>
              <w:pStyle w:val="Zawartotabeli"/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Rozkład linii 0,5 mT (5 Gs) od izocentrum, podać wartości dla osi x,y,z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D5FBD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80BF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198AB3B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BBC99" w14:textId="77777777" w:rsidR="009E4D1B" w:rsidRDefault="00D2304D">
            <w:pPr>
              <w:pStyle w:val="Zawartotabeli"/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F2A92" w14:textId="77777777" w:rsidR="009E4D1B" w:rsidRDefault="00D2304D">
            <w:pPr>
              <w:pStyle w:val="Zawartotabeli"/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Aktywne ekranowanie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11FF2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58F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9878B3C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DFCC9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7525C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Maksymalne zużycie helu  - poniżej 0,01 [l/godz] także z uwzględnieniem prac serwisowych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F54C3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7F4D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F763B6A" w14:textId="77777777">
        <w:trPr>
          <w:trHeight w:val="176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5439B" w14:textId="77777777" w:rsidR="009E4D1B" w:rsidRDefault="00D2304D">
            <w:pPr>
              <w:pStyle w:val="Zawartotabeli"/>
              <w:spacing w:before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F5DBD" w14:textId="77777777" w:rsidR="009E4D1B" w:rsidRDefault="00D2304D">
            <w:pPr>
              <w:pStyle w:val="Zawartotabeli"/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Homogenicznośc pola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(wartość typowa w [ppm] mierzona metodą VRMS) zgodnie z informacjami podanymi w specyfikacjach technicznych producenta, w kulach o średnicach: </w:t>
            </w:r>
          </w:p>
          <w:p w14:paraId="772BD99F" w14:textId="77777777" w:rsidR="009E4D1B" w:rsidRDefault="009E4D1B">
            <w:pPr>
              <w:pStyle w:val="Zawartotabeli"/>
              <w:spacing w:line="288" w:lineRule="auto"/>
              <w:rPr>
                <w:rFonts w:ascii="Arial" w:hAnsi="Arial" w:cs="Arial"/>
                <w:iCs/>
                <w:strike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8B147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EF32" w14:textId="77777777" w:rsidR="009E4D1B" w:rsidRDefault="009E4D1B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607FBD70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21AB6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7A3B7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a) 10 [cm],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07707" w14:textId="77777777" w:rsidR="009E4D1B" w:rsidRDefault="00D2304D">
            <w:pPr>
              <w:pStyle w:val="Zawartotabeli"/>
              <w:spacing w:before="60" w:after="60" w:line="288" w:lineRule="auto"/>
              <w:ind w:left="3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=&lt; 0,015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0F5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E15BCD5" w14:textId="7777777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14:paraId="1F936D3F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11.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75D2D184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b) 20 [cm],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3BCA7AB" w14:textId="77777777" w:rsidR="009E4D1B" w:rsidRDefault="00D2304D">
            <w:pPr>
              <w:pStyle w:val="Zawartotabeli"/>
              <w:spacing w:before="60" w:after="60" w:line="288" w:lineRule="auto"/>
              <w:ind w:left="3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=&lt; 0,06</w:t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88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4618BB0" w14:textId="7777777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14:paraId="12FA0AC7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12.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1D7C2E24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c) 30 [cm],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4002D73F" w14:textId="77777777" w:rsidR="009E4D1B" w:rsidRDefault="00D2304D">
            <w:pPr>
              <w:pStyle w:val="Zawartotabeli"/>
              <w:spacing w:before="60" w:after="60" w:line="288" w:lineRule="auto"/>
              <w:ind w:left="3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=&lt; 0,2</w:t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604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0090BF4" w14:textId="7777777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14:paraId="2D388BE5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13.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6D5BA96E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d) 40 [cm],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07FC79C" w14:textId="77777777" w:rsidR="009E4D1B" w:rsidRDefault="00D2304D">
            <w:pPr>
              <w:pStyle w:val="Zawartotabeli"/>
              <w:spacing w:before="60" w:after="60" w:line="288" w:lineRule="auto"/>
              <w:ind w:left="3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=&lt; 1,1</w:t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A62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5D4FB8A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C5000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61154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System redukcji hałasu poprzez rozwiązania sprzętowe oraz software’owe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3986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C644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138095F3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2B8FF" w14:textId="77777777" w:rsidR="009E4D1B" w:rsidRDefault="009E4D1B">
            <w:pPr>
              <w:pStyle w:val="Zawartotabeli"/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FDCA3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CEWKI GRADIENTOWE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0366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CBF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8771518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543FF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E7ABC" w14:textId="77777777" w:rsidR="009E4D1B" w:rsidRDefault="00D2304D">
            <w:pPr>
              <w:pStyle w:val="Zawartotabeli"/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Cewki gradientowe chłodzone wodą - redukcja hałasu poprzez rozwiązania software’owe oraz sprzętowe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743C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2B8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9B93170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1153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763C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Maksymalna amplituda dla jednej osi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>w maksymalnym polu widzenia FOV w każdej osi równocześnie [mT/m]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B94C0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&gt;=33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39E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14F1C1D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A3E3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1F4D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Maksymalna szybkość narastania gradientów (Slew Rate) w jednej osi możliwa do zastosowania dla wartości amplitudy z powyższego punktu [T/m/s]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99CD0" w14:textId="04734B3A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&gt;=1</w:t>
            </w:r>
            <w:r w:rsidR="00FD30C0">
              <w:rPr>
                <w:rFonts w:ascii="Arial" w:hAnsi="Arial" w:cs="Arial"/>
                <w:iCs/>
                <w:sz w:val="20"/>
                <w:szCs w:val="20"/>
              </w:rPr>
              <w:t>25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BBD1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7A86C47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6608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B6C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RF - dynamika sygnału odbiornika RF [dB]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8515" w14:textId="3165B1CC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1</w:t>
            </w:r>
            <w:r w:rsidR="00FD30C0">
              <w:rPr>
                <w:rFonts w:ascii="Arial" w:hAnsi="Arial" w:cs="Arial"/>
                <w:iCs/>
                <w:sz w:val="20"/>
                <w:szCs w:val="20"/>
              </w:rPr>
              <w:t>50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295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7EF9E09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A44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1126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Moc wzmacniacza [kW]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B043B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16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390E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CD5ED00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E91D8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lastRenderedPageBreak/>
              <w:t>21.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DC563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Liczba niezależnych równoległych cyfrowych kanałów odbiorczych z pełną ścieżką cyfrową możliwa do wykorzystania w maksymalnym statycznym polu widzenia (max FOV) </w:t>
            </w:r>
          </w:p>
          <w:p w14:paraId="1A0A5077" w14:textId="77777777" w:rsidR="009E4D1B" w:rsidRDefault="00D2304D">
            <w:pPr>
              <w:spacing w:after="6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UWAGA: Poprzez kanał rozumie się niezależny tor odbiorczy zawierający co najmniej: wzmacniacz, przetwornik analogowo – cyfrowy(ADC) oraz tor rekonstrukcyjny. Nie dopuszcza się deklarowania parametrów w oparciu o rozwiązania, w których liczba kanałów nie jest jednocześnie określona lub jest deklarowana jako niezależna od architektury sprzętowej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DB57B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48</w:t>
            </w:r>
          </w:p>
          <w:p w14:paraId="40E7F7C4" w14:textId="77777777" w:rsidR="009E4D1B" w:rsidRDefault="009E4D1B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EA01" w14:textId="77777777" w:rsidR="009E4D1B" w:rsidRDefault="009E4D1B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5FF30C67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1DB29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19CA5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Szerokość pasma przenoszenia (receive band width) lub zaoferowanie w pełni światłowodowej transmisji sygnału od cewki do rekonstruktora [kHz]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33D62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500 kHz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B177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FBD8359" w14:textId="7777777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FB40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9ED2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Rozdzielczość odbiornika [bit]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C8427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32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BDD6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F67923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464C78C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948140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CEWKI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D347BD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10A0" w14:textId="77777777" w:rsidR="009E4D1B" w:rsidRDefault="009E4D1B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EEE33D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360CB0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35A9CB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Cewka nadawczo-odbiorcza ogólnego przeznaczenia zabudowana w tunelu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63B275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29E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E2E03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347D6C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606C2E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Wielokanałowa cewka  do badania głowy i szyi (również do badań angiograficznych): typu array, wieloelementowa (min.16 elementy), umożliwiająca akwizycje równoległe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C6F8CC0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9F7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FFBD9C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651F2CD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0DC8274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Wielokanałowa cewka typu Body do badania jamy brzusznej, wieloelementowa (min 12 elementów obrazujących jednocześnie w FOV), umożliwiająca akwizycje równoległe i zapewniająca pokrycie FOV w osi Z minimum 35 cm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6859021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22B8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72A0E2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BDEF844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E73965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Wielokanałowa cewka typu Body do badania jamy brzusznej, wieloelementowa (min 24 elementy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obrazujące jednocześnie w FOV), umożliwiająca akwizycje równoległe i zapewniająca pokrycie FOV w osi Z minimum 35 cm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891B8BA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73AA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F240B3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36E06B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F04BA2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Wielokanałowa cewka lub zestaw cewek do badania tułowia (klatka piersiowa i brzuch): typu array, do jednoczesnych akwizycji równoległych całego obiektu, wieloelementowa (min 24 elementy), </w:t>
            </w:r>
          </w:p>
          <w:p w14:paraId="736646E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UWAGA: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zaoferowana cewka lub zestaw cewek powinien, co najmniej zapewnić pokrycie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w maksymalnym FOV dostępnym dla oferowanego aparatu.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5BBED8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4E00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816A5F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4CE7C05" w14:textId="77777777" w:rsidR="009E4D1B" w:rsidRDefault="00D2304D">
            <w:pPr>
              <w:spacing w:before="6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078933A" w14:textId="77777777" w:rsidR="009E4D1B" w:rsidRDefault="00D2304D">
            <w:pPr>
              <w:spacing w:before="6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Wielokanałowa cewka typu array  umożliwiająca badanie całego kręgosłupa (odcinki C, Th i L) z automatycznym przesuwem stołu pacjenta sterowanym z protokołu badania, bez repozycjonowania pacjenta i przekładania lub przepinania cewek, wieloelementowa (min. 24 elementy obrazujące) i umożliwiająca akwizycje równoległe 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CB4CF8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24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E4A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F20310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7EB3015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4A066A1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Wielokanałowa cewka typu array (lub kombinacja cewek) umożliwiająca badanie całego ośrodkowego układu nerwowego (tzn. głowa + cały kręgosłup)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 xml:space="preserve">z automatycznym przesuwem stołu pacjenta sterowanym z protokołu badania, bez repozycjonowania pacjenta i przekładania lub przepinania cewek, wieloelementowa (min. 40 elementy) i umożliwiająca akwizycje równoległe 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88DEF88" w14:textId="77777777" w:rsidR="009E4D1B" w:rsidRDefault="00D2304D">
            <w:pPr>
              <w:pStyle w:val="Zawartotabeli"/>
              <w:spacing w:before="4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40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DAFF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49BFF0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1055221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31.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42C7023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Wielokanałowa dedykowana cewka sztywna (dopasowana anatomicznie) do badania barku, wieloelementowa (min 8 elementów obrazujących jednocześnie w FOV), umożliwiająca akwizycje równoległe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D6D8BD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B0C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F12157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F93EB5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32.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8B73D6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Wielokanałowa dedykowana cewka sztywna (dopasowana anatomicznie) do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 xml:space="preserve">badania nadgarstka (min 8 elementów) umożliwiająca obrazowanie równoległe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8BB23A7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C750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1C3592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3CE420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AC90C6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Wielokanałowa dedykowana cewka sztywna (dopasowana anatomicznie) do badania stawu kolanowego posiadająca minimum 8 elementów obrazujących i umożliwiająca akwizycje równoległe w obrębie obiektu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DED5B7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462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CB83D4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3F41F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BD1BD8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Wielokanałowa dedykowana cewka sztywna (dopasowana anatomicznie) do badania stawu skokowego i stopy posiadająca minimum 12 elementów obrazujących i umożliwiająca akwizycje równoległe w obrębie obiektu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860C200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71AA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96C3FA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314BC2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D83879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Wielokanałowa dedykowana cewka sztywna (dopasowana anatomicznie) do badań mammograficznych, posiadająca minimum 10 elementów obrazujących i umożliwiająca akwizycje równoległe w obrębie obiektu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9F4F70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C5A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0D4B5B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8D3CFE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0DB94A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Wielokanałowa cewka do badań kardiologicznych, posiadająca minimum 12 elementów, umożliwiająca akwizycje równoległe, wyposażona w zintegrowany system detekcji sygnałów (np. sygnały serca lub oddechu) umożliwiający synchronizację badań bez stosowania dodatkowych zewnętrznych czujników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2E2AC4C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D37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363B77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B4C570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AB41CE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2 cewek typu flex, w dwóch różnych rozmiarach, posiadające co najmniej 8 elementów każda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AC6D1CB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31D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883575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381DFB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871468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Wielokanałowa, wieloelementowa cewka matrycowa (typu array) lub zestaw cewek do badań całego ciała o pokryciu równym lub większym niż 160 [cm] pozwalająca na akwizycje równoległe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CAA8B79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54CE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183537D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1BADC7B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8A92AC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POZYCJONOWANIE I NADZÓR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CDB1B2A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F24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22F2AF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CACBC2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39.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9BA033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Maksymalne obciążenie płyty stołu (łącznie z ruchem pionowym)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01A7541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&gt;=225 kg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0665" w14:textId="77777777" w:rsidR="009E4D1B" w:rsidRDefault="009E4D1B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6917C66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690B44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861D50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Automatyczny przesuw stołu pacjenta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C35317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CBF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3B52D8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24105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29319F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Badanie kilku okolic anatomicznych bez konieczności repozycjonowania pacjenta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058F6F2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7B4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916BD5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8A1B91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F458D3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System monitorowania pacjenta (EKG, puls i oddech) synchronizujący sekwencje obrazujące; bramkowanie akwizycji za pomocą EKG, bramkowanie oddechowe.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A47D1EB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1B2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13B772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86BAD11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5DB50EC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System monitorowania oddechu pacjenta i synchronizacji oddechu z sekwencjami, działający w oparciu o zewnętrzne czujniki wbudowane w gantry, bez konieczności podłączania  czujników do pacjenta, działający również bez wykonywania sekwencji pomiarowych (bez nawigatora) lub inny system monitowania oddechu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9BC4F38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D6E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7DB98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1566E27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BCCB25A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Interkom do komunikacji z pacjentem, kamera TV do obserwacji pacjenta w tunelu z monitorem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>w pomieszczeniu operatorskim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6E2D4A1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E53B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99E149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142AF74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45.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651DF51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Nawiew powietrza w tunelu pacjenta, regulacja siły nawiewu powietrza w tunelu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DF0E8BD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6AFD" w14:textId="77777777" w:rsidR="009E4D1B" w:rsidRDefault="009E4D1B">
            <w:pPr>
              <w:pStyle w:val="Zawartotabeli"/>
              <w:snapToGrid w:val="0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2902C1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088FD42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40" w:after="40" w:line="288" w:lineRule="auto"/>
              <w:ind w:left="0" w:firstLine="0"/>
              <w:rPr>
                <w:rFonts w:ascii="Arial" w:hAnsi="Arial" w:cs="Arial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auto"/>
                <w:sz w:val="20"/>
                <w:szCs w:val="20"/>
              </w:rPr>
              <w:t>46.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268B85A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40" w:after="4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auto"/>
                <w:sz w:val="20"/>
                <w:szCs w:val="20"/>
              </w:rPr>
              <w:t>Oświetlenie tunelu pacjenta, regulacja natężenia oświetlenia tunelu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6751357" w14:textId="77777777" w:rsidR="009E4D1B" w:rsidRDefault="00D2304D">
            <w:pPr>
              <w:pStyle w:val="Zawartotabeli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9E63" w14:textId="77777777" w:rsidR="009E4D1B" w:rsidRDefault="009E4D1B">
            <w:pPr>
              <w:pStyle w:val="Zawartotabeli"/>
              <w:snapToGrid w:val="0"/>
              <w:spacing w:before="40" w:after="4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84835B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FF98EF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47.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EE23D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Dwa identyczne funkcjonalnie panele sterujące umieszczone na obudowie magnesu po obu stronach łóżka pacjenta.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1E2035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F8D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22B8A5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541464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48.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43216B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Wysokorozdzielczy monitor kolorowy, zintegrowany z gantry aparatu MR, umożliwiający kontrolę funkcji aparatu MR (np. poprawność podłączenia cewek, czujników: oddechu, pulsu, itp.), sygnałów fizjologicznych, poprawność ustawienia parametrów skanowania,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poprawność wprowadzania danych pacjenta, itp.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09E4D29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0034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8D36B7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B67992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49.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06A595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Słuchawki tłumiące hałas dla pacjenta z zestawem umożliwiającym odsłuch muzyki w trakcie badania i komunikacji z pacjentem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AF2039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BA43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40EC5F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1CE86E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B1926A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Elementy poprawiające komfort pacjenta (np. lusterko w cewce do badania głowy)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EEBAD80" w14:textId="77777777" w:rsidR="009E4D1B" w:rsidRDefault="00D2304D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FE7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C2DB5E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5CD9CA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BFF792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Sekwencje pomiarowe, umożliwiające tzw ciche skanowanie, z poziomem hałasu nieprzekraczającym poziom szumu tła, mające zastosowanie co najmniej do badan: FLAIR, DIXON, TOF, EPI, SE, FSE lub równoważne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2D88A43" w14:textId="77777777" w:rsidR="009E4D1B" w:rsidRDefault="00D2304D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2126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0E9549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0A82593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DB65D4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APLIKACJE KLINICZNE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824732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B37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9FEC1B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260108E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A680BA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Badania neurologiczne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493C70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5A31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E04BF5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D59B6D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5C7FC2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Rutynowe badania neurologiczne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421E1F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096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ED9C50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72E3D0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E84B7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Badania obszaru głowy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1A44CA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970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BB9583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36851D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4189D3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Badania kręgosłupa i rdzenia kręgowego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F54275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FEB5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F4B70F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07B315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55.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120C93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Automatyczne planowanie I pozycjonowanie badań kręgosłupa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1D54C47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2A3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7166B65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C38B0F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5EA687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do badań OUN 3D – podać nazwę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CB5C08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7A4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D7D073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C6E710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3F2638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Izotropowe sekwencje 3D pozwalające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 xml:space="preserve">w postprocessingu 3D na uzyskanie rekonstrukcji dowolnej płaszczyzny bez straty jakości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4E0C09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D0B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987093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08A2B3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FA9725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Wysokorozdzielcze badania neurologiczne głowy umożliwiające badania z cienką warstwą  pozbawione przerw między kolejnymi warstwami (tzw. badania wolumetryczne, izotropowe 3D)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295444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7617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2B3BE7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C79CAB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763983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Sekwencja 3D do obrazowania zależnego od podatności magnetycznej tkanki SWI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2D4455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B52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C01112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49E832B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60.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01ADB59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Możliwość zdefiniowania i rozróżnienia (krwawienie/zwapnienie) za pomocą zaoferowanej sekwencji 3D do obrazowania zależnego od podatności magnetycznej tkanki, bez konieczności stosowania skanu kalibracyjnego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15D9DD3" w14:textId="77777777" w:rsidR="009E4D1B" w:rsidRDefault="00D2304D">
            <w:pPr>
              <w:pStyle w:val="Zawartotabeli"/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A63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4C61C3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FFBCD1A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61.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9F8204E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Obrazowanie bezkontrastowe perfuzji 3D (ASL)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EFC4393" w14:textId="77777777" w:rsidR="009E4D1B" w:rsidRDefault="00D2304D">
            <w:pPr>
              <w:pStyle w:val="Zawartotabeli"/>
              <w:snapToGrid w:val="0"/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462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3F5185A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F354B17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62.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A8E746A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Automatyczne pozycjonowanie, planowanie I optymalizacja badań głowy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614F627" w14:textId="77777777" w:rsidR="009E4D1B" w:rsidRDefault="00D2304D">
            <w:pPr>
              <w:pStyle w:val="Zawartotabeli"/>
              <w:snapToGrid w:val="0"/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028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415D1CA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5822420" w14:textId="77777777" w:rsidR="009E4D1B" w:rsidRDefault="009E4D1B">
            <w:pPr>
              <w:spacing w:before="20" w:after="2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CB0B724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DYFUZJA (badania neurologiczne)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26EBFEA" w14:textId="77777777" w:rsidR="009E4D1B" w:rsidRDefault="009E4D1B">
            <w:pPr>
              <w:pStyle w:val="Zawartotabeli"/>
              <w:snapToGrid w:val="0"/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33B2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8B022A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C209C6A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A1D6A5E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Obrazowanie dyfuzji w oparciu o tzw. single-shot EPI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5868C83" w14:textId="77777777" w:rsidR="009E4D1B" w:rsidRDefault="00D2304D">
            <w:pPr>
              <w:pStyle w:val="Zawartotabeli"/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5AE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566791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82F6F36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ECA4A14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Obrazowanie dyfuzji z małym polem widzenia, z wysoką rozdzielczością, bez artefaktów zawijania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188A47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B38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FE6DCE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7405DE4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B5EDB4E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Liczenie map ADC, w tym Automatyczne liczenie map ADC na konsoli podstawowej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110134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8F3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05D70F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6B6015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F5DEB2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Zaawansowane badania dyfuzyjne mózgu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113FA5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78A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906438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BC3B80E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E78C289" w14:textId="77777777" w:rsidR="009E4D1B" w:rsidRDefault="00D2304D">
            <w:pPr>
              <w:spacing w:before="20" w:after="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Dyfuzja DW-EPI łącznie z mapowaniem dróg nerwowych (Trace Map) i ADC Map, b max. 10000 s/mm2.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9CBC640" w14:textId="77777777" w:rsidR="009E4D1B" w:rsidRDefault="00D2304D">
            <w:pPr>
              <w:spacing w:before="20"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8634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9FAD21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591BDC" w14:textId="77777777" w:rsidR="009E4D1B" w:rsidRDefault="009E4D1B">
            <w:pPr>
              <w:spacing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58E98E6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PERFUZJA (badania neurologiczne)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A8C5817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4E7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713264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65BAD28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60E8C5B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Obrazowanie perfuzji w oparciu o tzw. single-shot EPI (metodą DSC)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72B5B1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9D7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AB4090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4B0BDF9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69.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B74D22C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Mapy TTP (Time-to-Peak), CBF (Cerebral Blood Flow), CBV (Cerebral Blood Volume), MTT (Mean Transit Time)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BAFBE3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5B3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A027730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7CBC537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F598528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Automatyczne liczenie map TTP, PBP (Percentage of Baseline at Peak) i GBP (Globar Bolus Plot) na konsoli podstawowej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8560F8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3FC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E28B89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BA32C80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DEF0FF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  <w:t>TENSOR DYFUZJI (DTI)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43DB3B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4D4F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0259D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B3EAAC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E2BB03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DTI w oparciu o tzw. Single Shot EPI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D15543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174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FE5786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E21362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72.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28200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Pomiary DTI z różnymi kierunkami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D60C778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TAK, 12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F8C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663516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14926D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E64DA8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Traktografia tensora dyfuzji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E1F681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3E43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66A8790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B35C330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88DF72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  <w:t>SPEKTROSKOPIA WODOROWA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9508B6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091E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71F6CB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FDF539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5977FA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Spektroskopia Single Voxel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0083C4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1BC8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A57BD7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B9BB1D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F02E99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Spektroskopia CSI 2D/3D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DC70C5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FC9B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B5CFF5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30B910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DC8D3B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Aplikacje do postprocessingu badań spektroskopii Single Voxel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C6E5F6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E968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5E542C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9BC8E29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1A6A7E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fr-FR"/>
              </w:rPr>
              <w:t>BADANIA FUNKCJONALNE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184A0D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047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1793D6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7404A9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77.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87ABC2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Badania funkcjonalne w oparciu o techniki BOLD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91059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B755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4A8A09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335664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02A1345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Korekcja zniekształceń geometrycznych EPI (EPI Distortion).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D61CE2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E673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90D020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426BB3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CEA1E4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Dostęp do danych akwizycyjnych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C99559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CDE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0E7786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3135C8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68D0567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Maksymalna liczba obrazów w jednej akwizycji ≥ 40 000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B9112E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15C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DC22DC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B029E8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4E8745E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Wyzwalanie sekwencji obrazujących z zewnętrznego urządzenia (trigger in)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690971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0D39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79AD650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D64197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6431DE1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Wysyłanie przez skaner sygnału synchronizacji do zewnętrznego urządzenia (trigger out).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8212B5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5111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CF3BFA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A1C8C7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444623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Budowanie własnych protokołów (paradigms)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E78439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3534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D0A32B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0CCA4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0BB9DB3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Aplikacje do zaawansowanego postprocessingu badań czynnościowych fMRI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41CA93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B9EB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08D133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B48F8E9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981FFB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ANGIOGRAFIA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B3B5603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7EB7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057AA9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F26EB8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27D15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Time-of-Flight MRA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9971BA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753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A22635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E38E96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85F003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Phase Contrast MRA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F990C9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9E9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35F7EA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44AFCC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D0C3F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Techniki bezkontrastowej angiografii 3D (inne niż ToF i PC) o wysokiej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rozdzielczości przestrzennej do obrazowania naczyń peryferyjnych i abdominalnych pozwalające na różnicowanie naczyń tętniczych i żylnych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2FA10B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918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24FC48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189A70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8D893E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Contrast-enhanced MRA (ceMRA)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7AEC3C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B8B5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6FB250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9345C6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8C95C3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Dynamiczne badania 3D Angio MR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FE4904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3197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8AD0B1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BC7653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82BE4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Bolus Timing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1C9A43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F12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893BA9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190211E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1533D9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Badania abdominalne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16F6EF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367A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6919FE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66B002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1F1162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Obrazowanie dyfuzji w obszarze abdominalnym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8EBD56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6DD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6709C6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BAF90D2" w14:textId="77777777" w:rsidR="009E4D1B" w:rsidRDefault="00D2304D">
            <w:pPr>
              <w:spacing w:before="60" w:after="60" w:line="288" w:lineRule="auto"/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eastAsia="Microsoft YaHei" w:hAnsi="Arial" w:cs="Arial"/>
                <w:sz w:val="20"/>
                <w:szCs w:val="20"/>
              </w:rPr>
              <w:t>92.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9539B8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icrosoft YaHei" w:hAnsi="Arial" w:cs="Arial"/>
                <w:sz w:val="20"/>
                <w:szCs w:val="20"/>
              </w:rPr>
              <w:t>Badania dynamiczne jamy brzusznej oparte o sekwencje typu T1 QUICK 3D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782A90B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CF68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8F994F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92CEA2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B2049C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Dynamiczne badania wątroby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0BB9FE0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37E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38DAFF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9D4CCF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3C784F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umożliwiające procentowe określenie zawartości tłuszczu  w wątrobie (LiverLab, FACT lub odpowiednik)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84570F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ACA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9CB7C1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DA3C2B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E728ED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Funkcja Nawigatora synchronizyjąca sekwencje skanującą z oddechem pacjenta, oparta o pomiar ruchów przepony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BDDF70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11E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78DC15C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E64C47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AD1ECF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Obrazowanie jamy brzusznej wykonywane bez zatrzymywania oddechu, pozbawione artefaktów związanych z oddychaniem, oparte na radialnym skanowaniu przestrzeni k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27C6A2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B993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3642B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E3CDAF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FA94E3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Obrazowanie prostaty wraz z sekwencjami niezbędnymi do badań dynamicznych DCE (Dynamic Contrast Enhancement)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D2A399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5D4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9CABC2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BA9E72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015B55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Cholangiografia MR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BDB5D5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BBE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2717FF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1A1DEB8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9EA008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BADANIA ORTOPEDYCZNE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123F48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51BC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EC3494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7466CB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3C6520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Protokoły i sekwencje do badań stawów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A456EF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022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DA1319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4DEBC8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100.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FF24B9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Badanie stawu kolanowego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D4A0E6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9AF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56530C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BF7BC8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A09597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Badanie barku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3BB22A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E98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FAAC7C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60DB78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746C9C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Badanie nadgarstka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1B89EC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1CC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D2C3D2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5BE047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5BD27E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Badanie stawu skokowego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4B0ECC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BE5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226C55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53381B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4046DA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Badanie Stawu biodrowego, łokciowego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8EF522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25CB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FEEA27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46DB0B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F20231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Izotropowe sekwencje 3D pozwalające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 xml:space="preserve">w postprocessingu 3D na uzyskanie rekonstrukcji dowolnej płaszczyzny bez straty jakości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EEFB47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74D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20BC5E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0DA9B6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D88636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Sekwencja pozwalająca na uzyskanie podczas jednej akwizycji czterech obrazów : in-phase, out-of-phase, water-only, fat-only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45B68D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35D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F14355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8B3594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374BB0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Sekwencje do silnego  różnicowania chrząstki od płynu w badaniach stawów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0380244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B4CF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15D995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54E9FF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45BDFC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Sekwnecje pozwalające na uzyskanie obrazów bez artefaktów pochodzących od metalowych implantów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3A5E590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8561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4570DE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D0031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D14099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Sekwencje do obrazownaia i kalkulacji map parametrycznych dla właściwości T1,T2,T2* obrazowanej tkanki wraz z protokołami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4C1879B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084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B4603D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ABDE71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110.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255F98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Automatyczne pozycjonowanie, planowanie I optymalizacja badań stawu kolanowego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7516F2E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FCB7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693AA413" w14:textId="77777777">
        <w:trPr>
          <w:trHeight w:val="370"/>
        </w:trPr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80E6FFA" w14:textId="77777777" w:rsidR="009E4D1B" w:rsidRDefault="009E4D1B">
            <w:pPr>
              <w:spacing w:before="40" w:after="4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CEAA2FD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BADANIA KARDIOLOGICZNE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07B7D3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188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92F3589" w14:textId="77777777">
        <w:trPr>
          <w:trHeight w:val="370"/>
        </w:trPr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9B5585A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11</w:t>
            </w:r>
            <w:r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D0B3A4F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Cardiac Morphology (morfologia serca) , CINE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2C8925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ACF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1F3A97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3257CEB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0362D66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Zaawansowane badania kardiologiczne: cardiac function, perfusion, późne wzmocnienie (delayed enhancement), żywotność (viability)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978565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B2A7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8E097B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BB8997E" w14:textId="77777777" w:rsidR="009E4D1B" w:rsidRDefault="00D2304D">
            <w:pPr>
              <w:spacing w:before="40" w:after="40" w:line="288" w:lineRule="auto"/>
              <w:rPr>
                <w:rFonts w:ascii="Arial" w:eastAsia="Microsoft YaHei" w:hAnsi="Arial" w:cs="Arial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Microsoft YaHei" w:hAnsi="Arial" w:cs="Arial"/>
                <w:kern w:val="2"/>
                <w:sz w:val="20"/>
                <w:szCs w:val="20"/>
                <w:lang w:eastAsia="zh-CN"/>
              </w:rPr>
              <w:lastRenderedPageBreak/>
              <w:t>113.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E51BCA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eastAsia="Microsoft YaHei" w:hAnsi="Arial" w:cs="Arial"/>
                <w:kern w:val="2"/>
                <w:sz w:val="20"/>
                <w:szCs w:val="20"/>
                <w:lang w:eastAsia="zh-CN"/>
              </w:rPr>
              <w:t>Procedury shimowania dedykowane do badań kardiologicznych (cardiac shims)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767E3E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243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15A7EF1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B292ECF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114.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5F5812E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Automatyczne pozycjonowanie, planowanie I optymalizacja badań serca (obrazy osiowe, 2 komory, 3 komory, ortogonalne)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669B49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56B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182EF50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68B1127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115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01DE4EE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Dark Blood (obrazowanie z tłumieniem sygnału krwi)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5E4372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CCC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B9E51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C7AD2B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EF20FF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</w:t>
            </w:r>
            <w:r>
              <w:rPr>
                <w:rFonts w:ascii="Arial" w:hAnsi="Arial" w:cs="Arial"/>
                <w:iCs/>
                <w:sz w:val="20"/>
                <w:szCs w:val="20"/>
              </w:rPr>
              <w:t>brazowanie naczyń wieńcowych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5B68FF" w14:textId="77777777" w:rsidR="009E4D1B" w:rsidRDefault="00D2304D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D8A0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E55CC7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3B26A72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EAA666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BADANIA CAŁEGO CIAŁA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A26CF0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7BC4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DA4B7E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C91EF4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594A4E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DWI dla całego ciała (whole body DWI).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286D10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488B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EA36E9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330676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2FC64C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badań T1 dla całego ciała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7B368F6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551A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1A5BD8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ED717F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CBE0DC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badań STIR dla całego ciała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2228E76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2DB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35AF0E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E66041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121.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AB8E5C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Automatyczne pozycjonowanie, planowanie I optymalizacja badań typu whole-body (multi-bed planning)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2535537" w14:textId="77777777" w:rsidR="009E4D1B" w:rsidRDefault="00D2304D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DD9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5DFB7CA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2D8CD7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24E6E1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Automatyczne łączenie obrazów pochodzących z różnych pozycji stołu (Inline stitching for multi-bed imaging)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5E28D32" w14:textId="77777777" w:rsidR="009E4D1B" w:rsidRDefault="00D2304D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A861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6079E04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3EB31B3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0DE57A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BADANIA MAMMOGRAFICZNE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CD4666C" w14:textId="77777777" w:rsidR="009E4D1B" w:rsidRDefault="009E4D1B">
            <w:pPr>
              <w:pStyle w:val="Zawartotabeli"/>
              <w:snapToGrid w:val="0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1A2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9C156C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9DA76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12B3F2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Szybkie sekwencje 3D GE z tłumieniem tłuszczu dla dynamicznych badań z podaniem środka cieniującego, współpracujące z technikami równoległymi, umożliwiające obrazowanie z wysoką rozdzielczością przestrzenną i czasową obu sutków jednocześnie z możliwością wyboru – w płaszczyźnie axialnej lub sagittalnej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322B23B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4CF6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4A3749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92BE3B8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3CBDD3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OBRAZOWANIE RÓWNOLEGŁE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EF34D5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F1AE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3026AD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DBC3FD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9E9C80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Obrazowanie równoległe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8ACE70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C460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3E4B99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ECAB83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20AE41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Obrazowanie równoległe w oparciu o algorytmy na bazie rekonstrukcji obrazów lub w oparciu o algorytmy na bazie rekonstrukcji przestrzeni k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6DCF76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363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0B3C95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8B17E4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C460CC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Obrazowanie równoległe w oparciu o algorytmy na bazie rekonstrukcji przestrzeni k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6654E31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791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389BD1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C3FE1D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9C83A7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Maksymalny współczynnik przyspieszenia dla obrazowania równoległego w jednym kierunku lub w dwóch kierunkach jednocześnie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177D227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03B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8EE6BD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6277F41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449DC6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TECHNIKI DO SPEKTRALNEJ SATURACJI/POBUDZANIA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098EB3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F66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F87595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DAD0D4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2E3FAC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Częstotliwościowo selektywna saturacja tłuszczu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F19240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D1C5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D85481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67C4D1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9A5E19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Częstotliwościowo selektywna saturacja wody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BCD2CB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127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2B41FF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D2BD920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63565C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TECHNIKI REDUKCJI ARTEFAKTÓW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98E9C9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657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D38711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33AF90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130.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86F96F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Technika redukcji artefaktów ruchowych przy obrazowaniu T2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C00833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8364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DC4310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956559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131.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01D84F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Technika redukcji artefaktów ruchowych przy obrazowaniu FLAIR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823FFB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7AFD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C5CDA1B" w14:textId="77777777">
        <w:trPr>
          <w:trHeight w:val="370"/>
        </w:trPr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A998958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F36F0FA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Technika redukcji artefaktów ruchowych w głowie, szyi i kończynach występujących w różnych kierunkach bazująca na sekwencjach T1 FLAIR, T2, T2 FLAIR, PD, wykorzystująca radialną akwizycję przestrzeni K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9C771E7" w14:textId="77777777" w:rsidR="009E4D1B" w:rsidRDefault="00D2304D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5E8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A71D06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1280EF5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8D29BF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SEKWENCJE POMIAROWE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2B6B0E4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0A53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20C337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B55708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133.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7CB258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Spin Echo (SE) - podać min TE i TR dla matrycy 256x256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6BFD0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7325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8B5549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91F8B6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134.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A342EE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Inversion Recovery (IR) - (FLAIR, STIR)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EF86C8C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10C6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9593A0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F7A3A4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135.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F1BB77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Gradient Echo (GRE)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5598CF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F58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313337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F13F88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136.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C32590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Szybkie 3D GRE z „quick fat saturation” (tj. tylko jeden impuls saturacji tłuszczu na cykl kodowania 3D) dla wysokorozdzielczego obrazowania 3D w obszarze brzucha przy zatrzymanym oddechu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28DBF9B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45EC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BFABBC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2A97C8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137.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B1BE27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Sekwencje 2D GRE z full transverse rephasing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CD0198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0DF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9430BC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D02AA5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138.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A4DBEE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3D GRE z full transverse rephasing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3A22C1D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4036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A7B346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C27483A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139.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A0AB3BB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Sekwencje Turbo Spin Echo, Fast Spin Echo (TSE, FSE) 2D, 3D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79E04E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979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9FF2AA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3955EFA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46992AF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Sekwencje EPI-FID , EPI-SE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12D12C7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0F8B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05790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D1321E1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141.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20781D8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Sekwencje SSFP, BSSFP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50CEB6C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71AC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5C73BE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C00B517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230325B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do angiografii bezkontrastowej TOF, PC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E08C8C4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DCD8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52A986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75233C8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143.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7996D33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Sekwencje typu Multi-Shot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3FF2CCC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5DD5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375549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E25BA6C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86DD020" w14:textId="77777777" w:rsidR="009E4D1B" w:rsidRDefault="00D2304D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typu Single-Shot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D61E15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1040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FD4F1C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73A3F7B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0A20E61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do obrazownia w małym polu widzenia, bez artefaktów zawijania (ZoomIt, MicroView lub podobne)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40E57A8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BF9F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444C010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74D4AC6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3A46BB" w14:textId="77777777" w:rsidR="009E4D1B" w:rsidRDefault="00D2304D">
            <w:p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Sekwencje DWI umożliwiające generacje obrazów ze współczynnikami b innymi niż zmierzone (Computed DWI lub podobne)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5B81B45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0DC5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3BC9627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2D047CE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B5F70A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PARAMETRY OBRAZOWANIA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771365F" w14:textId="77777777" w:rsidR="009E4D1B" w:rsidRDefault="009E4D1B">
            <w:pPr>
              <w:pStyle w:val="Zawartotabeli"/>
              <w:snapToGrid w:val="0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987A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7713A5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7D3BA5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0A145A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 FoV we wszystkich osiach (x, y, z) [cm]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5FAA0B0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6B8A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121614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DD6FD3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BCB48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Max FoV w osiach x, y, z [cm] &gt;= 50 cm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1670D9D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2710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E31C14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89E0A8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205E0A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Matryca akwizycyjna 1024 x 1024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6889F8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68E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AD9289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5D1C78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E1032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Min. grubość warstwy (skany 2D) [mm]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242B91F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max 0,5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BED0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F7CD49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7F84DA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BC7DD1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Min. grubość warstwy (skany 3D) [mm]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D7A1BB1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max 0,1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28D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A06D5C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2F5655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B3CF64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Maksyamalny współczynnik przyspieszenia dla sekwencji Turbo Spin Echo/Fast Spin Echo (TSE, FSE)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CC09C17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1531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C11B92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34469D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153.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29C630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Czasy akwizycji możliwe do uzyskania podczas normalnej pracy klinicznej (widoczne w parametrach sekwencji) [s] – patrz poniżej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490A152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AF2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32C403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EF8A70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42C37D7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 TR dla 3D GRE (256x256 matryca)[s]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F6728D1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C179" w14:textId="77777777" w:rsidR="009E4D1B" w:rsidRDefault="009E4D1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ECB0A0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3A817D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2A7136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 TE dla 3D GRE (256x256 matryca)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EA04C22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758B" w14:textId="77777777" w:rsidR="009E4D1B" w:rsidRDefault="009E4D1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1BFC83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4C485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F7F37D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Min TR dla EPI (256x256 matryca)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E8E534E" w14:textId="77777777" w:rsidR="009E4D1B" w:rsidRDefault="00D2304D">
            <w:pPr>
              <w:pStyle w:val="Zawartotabeli"/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9826" w14:textId="77777777" w:rsidR="009E4D1B" w:rsidRDefault="009E4D1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F15320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570BAB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0B835C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Min TE dla EPI (256x256 matryca)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5F31231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BCEB" w14:textId="77777777" w:rsidR="009E4D1B" w:rsidRDefault="009E4D1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F345DE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B2DFCC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E47594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Echo Spacing (czas pomiędzy kolejnymi echami) dla EPI (matryca 256x256)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237C8DD" w14:textId="77777777" w:rsidR="009E4D1B" w:rsidRDefault="00D2304D">
            <w:pPr>
              <w:spacing w:before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8D3F" w14:textId="77777777" w:rsidR="009E4D1B" w:rsidRDefault="009E4D1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26B645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702A98D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C2F692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KONSOLA AKWIZYCYJNA (OPERATORSKA) APARATU MR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1E0E7D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D647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2B2BAE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CF4617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64B537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Komputer sterujący (procesor, system operacyjny) 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2CCE7A7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9DBB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8DC770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DB9ABB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6FE758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Liczba obrazów archiwizowana na HD w matrycy 256x256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AEFD69E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5 000 000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10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78C5A5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CCE27F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BDF4CC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Archiwizacja obrazów na CD-R oraz DVD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>z dogrywaniem DICOM’owego viewer’a umożliwiającego odtwarzanie obrazów na PC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0921EC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7F81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88BD6E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E71C93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E4028A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Komputer obrazowy (procesor, system operacyjny)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E637B6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2E17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FF60F4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7BF949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BB41B5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Matryca rekonstrukcyjna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7894175" w14:textId="77777777" w:rsidR="009E4D1B" w:rsidRDefault="00D2304D">
            <w:pPr>
              <w:pStyle w:val="Zawartotabeli"/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 1024 x 1024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D41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8F65EB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DB4560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A56335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Szybkość rekonstrukcji dla obrazów w matrycy 256 x 256 przy 100% FOV [obr/s]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7FBC1A3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30 000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2C75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8893B0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9C86F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5F3A96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Akwizycja danych oparta o metodę Compressed Sensing- możliwa do wykorzystania w akwizycjach 2D, 3D umożliwiającymi skrócenie czasu akwizycji i/lub poprawę rozdzielczości obrazowania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FB7645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F162" w14:textId="77777777" w:rsidR="009E4D1B" w:rsidRDefault="009E4D1B">
            <w:pPr>
              <w:pStyle w:val="Zawartotabeli"/>
              <w:snapToGrid w:val="0"/>
              <w:spacing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2C1F195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3A97FB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894531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Dedykowane I oddzielne komputery rekonstrukcyjne do algorytmów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Compressed z prędkością rekonstrukcji co najmniej 50 000 obrazów/sek.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D4540A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T</w:t>
            </w:r>
            <w:r>
              <w:rPr>
                <w:rFonts w:ascii="Arial" w:hAnsi="Arial" w:cs="Arial"/>
                <w:sz w:val="20"/>
                <w:szCs w:val="20"/>
              </w:rPr>
              <w:t>AK/NIE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F43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350039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01B979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D92464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Monitor – pracujący w technologii LCD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F9FF3C0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0FA6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6EED48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4B3A06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A1CCD8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Przekątna monitora [‘]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E06A764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&gt;=24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62E6" w14:textId="77777777" w:rsidR="009E4D1B" w:rsidRDefault="009E4D1B">
            <w:pPr>
              <w:pStyle w:val="Zawartotabeli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387694F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35C9AC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169.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2ABD5E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Matryca monitora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53A15E7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 (1280 x 1024)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F29E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92C40D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83E2525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23CC9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Wykresy time-intensity dla badań z kontrastem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F6D8A8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783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B321C3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1C0B0E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84E7EE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MPR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666611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AA04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025B1B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C705B3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D69326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MIP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BEEA2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2963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C43B8F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12002A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413024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Rekonstrukcje 3D SSD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84B6BC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B983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3EA9DE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D1BEEE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3A870C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łączenia poszczególnych obrazów z badań krokowych obszarów rozległych przekraczających statyczne FoV w jeden obraz całego badanego obszaru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FFB54D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82B9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336351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AB9086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7833A1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Analiza wyników protonowej spektroskopii MR mózgu SVS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0578D4B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5E65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569DB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1A06D02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282A68B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badań funkcjonalnych mózgu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93BDA8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DB3D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6904BB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4ED0DD6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5387F7D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ilościowej analizy badań perfuzji (neuro), a w szczególności kalkulacja i prezentacja w kolorze następujących wskaźników:</w:t>
            </w:r>
          </w:p>
          <w:p w14:paraId="437FD9D1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TTP (Time-to-Peak),</w:t>
            </w:r>
          </w:p>
          <w:p w14:paraId="1AD406FD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relMTT (relative Mean Transit  Time),</w:t>
            </w:r>
          </w:p>
          <w:p w14:paraId="531CC624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relCBV (relative Cerebral Blood Volume),</w:t>
            </w:r>
          </w:p>
          <w:p w14:paraId="11EA2FB1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after="6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relCBF (relative Cerebral Blood 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Flow).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034604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9E5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4D1B" w14:paraId="605782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8B4A836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178.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5A5CA1B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dyfuzji, mapy ADC, ilościowa ocena ADC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44720E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5FD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53D0EC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83F5904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179.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146A573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obliczania i wizualizacji map T1,T2, T2* w badaniach stawów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E46130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D79B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37F8AA0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26CCE59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34FA68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tensora dyfuzji oraz wizualizacji 2D i 3D traktografii tensora dyfuzji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2774BF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F097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7EBD7D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EF5F7B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D2BF36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Możliwość wsparcia zdalnego w przypadku awarii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A268A4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361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C2AC56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DC4118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5E100F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Biurko/stół rekomendowane przez dostawcę pod konsolę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3EFFCC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EC02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B9C86A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FE478A8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AF59642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Równoczesne skany i rekonstrukcja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A92118F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5B8A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B615BA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EE5FC53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80DBF36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Rekonstrukcja obrazów oparta o algorytmy Deep Learning (AI) , umożliwiająca poprawę jakości uzyskiwanego obrazu (SNR) poprzez inteligentne usuwanie szumu, z zachowaniem poziomu sygnału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26D6A4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58B0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79C143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10648D2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185.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92485BE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Praca w sieci: </w:t>
            </w:r>
          </w:p>
          <w:p w14:paraId="792BA19D" w14:textId="77777777" w:rsidR="009E4D1B" w:rsidRDefault="00D2304D">
            <w:pPr>
              <w:numPr>
                <w:ilvl w:val="0"/>
                <w:numId w:val="4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DICOM 3.0 – SEND/RECEIVE, </w:t>
            </w:r>
          </w:p>
          <w:p w14:paraId="19E3EAD7" w14:textId="77777777" w:rsidR="009E4D1B" w:rsidRDefault="00D2304D">
            <w:pPr>
              <w:numPr>
                <w:ilvl w:val="0"/>
                <w:numId w:val="4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DICOM 3.0 – QUERY/RETRIEVE, </w:t>
            </w:r>
          </w:p>
          <w:p w14:paraId="57B4F5AC" w14:textId="77777777" w:rsidR="009E4D1B" w:rsidRDefault="00D2304D">
            <w:pPr>
              <w:numPr>
                <w:ilvl w:val="0"/>
                <w:numId w:val="4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DICOM 3.0 – WORKLIST, </w:t>
            </w:r>
          </w:p>
          <w:p w14:paraId="5441B0D5" w14:textId="77777777" w:rsidR="009E4D1B" w:rsidRDefault="00D2304D">
            <w:pPr>
              <w:numPr>
                <w:ilvl w:val="0"/>
                <w:numId w:val="4"/>
              </w:num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DICOM 3.0 – DICOM BASI</w:t>
            </w:r>
            <w:r>
              <w:rPr>
                <w:rFonts w:ascii="Arial" w:hAnsi="Arial" w:cs="Arial"/>
                <w:iCs/>
                <w:sz w:val="20"/>
                <w:szCs w:val="20"/>
              </w:rPr>
              <w:t>C PRINT.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729C40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1D69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16811C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9BF8DD7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4B15C7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KONSOLA POSTPROCESSINGOWA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3359953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D94C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9D3234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07EB89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87D372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Serwer aplikacyjny oparty o technologie klient-serwer posiadający możliwość zainstalowania licencji pływających lub inne podobne rozwiązanie, które umożliwia analizę badań również zaawansowanych, multiparametrycznych. Dwie stacje lekarskie z myszką i klawiaturą.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6B99E0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1143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24FE3F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3FE841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61E198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Pamięć RAM [GB]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BC65292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&gt;=12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6E8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DEAF7F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DE8BB1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45F3F9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Monitor w technologii LCD/TFT [‘] (diagnostyczny po dwie sztuki do każdej z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dwóch stacji lekarskiej oraz jeden opisowy do każdej stacji lekarskiej)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5169D95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&gt;= 21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12E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365B38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A37D842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B703CC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Matryca monitora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BD8B893" w14:textId="77777777" w:rsidR="009E4D1B" w:rsidRDefault="00D2304D">
            <w:pPr>
              <w:spacing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1920 x 1200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92CE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B732FC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FA592A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DF791C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Liczba obrazów w matrycy 256x256 bez kompresji możliwych do archiwizacji na HD konsoli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DA0E805" w14:textId="77777777" w:rsidR="009E4D1B" w:rsidRDefault="00D2304D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&gt;= 100 000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E88D" w14:textId="77777777" w:rsidR="009E4D1B" w:rsidRDefault="009E4D1B">
            <w:pPr>
              <w:pStyle w:val="Zawartotabeli"/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2879FD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CFDCFB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016B68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Wykresy time-intensity dla badań z kontrastem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126586C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48E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E85A1E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80CAD1D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95A047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MPR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D6ABF7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4D4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4A8994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7A0B20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193.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AD95B6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MIP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F93669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6EB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2DE5BC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30E26F8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194.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0F9C59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Rekonstrukcje 3D SSD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91D44D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9491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418F79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7750BE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195.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057B3D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3D VRT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F9B9ED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867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674A9A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CDE828A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196.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F42D48E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Podstawowa analiza obrazów MR i CT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1E11F22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2323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65024C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49CCDB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197.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E8C0CB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do fuzji obrazów z tomografii komputerowej, rezonansu magnetycznego, medycyny nuklearnej, PET i obrazów morfologicznych MR </w:t>
            </w:r>
            <w:r>
              <w:rPr>
                <w:rFonts w:ascii="Arial" w:hAnsi="Arial" w:cs="Arial"/>
                <w:iCs/>
                <w:sz w:val="20"/>
                <w:szCs w:val="20"/>
              </w:rPr>
              <w:br/>
              <w:t xml:space="preserve">z obrazami dyfuzyjnymi MR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DCFB2C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32E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7F5031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BA0DEF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198.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5963B09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Analiza dyfuzji, mapy ADC, ilościowa ocena ADC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F63C6F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1E37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DB794C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D8369E8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199.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582D51B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ilościowej analizy badań perfuzji (neuro), a w szczególności kalkulacja i prezentacja w kolorze następujących wskaźników:</w:t>
            </w:r>
          </w:p>
          <w:p w14:paraId="77362EF8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TTP (Time-to-Peak),</w:t>
            </w:r>
          </w:p>
          <w:p w14:paraId="74B4C8D7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relMTT (relative Mean Transit  Time),</w:t>
            </w:r>
          </w:p>
          <w:p w14:paraId="5689DDE9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relCBV (relative Cerebral Blood Volume),</w:t>
            </w:r>
          </w:p>
          <w:p w14:paraId="02130C97" w14:textId="77777777" w:rsidR="009E4D1B" w:rsidRDefault="00D2304D">
            <w:pPr>
              <w:numPr>
                <w:ilvl w:val="0"/>
                <w:numId w:val="3"/>
              </w:numPr>
              <w:suppressAutoHyphens w:val="0"/>
              <w:spacing w:after="6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relCBF (relative Cerebral Blood 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Flow).</w:t>
            </w:r>
          </w:p>
          <w:p w14:paraId="2FD6A146" w14:textId="77777777" w:rsidR="009E4D1B" w:rsidRDefault="00D2304D">
            <w:pPr>
              <w:suppressAutoHyphens w:val="0"/>
              <w:spacing w:after="60" w:line="288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Minimum 1 licencja dla 1 jednoczasowego użytkownika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F5B88C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B398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A56641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6D45A5C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200.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B9B45C0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obliczania i wizualizacji map T1, T2, T2* w badaniach stawów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ECFB7C8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561D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9A5A13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F4A79C2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201.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72DD22F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Pomiary geometryczne (odległości, kąty, powierzchnie, objętość)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3E50C3A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B49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619193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226E84B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202.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9AA3DE4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badań spektroskopowych SVS, CSI</w:t>
            </w:r>
          </w:p>
          <w:p w14:paraId="231539F5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Minimum 1 licencja dla 1 jednoczasowego użytkownika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05D3596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7D35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5A760DD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BE86B30" w14:textId="4AB2C0F4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3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E64DC31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badań dynamicznych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E600FC7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262E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8A4411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13BFA4A" w14:textId="2D9A3CDE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4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4FDDA5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ilościowej analizy badań dynamicznych piersi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9AD7C25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50A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1D2F50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61B80A" w14:textId="43C7EE6F" w:rsidR="009E4D1B" w:rsidRDefault="00D2304D">
            <w:pPr>
              <w:spacing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FDE49BF" w14:textId="77777777" w:rsidR="009E4D1B" w:rsidRDefault="00D2304D">
            <w:pPr>
              <w:spacing w:line="276" w:lineRule="auto"/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do analizy badań dynamicznych DCE w oparciu o model toft wraz z wyliczeniem parametrów </w:t>
            </w:r>
            <w:r>
              <w:rPr>
                <w:rFonts w:ascii="Arial" w:eastAsia="Microsoft YaHei" w:hAnsi="Arial" w:cs="Arial"/>
                <w:sz w:val="20"/>
                <w:szCs w:val="20"/>
              </w:rPr>
              <w:t xml:space="preserve">Ktrans, Kep, Ve, Vp, Contrast Enhancement Ratio (CER), Initial Area Under Curve (iAUC) and Max Slope (MS)   </w:t>
            </w:r>
          </w:p>
          <w:p w14:paraId="1DC016BB" w14:textId="77777777" w:rsidR="009E4D1B" w:rsidRDefault="009E4D1B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D34BE7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3CA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6DC66A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50F4BB5" w14:textId="3C79090E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6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6D85F1B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oceny badań naczyniowych. Minimalna funkcjonalność: rekonstrukcje typu virtual endoskopy, volume rendering technique, automatyczna lub półautomatyczna detekcja segmentów naczyń, pomiar stenozy, rozróżnianie tętnic i żył</w:t>
            </w:r>
          </w:p>
          <w:p w14:paraId="15C56E7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Minimum 1 licencja dla 1 jednoczasowego użytkownika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22CAFE3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88AF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781A90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5B2701" w14:textId="378F5D4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07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3F42163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Oprogramowanie do analizy badań serca: automatyczna segmentacja prawej i lewej komory, analiza ilościowa badań czynnościowych serca : EDV, ESV, EF, CO, SV, mapy polarne (bull eye plots)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7B1AC8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AD0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89DF85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43F4AD0" w14:textId="7F175534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08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B25E766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Filtr obrazów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82B2C17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47E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E18B48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F4D7E91" w14:textId="69C34BA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09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AFD73C4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Możliwość łączenia obrazów z różnych pozycji stołu w jedną całość- Stitching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84F000B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77A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1EE9ECF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4D1D3D2" w14:textId="4918FEE2" w:rsidR="009E4D1B" w:rsidRDefault="00D2304D">
            <w:pPr>
              <w:spacing w:before="60" w:after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21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0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0B7C4AF" w14:textId="77777777" w:rsidR="009E4D1B" w:rsidRDefault="00D2304D">
            <w:pPr>
              <w:spacing w:before="60"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Konsola niezależna, mogąca działać po całkowitym wyłączeniu konsoli podstawowej aparatu MR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2501133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F95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9D65BE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A4F4F7D" w14:textId="460E25FD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21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FA9605F" w14:textId="77777777" w:rsidR="009E4D1B" w:rsidRDefault="00D2304D">
            <w:pPr>
              <w:spacing w:before="6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Praca w sieci</w:t>
            </w: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: </w:t>
            </w:r>
          </w:p>
          <w:p w14:paraId="1FE32748" w14:textId="77777777" w:rsidR="009E4D1B" w:rsidRDefault="00D2304D">
            <w:pPr>
              <w:numPr>
                <w:ilvl w:val="0"/>
                <w:numId w:val="5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DICOM 3.0 – SEND/RECEIVE, </w:t>
            </w:r>
          </w:p>
          <w:p w14:paraId="6866B7EA" w14:textId="77777777" w:rsidR="009E4D1B" w:rsidRDefault="00D2304D">
            <w:pPr>
              <w:numPr>
                <w:ilvl w:val="0"/>
                <w:numId w:val="5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DICOM 3.0 – QUERY/RETRIEVE, </w:t>
            </w:r>
          </w:p>
          <w:p w14:paraId="47AA8624" w14:textId="77777777" w:rsidR="009E4D1B" w:rsidRDefault="00D2304D">
            <w:pPr>
              <w:numPr>
                <w:ilvl w:val="0"/>
                <w:numId w:val="5"/>
              </w:numPr>
              <w:spacing w:line="288" w:lineRule="auto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DICOM 3.0 – DICOM PRINT, </w:t>
            </w:r>
          </w:p>
          <w:p w14:paraId="73E8EFC3" w14:textId="77777777" w:rsidR="009E4D1B" w:rsidRDefault="00D2304D">
            <w:pPr>
              <w:numPr>
                <w:ilvl w:val="0"/>
                <w:numId w:val="5"/>
              </w:numPr>
              <w:spacing w:after="6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DICOM 3.0 – Storage Commitment.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4A43002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C83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BEB288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F903F94" w14:textId="77777777" w:rsidR="009E4D1B" w:rsidRDefault="009E4D1B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BE3CD02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auto"/>
                <w:sz w:val="20"/>
                <w:szCs w:val="20"/>
              </w:rPr>
              <w:t>WSTRZYKIWACZ KONTRASTU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D3CA110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CCC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A843D01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77EE591" w14:textId="120FA5E6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21</w:t>
            </w:r>
            <w:r w:rsidR="000D279F">
              <w:rPr>
                <w:rFonts w:ascii="Arial" w:hAnsi="Arial" w:cs="Arial"/>
                <w:iCs/>
                <w:color w:val="auto"/>
                <w:sz w:val="20"/>
                <w:szCs w:val="20"/>
              </w:rPr>
              <w:t>2</w:t>
            </w: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A399E53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Strzykawka automatyczna do podawania środka kontrastowego przystosowana do pracy w środowisku MR – min. 1,5 [T]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0F7BCE4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C0C6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736A47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E25175E" w14:textId="77777777" w:rsidR="009E4D1B" w:rsidRDefault="009E4D1B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b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FFE6057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auto"/>
                <w:sz w:val="20"/>
                <w:szCs w:val="20"/>
              </w:rPr>
              <w:t>WYPOSAŻENIE DODATKOWE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CC2D8B9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195C" w14:textId="77777777" w:rsidR="009E4D1B" w:rsidRDefault="009E4D1B">
            <w:pPr>
              <w:snapToGrid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316ABFB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650D628" w14:textId="55A2E2ED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21</w:t>
            </w:r>
            <w:r w:rsidR="000D279F">
              <w:rPr>
                <w:rFonts w:ascii="Arial" w:hAnsi="Arial" w:cs="Arial"/>
                <w:iCs/>
                <w:color w:val="auto"/>
                <w:sz w:val="20"/>
                <w:szCs w:val="20"/>
              </w:rPr>
              <w:t>3</w:t>
            </w: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6347D58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Detektor implantów metalowych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6B97761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98F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F434B19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AA46247" w14:textId="5BBA5BAE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21</w:t>
            </w:r>
            <w:r w:rsidR="00F3196E">
              <w:rPr>
                <w:rFonts w:ascii="Arial" w:hAnsi="Arial" w:cs="Arial"/>
                <w:iCs/>
                <w:color w:val="auto"/>
                <w:sz w:val="20"/>
                <w:szCs w:val="20"/>
              </w:rPr>
              <w:t>4</w:t>
            </w: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2F5B04C1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Gaśnica niemagnetyczna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1D22B1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F0E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68FDBC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3A4F538" w14:textId="047AF795" w:rsidR="009E4D1B" w:rsidRDefault="00D2304D">
            <w:pPr>
              <w:pStyle w:val="Nagwek1"/>
              <w:numPr>
                <w:ilvl w:val="0"/>
                <w:numId w:val="2"/>
              </w:numPr>
              <w:tabs>
                <w:tab w:val="left" w:pos="708"/>
              </w:tabs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color w:val="auto"/>
                <w:sz w:val="20"/>
                <w:szCs w:val="20"/>
              </w:rPr>
              <w:t>1</w:t>
            </w:r>
            <w:r w:rsidR="00F3196E">
              <w:rPr>
                <w:rFonts w:ascii="Arial" w:hAnsi="Arial" w:cs="Arial"/>
                <w:iCs/>
                <w:color w:val="auto"/>
                <w:sz w:val="20"/>
                <w:szCs w:val="20"/>
              </w:rPr>
              <w:t>5</w:t>
            </w: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A6037FD" w14:textId="77777777" w:rsidR="009E4D1B" w:rsidRDefault="00D2304D">
            <w:pPr>
              <w:pStyle w:val="Nagwek1"/>
              <w:numPr>
                <w:ilvl w:val="0"/>
                <w:numId w:val="2"/>
              </w:numPr>
              <w:tabs>
                <w:tab w:val="left" w:pos="708"/>
              </w:tabs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Leżanka do transportu pacjentów w pozycji leżącej przystosowana do pracy w środowisku MR oraz rolki niemagnetyczne do przesuwania pacjenta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5850CC29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266C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8D8CCF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07EFDD6E" w14:textId="3F306D18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color w:val="auto"/>
                <w:sz w:val="20"/>
                <w:szCs w:val="20"/>
              </w:rPr>
              <w:t>1</w:t>
            </w:r>
            <w:r w:rsidR="00F3196E">
              <w:rPr>
                <w:rFonts w:ascii="Arial" w:hAnsi="Arial" w:cs="Arial"/>
                <w:iCs/>
                <w:color w:val="auto"/>
                <w:sz w:val="20"/>
                <w:szCs w:val="20"/>
              </w:rPr>
              <w:t>6</w:t>
            </w: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80E80FB" w14:textId="77777777" w:rsidR="009E4D1B" w:rsidRDefault="00D2304D">
            <w:pPr>
              <w:pStyle w:val="Nagwek1"/>
              <w:numPr>
                <w:ilvl w:val="0"/>
                <w:numId w:val="2"/>
              </w:numPr>
              <w:spacing w:before="60" w:after="60" w:line="288" w:lineRule="auto"/>
              <w:ind w:lef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auto"/>
                <w:sz w:val="20"/>
                <w:szCs w:val="20"/>
              </w:rPr>
              <w:t>Wózek inwalidzki niemagnetyczny do transportu chorych w pozycji siedzącej przystosowany do pracy w środowisku MR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F76E39D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F45A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5779AC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3C7A12" w14:textId="10F0C559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F3196E">
              <w:rPr>
                <w:rFonts w:ascii="Arial" w:hAnsi="Arial" w:cs="Arial"/>
                <w:iCs/>
                <w:sz w:val="20"/>
                <w:szCs w:val="20"/>
              </w:rPr>
              <w:t>7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B23E9EB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Zestaw fantomów do kalibracji i testowania aparatu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6BD1ACFE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7732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23CF74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687A5195" w14:textId="5DBFE2D9" w:rsidR="009E4D1B" w:rsidRDefault="00D2304D">
            <w:pPr>
              <w:spacing w:before="40" w:after="4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F3196E">
              <w:rPr>
                <w:rFonts w:ascii="Arial" w:hAnsi="Arial" w:cs="Arial"/>
                <w:iCs/>
                <w:sz w:val="20"/>
                <w:szCs w:val="20"/>
              </w:rPr>
              <w:t>8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798BA4A" w14:textId="77777777" w:rsidR="009E4D1B" w:rsidRDefault="00D2304D">
            <w:pPr>
              <w:spacing w:before="40" w:after="4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Zestaw podgłówków i podkładek do pozycjonowania przy różnych badaniach 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792F77B4" w14:textId="77777777" w:rsidR="009E4D1B" w:rsidRDefault="00D2304D">
            <w:pPr>
              <w:pStyle w:val="Zawartotabeli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7E4" w14:textId="77777777" w:rsidR="009E4D1B" w:rsidRDefault="009E4D1B">
            <w:pPr>
              <w:pStyle w:val="Zawartotabeli"/>
              <w:snapToGrid w:val="0"/>
              <w:spacing w:before="60" w:after="6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012F4C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7E72347" w14:textId="77777777" w:rsidR="009E4D1B" w:rsidRDefault="009E4D1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59413561" w14:textId="77777777" w:rsidR="009E4D1B" w:rsidRDefault="00D2304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14:paraId="35A9BB3B" w14:textId="77777777" w:rsidR="009E4D1B" w:rsidRDefault="009E4D1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9CFA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7268884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245DEA6" w14:textId="13612123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D7B440C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 dokumentów i testów, których wykonanie zgodnie z obowiązującymi przepisami leży po stronie dostawcy, 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które są niezbędne do odbioru pracowni i urządzenia przez uprawnione instytucje - wymienić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CEE4D9D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3DEC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376FD14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F41349C" w14:textId="293E58C8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3196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38C0149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zakończeniu prac – przeprowadzenie pomiarów pola elektromagnetycznego  i przekazanie dokumentacji zawierającej plany pomieszczeń wraz z zaznaczonymi strefami i wynikami pomiarów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5D1A4BB3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E75F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DF04788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6D7D2BE" w14:textId="77777777" w:rsidR="009E4D1B" w:rsidRDefault="009E4D1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0BC7AC4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SZKOLENIA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09BEB6CE" w14:textId="77777777" w:rsidR="009E4D1B" w:rsidRDefault="009E4D1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AB37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C9FB81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5F4EB45" w14:textId="61F9A785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3196E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FF29F1E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Szkolenie techniczno-aplikacyjne w miejscu instalacji dla lekarzy i elektroradiologów potwierdzone odpowiednim dokumentem (min. 15 dni po 6 godzin -  w terminie ustalonym z Zamawiającym)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9CF0EDA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8994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4BB020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6658B6A" w14:textId="77777777" w:rsidR="009E4D1B" w:rsidRDefault="009E4D1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30A24B88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SERWIS I GWARANCJA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5D387B25" w14:textId="77777777" w:rsidR="009E4D1B" w:rsidRDefault="009E4D1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1301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887C0A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25499944" w14:textId="69ABAAD0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13898D90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Zapewnienie dostępności części zamiennych przez okres min. 10 lat liczone od daty podpisania protokołu  zdawczo-odbiorczego systemu. Powyższe nie dotyczy oprogramowania i sprzętu komputerowego, dla którego Wykonawca zapewnia 5 letnią dostępność części zamiennych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F088835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okres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2A41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27FDC726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AF6939E" w14:textId="109DA401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3196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08A0324" w14:textId="40516256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Wymagany okres gwarancji – min. </w:t>
            </w:r>
            <w:r w:rsidR="00AB3236">
              <w:rPr>
                <w:rFonts w:ascii="Arial" w:hAnsi="Arial" w:cs="Arial"/>
                <w:sz w:val="20"/>
                <w:szCs w:val="20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 xml:space="preserve"> miesięcy liczona od daty podpisania protokołu końcowego odbioru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9A767E7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CB02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F5FDC3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DCDB1DA" w14:textId="1F1BB779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72CE91C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Gwarancja obejmuje wszystkie dolewki i uzupełnienia helu wynikające z pracy systemu oraz sytuacji awaryjnych, np. quench zarówno spontanicznych, wynikających z awarii systemu MR, systemów chłodzenia, systemów zasilania oraz inicjowanych przez użytkownika, np.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w sytuacji zagrożenia życia pacjenta, w całym okresie gwarancji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40F7CD1C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143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5D67CDE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B9084B1" w14:textId="75CF385B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23F8285" w14:textId="77777777" w:rsidR="009E4D1B" w:rsidRDefault="00D2304D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Pełna bezpłatna obsługa serwisowa i wymiana części w okresie gwarancji, która obejmuje:</w:t>
            </w:r>
          </w:p>
          <w:p w14:paraId="097F0ADA" w14:textId="77777777" w:rsidR="009E4D1B" w:rsidRDefault="00D2304D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regulację i kalibrację parametrów wymaganych przez producenta,</w:t>
            </w:r>
          </w:p>
          <w:p w14:paraId="69CFFB46" w14:textId="77777777" w:rsidR="009E4D1B" w:rsidRDefault="00D2304D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wykonywanie testów specjalistycznych,</w:t>
            </w:r>
          </w:p>
          <w:p w14:paraId="6AE7A177" w14:textId="77777777" w:rsidR="009E4D1B" w:rsidRDefault="00D2304D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 eksploatacyjne aparatu,</w:t>
            </w:r>
          </w:p>
          <w:p w14:paraId="532A47CB" w14:textId="77777777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podstawie informacji zawartych w instrukcji użytkowania lub zaleceń producenta Wykonawca wraz z Zamawiającym ustalą terminy kolejnych konserwacji, działań serwisowych, przeglądów, regulacji, kalibracji, wzorcowań, sprawdzeń i kontroli bezpieczeństwa, dotyczy to również czynności które Wykonawca/serwisant powinien wykonać po każdej naprawie, wymianie elementów urządzenia.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8111070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i opisać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5C6C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25579F0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811E20" w14:textId="2818B818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46D846D" w14:textId="77777777" w:rsidR="009E4D1B" w:rsidRDefault="00D2304D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Każdorazowo po wystąpieniu prac serwisowych w skutek awarii systemu MR, awarii aparatu, sytuacji inicjowanych przez użytkownika np. zagrożenie życia pacjenta lub uszkodzenia innych systemów składowych,  nastąpi przedłużenie okresu gwarancji sprzętu będącego przedmiotem zamówienia o czas wyłączenia sprzętu z eksploatacji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787DF20E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0697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044C42C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433D709" w14:textId="61B5DF3C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43CD4EDC" w14:textId="77777777" w:rsidR="009E4D1B" w:rsidRDefault="00D2304D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Wymiana każdego podzespołu na nowy po pierwszej nieskutecznej próbie jego naprawy.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3657188D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i opisać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AFC4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4B705DE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926C13F" w14:textId="11CEA9F6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ED071FD" w14:textId="77777777" w:rsidR="009E4D1B" w:rsidRDefault="00D2304D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 reakcji na zgłoszenie awarii – do 48 godzin (w dni robocze), czas usunięcia zgłoszonych usterek i wykonania napraw maks. 7 dni roboczych, czas wykonania napraw, w przypadku konieczności importu części zamiennych lub podzespołów maks. 14 dni roboczych.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4DB1EA86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FB02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1BEBEE72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30CE7EFE" w14:textId="39E9BCBF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3196E">
              <w:rPr>
                <w:rFonts w:ascii="Arial" w:hAnsi="Arial" w:cs="Arial"/>
                <w:sz w:val="20"/>
                <w:szCs w:val="20"/>
              </w:rPr>
              <w:t>29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CEAB295" w14:textId="77777777" w:rsidR="009E4D1B" w:rsidRDefault="00D23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 (lub tzw. lista kontrolna zawierająca wykaż części i czynności) dotycząca przeglądów technicznych w języku polskim.</w:t>
            </w:r>
          </w:p>
          <w:p w14:paraId="52D1F5F0" w14:textId="77777777" w:rsidR="009E4D1B" w:rsidRDefault="00D2304D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Dokumentacja musi zapewnić co najmniej pełną diagnostykę urządzenia, wykonywanie drobnych napraw, regulacji, kalibracji oraz przeglądów okresowych w standardzie wymaganym przez producenta.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5BD4E31C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TAK, podać i dostarczyć wraz z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protokołem końcowym odbioru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8ABB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AB9373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5273BF8" w14:textId="6EE882AB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F3196E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0D34678C" w14:textId="77777777" w:rsidR="009E4D1B" w:rsidRDefault="00D23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Deklaracja zgodności CE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E752028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5E25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6BF2235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50446CBB" w14:textId="01154263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F3196E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C0C267C" w14:textId="77777777" w:rsidR="009E4D1B" w:rsidRDefault="00D23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Bezpłatna aktualizacja oprogramowania zainstalowanego w dostarczonych urządzeniach w okresie trwania gwarancji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92D5A1C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AFC6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532B965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3425D01" w14:textId="531340E8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F319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63F6C335" w14:textId="77777777" w:rsidR="009E4D1B" w:rsidRDefault="00D23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jest zobowiązany (na własny koszt i we własnym zakresie) do montażu i uruchomienia oferowanego sprzętu i wyposażenia.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0CABABE9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D373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EEAD6CB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15FF30A2" w14:textId="3CB21286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F3196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9F981A0" w14:textId="77777777" w:rsidR="009E4D1B" w:rsidRDefault="00D2304D">
            <w:pPr>
              <w:pStyle w:val="Bezodstpw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okresie gwarancji w ramach zaoferowanej ceny Wykonawca przeprowadzi przeglądy przedmiotu zamówienia w ilości i zakresie zgodnym z wymogami określonymi w dokumentacji technicznej producenta.</w:t>
            </w:r>
          </w:p>
          <w:p w14:paraId="73EEE1F7" w14:textId="77777777" w:rsidR="009E4D1B" w:rsidRDefault="00D23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Ostatni przegląd w ostatnim miesiącu gwarancji.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E5FB0E6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3E40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0B5EA85A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723F16C4" w14:textId="640CF470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3</w:t>
            </w:r>
            <w:r w:rsidR="00F3196E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959420E" w14:textId="77777777" w:rsidR="009E4D1B" w:rsidRDefault="00D2304D">
            <w:pPr>
              <w:pStyle w:val="Bezodstpw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jest zobowiązany dostarczyć wraz z protokołem zdawczo-odbiorczym instrukcję obsługi urządzenia w języku polskim w wersji papierowej i elektronicznej.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7047FFCE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7142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D1B" w14:paraId="545CFB87" w14:textId="77777777">
        <w:tc>
          <w:tcPr>
            <w:tcW w:w="668" w:type="dxa"/>
            <w:tcBorders>
              <w:left w:val="single" w:sz="0" w:space="0" w:color="000000"/>
              <w:bottom w:val="single" w:sz="0" w:space="0" w:color="000000"/>
            </w:tcBorders>
          </w:tcPr>
          <w:p w14:paraId="496D4116" w14:textId="08D29198" w:rsidR="009E4D1B" w:rsidRDefault="00D2304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D279F">
              <w:rPr>
                <w:rFonts w:ascii="Arial" w:hAnsi="Arial" w:cs="Arial"/>
                <w:sz w:val="20"/>
                <w:szCs w:val="20"/>
              </w:rPr>
              <w:t>3</w:t>
            </w:r>
            <w:r w:rsidR="00F3196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left w:val="single" w:sz="0" w:space="0" w:color="000000"/>
              <w:bottom w:val="single" w:sz="0" w:space="0" w:color="000000"/>
            </w:tcBorders>
          </w:tcPr>
          <w:p w14:paraId="7F66D243" w14:textId="77777777" w:rsidR="009E4D1B" w:rsidRDefault="00D2304D">
            <w:pPr>
              <w:pStyle w:val="Bezodstpw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Kody i hasła serwisowe do rezonansu magnetycznego dostępne dla wszystkich uprawnionych pracowników serwisów. Po okresie gwarancji zamawiający ma prawo do korzystania z dowolnego przeszkolonego i uprawnionego serwisu.</w:t>
            </w:r>
          </w:p>
        </w:tc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69D5C69" w14:textId="77777777" w:rsidR="009E4D1B" w:rsidRDefault="00D2304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FC96" w14:textId="77777777" w:rsidR="009E4D1B" w:rsidRDefault="009E4D1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0E2A5FC2" w14:textId="77777777" w:rsidR="009E4D1B" w:rsidRDefault="009E4D1B">
      <w:pPr>
        <w:spacing w:line="288" w:lineRule="auto"/>
        <w:rPr>
          <w:rFonts w:ascii="Arial" w:hAnsi="Arial" w:cs="Arial"/>
          <w:sz w:val="20"/>
          <w:szCs w:val="20"/>
        </w:rPr>
      </w:pPr>
    </w:p>
    <w:p w14:paraId="0AA856AB" w14:textId="77777777" w:rsidR="009E4D1B" w:rsidRDefault="009E4D1B">
      <w:pPr>
        <w:spacing w:line="288" w:lineRule="auto"/>
        <w:rPr>
          <w:rFonts w:ascii="Arial" w:hAnsi="Arial" w:cs="Arial"/>
          <w:sz w:val="20"/>
          <w:szCs w:val="20"/>
        </w:rPr>
      </w:pPr>
    </w:p>
    <w:p w14:paraId="771192A5" w14:textId="77777777" w:rsidR="009E4D1B" w:rsidRDefault="009E4D1B">
      <w:pPr>
        <w:spacing w:line="288" w:lineRule="auto"/>
        <w:rPr>
          <w:rFonts w:ascii="Arial" w:hAnsi="Arial" w:cs="Arial"/>
          <w:sz w:val="20"/>
          <w:szCs w:val="20"/>
        </w:rPr>
      </w:pPr>
    </w:p>
    <w:p w14:paraId="7833AA71" w14:textId="77777777" w:rsidR="009E4D1B" w:rsidRDefault="00D2304D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Uwagi:</w:t>
      </w:r>
    </w:p>
    <w:p w14:paraId="711E9D78" w14:textId="77777777" w:rsidR="009E4D1B" w:rsidRDefault="00D2304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b/>
          <w:bCs/>
          <w:sz w:val="20"/>
          <w:szCs w:val="20"/>
        </w:rPr>
        <w:t xml:space="preserve">TAK </w:t>
      </w:r>
      <w:r>
        <w:rPr>
          <w:rFonts w:ascii="Arial" w:hAnsi="Arial" w:cs="Arial"/>
          <w:sz w:val="20"/>
          <w:szCs w:val="20"/>
        </w:rPr>
        <w:t>– w kolumnie:</w:t>
      </w:r>
      <w:r>
        <w:rPr>
          <w:rFonts w:ascii="Arial" w:hAnsi="Arial" w:cs="Arial"/>
          <w:b/>
          <w:bCs/>
          <w:sz w:val="20"/>
          <w:szCs w:val="20"/>
        </w:rPr>
        <w:t xml:space="preserve"> „PARAMETR WYMAGANY WARTOŚĆ” </w:t>
      </w:r>
      <w:r>
        <w:rPr>
          <w:rFonts w:ascii="Arial" w:hAnsi="Arial" w:cs="Arial"/>
          <w:bCs/>
          <w:sz w:val="20"/>
          <w:szCs w:val="20"/>
        </w:rPr>
        <w:t>oznacza bezwzględny wymóg.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Brak żądanej opcji lub niewypełnienie pola odpowiedzi w kolumnie: </w:t>
      </w:r>
      <w:r>
        <w:rPr>
          <w:rFonts w:ascii="Arial" w:hAnsi="Arial" w:cs="Arial"/>
          <w:b/>
          <w:bCs/>
          <w:sz w:val="20"/>
          <w:szCs w:val="20"/>
        </w:rPr>
        <w:t>„PARAMETR OFEROWANY</w:t>
      </w:r>
      <w:r>
        <w:rPr>
          <w:rFonts w:ascii="Arial" w:hAnsi="Arial" w:cs="Arial"/>
          <w:sz w:val="20"/>
          <w:szCs w:val="20"/>
        </w:rPr>
        <w:t>” spowoduje odrzucenie oferty.</w:t>
      </w:r>
    </w:p>
    <w:p w14:paraId="3E8BFE81" w14:textId="77777777" w:rsidR="009E4D1B" w:rsidRDefault="00D2304D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parametry o określonych warunkach liczbowych ( „=&gt;”  lub „&lt;=” ) są warunkami granicznymi, których niespełnienie spowoduje odrzucenie oferty. Wartość podana przy w/w oznaczeniach oznacza wartość wymaganą.</w:t>
      </w:r>
    </w:p>
    <w:p w14:paraId="1BAF62B9" w14:textId="77777777" w:rsidR="009E4D1B" w:rsidRDefault="009E4D1B">
      <w:pPr>
        <w:spacing w:line="288" w:lineRule="auto"/>
        <w:rPr>
          <w:rFonts w:ascii="Arial" w:hAnsi="Arial" w:cs="Arial"/>
          <w:sz w:val="20"/>
          <w:szCs w:val="20"/>
        </w:rPr>
      </w:pPr>
    </w:p>
    <w:p w14:paraId="326B0E1A" w14:textId="77777777" w:rsidR="009E4D1B" w:rsidRDefault="009E4D1B">
      <w:pPr>
        <w:spacing w:line="288" w:lineRule="auto"/>
        <w:rPr>
          <w:rFonts w:ascii="Arial" w:hAnsi="Arial" w:cs="Arial"/>
          <w:sz w:val="20"/>
          <w:szCs w:val="20"/>
        </w:rPr>
      </w:pPr>
    </w:p>
    <w:p w14:paraId="5008CC71" w14:textId="77777777" w:rsidR="009E4D1B" w:rsidRDefault="009E4D1B">
      <w:pPr>
        <w:rPr>
          <w:rFonts w:ascii="Arial" w:hAnsi="Arial" w:cs="Arial"/>
          <w:sz w:val="20"/>
          <w:szCs w:val="20"/>
        </w:rPr>
      </w:pPr>
    </w:p>
    <w:sectPr w:rsidR="009E4D1B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1A8A1" w14:textId="77777777" w:rsidR="00927BA6" w:rsidRDefault="00927BA6">
      <w:pPr>
        <w:spacing w:line="240" w:lineRule="auto"/>
      </w:pPr>
      <w:r>
        <w:separator/>
      </w:r>
    </w:p>
  </w:endnote>
  <w:endnote w:type="continuationSeparator" w:id="0">
    <w:p w14:paraId="39DB7707" w14:textId="77777777" w:rsidR="00927BA6" w:rsidRDefault="00927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dale Sans UI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F75D" w14:textId="77777777" w:rsidR="00927BA6" w:rsidRDefault="00927BA6">
      <w:pPr>
        <w:spacing w:line="240" w:lineRule="auto"/>
      </w:pPr>
      <w:r>
        <w:separator/>
      </w:r>
    </w:p>
  </w:footnote>
  <w:footnote w:type="continuationSeparator" w:id="0">
    <w:p w14:paraId="08EE31D5" w14:textId="77777777" w:rsidR="00927BA6" w:rsidRDefault="00927B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B679" w14:textId="15239746" w:rsidR="009E4D1B" w:rsidRDefault="00D2304D">
    <w:pPr>
      <w:numPr>
        <w:ilvl w:val="5"/>
        <w:numId w:val="1"/>
      </w:numPr>
      <w:suppressAutoHyphens w:val="0"/>
      <w:spacing w:line="240" w:lineRule="auto"/>
      <w:ind w:left="0" w:right="-369" w:firstLine="0"/>
      <w:jc w:val="both"/>
      <w:outlineLvl w:val="5"/>
      <w:rPr>
        <w:rFonts w:eastAsia="Times New Roman" w:cs="Times New Roman"/>
        <w:kern w:val="0"/>
        <w:sz w:val="22"/>
        <w:szCs w:val="22"/>
        <w:lang w:eastAsia="en-US" w:bidi="ar-SA"/>
      </w:rPr>
    </w:pPr>
    <w:r>
      <w:rPr>
        <w:rFonts w:eastAsia="Times New Roman" w:cs="Times New Roman"/>
        <w:kern w:val="0"/>
        <w:sz w:val="22"/>
        <w:szCs w:val="22"/>
        <w:lang w:eastAsia="en-US" w:bidi="ar-SA"/>
      </w:rPr>
      <w:t>Znak sprawy: CZMZ/2500/</w:t>
    </w:r>
    <w:r w:rsidR="00B017EE">
      <w:rPr>
        <w:rFonts w:eastAsia="Times New Roman" w:cs="Times New Roman"/>
        <w:kern w:val="0"/>
        <w:sz w:val="22"/>
        <w:szCs w:val="22"/>
        <w:lang w:eastAsia="en-US" w:bidi="ar-SA"/>
      </w:rPr>
      <w:t>1</w:t>
    </w:r>
    <w:r>
      <w:rPr>
        <w:rFonts w:eastAsia="Times New Roman" w:cs="Times New Roman"/>
        <w:kern w:val="0"/>
        <w:sz w:val="22"/>
        <w:szCs w:val="22"/>
        <w:lang w:eastAsia="en-US" w:bidi="ar-SA"/>
      </w:rPr>
      <w:t>9/2026</w:t>
    </w:r>
    <w:r>
      <w:rPr>
        <w:rFonts w:eastAsia="Times New Roman" w:cs="Times New Roman"/>
        <w:color w:val="FF0000"/>
        <w:kern w:val="0"/>
        <w:sz w:val="22"/>
        <w:szCs w:val="22"/>
        <w:lang w:eastAsia="en-US" w:bidi="ar-SA"/>
      </w:rPr>
      <w:t xml:space="preserve"> </w:t>
    </w:r>
    <w:r>
      <w:rPr>
        <w:rFonts w:eastAsia="Times New Roman" w:cs="Times New Roman"/>
        <w:kern w:val="0"/>
        <w:sz w:val="22"/>
        <w:szCs w:val="22"/>
        <w:lang w:eastAsia="en-US" w:bidi="ar-SA"/>
      </w:rPr>
      <w:t xml:space="preserve">                           Załącznik Nr 3 do SWZ – parametry techniczne</w:t>
    </w:r>
  </w:p>
  <w:p w14:paraId="12E80797" w14:textId="77777777" w:rsidR="009E4D1B" w:rsidRDefault="00D2304D">
    <w:pPr>
      <w:numPr>
        <w:ilvl w:val="5"/>
        <w:numId w:val="1"/>
      </w:numPr>
      <w:suppressAutoHyphens w:val="0"/>
      <w:spacing w:line="240" w:lineRule="auto"/>
      <w:ind w:left="0" w:right="-369" w:firstLine="0"/>
      <w:jc w:val="both"/>
      <w:outlineLvl w:val="5"/>
      <w:rPr>
        <w:rFonts w:eastAsia="Times New Roman" w:cs="Times New Roman"/>
        <w:kern w:val="0"/>
        <w:sz w:val="22"/>
        <w:szCs w:val="22"/>
        <w:lang w:eastAsia="en-US" w:bidi="ar-SA"/>
      </w:rPr>
    </w:pPr>
    <w:r>
      <w:rPr>
        <w:rFonts w:eastAsia="Times New Roman" w:cs="Times New Roman"/>
        <w:kern w:val="0"/>
        <w:sz w:val="22"/>
        <w:szCs w:val="22"/>
        <w:lang w:eastAsia="en-US" w:bidi="ar-SA"/>
      </w:rPr>
      <w:t xml:space="preserve">                                                                                              Złącznik nr 2 do umowy</w:t>
    </w:r>
  </w:p>
  <w:p w14:paraId="6A77F835" w14:textId="77777777" w:rsidR="009E4D1B" w:rsidRDefault="00D2304D">
    <w:pPr>
      <w:numPr>
        <w:ilvl w:val="8"/>
        <w:numId w:val="1"/>
      </w:numPr>
      <w:suppressAutoHyphens w:val="0"/>
      <w:spacing w:before="240" w:after="60" w:line="259" w:lineRule="auto"/>
      <w:ind w:right="-370"/>
      <w:jc w:val="both"/>
      <w:outlineLvl w:val="5"/>
      <w:rPr>
        <w:rFonts w:eastAsia="Times New Roman" w:cs="Times New Roman"/>
        <w:kern w:val="0"/>
        <w:sz w:val="22"/>
        <w:szCs w:val="22"/>
        <w:lang w:eastAsia="en-US" w:bidi="ar-SA"/>
      </w:rPr>
    </w:pPr>
    <w:r>
      <w:rPr>
        <w:noProof/>
      </w:rPr>
      <w:drawing>
        <wp:inline distT="0" distB="0" distL="0" distR="0" wp14:anchorId="6CC42499" wp14:editId="3BBCE7A3">
          <wp:extent cx="5759450" cy="516890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74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79E69E" w14:textId="77777777" w:rsidR="009E4D1B" w:rsidRDefault="009E4D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 w:cs="Symbol"/>
        <w:lang w:val="en-GB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/>
        <w:lang w:val="en-GB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/>
        <w:lang w:val="en-GB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 w:cs="Symbol"/>
        <w:lang w:val="en-U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351F1913"/>
    <w:multiLevelType w:val="multilevel"/>
    <w:tmpl w:val="351F19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183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239497">
    <w:abstractNumId w:val="0"/>
  </w:num>
  <w:num w:numId="3" w16cid:durableId="238712875">
    <w:abstractNumId w:val="2"/>
  </w:num>
  <w:num w:numId="4" w16cid:durableId="685210895">
    <w:abstractNumId w:val="1"/>
  </w:num>
  <w:num w:numId="5" w16cid:durableId="715009860">
    <w:abstractNumId w:val="3"/>
  </w:num>
  <w:num w:numId="6" w16cid:durableId="928849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D1B"/>
    <w:rsid w:val="000D279F"/>
    <w:rsid w:val="001B1B74"/>
    <w:rsid w:val="001F7AE9"/>
    <w:rsid w:val="00263A50"/>
    <w:rsid w:val="007E567E"/>
    <w:rsid w:val="00927BA6"/>
    <w:rsid w:val="009524A9"/>
    <w:rsid w:val="009A7ECF"/>
    <w:rsid w:val="009E4D1B"/>
    <w:rsid w:val="00AB3236"/>
    <w:rsid w:val="00B017EE"/>
    <w:rsid w:val="00B416A2"/>
    <w:rsid w:val="00D2304D"/>
    <w:rsid w:val="00E3730A"/>
    <w:rsid w:val="00F3196E"/>
    <w:rsid w:val="00FD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BC97"/>
  <w15:docId w15:val="{2951B198-4557-4B15-9EE4-49EDF2E5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100" w:lineRule="atLeast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suppressAutoHyphens w:val="0"/>
      <w:jc w:val="both"/>
    </w:pPr>
    <w:rPr>
      <w:rFonts w:eastAsia="Times New Roman"/>
      <w:szCs w:val="20"/>
    </w:rPr>
  </w:style>
  <w:style w:type="paragraph" w:styleId="Stopka">
    <w:name w:val="footer"/>
    <w:basedOn w:val="Normalny"/>
    <w:link w:val="StopkaZnak1"/>
    <w:pPr>
      <w:suppressLineNumbers/>
      <w:tabs>
        <w:tab w:val="center" w:pos="4536"/>
        <w:tab w:val="right" w:pos="9072"/>
      </w:tabs>
      <w:suppressAutoHyphens w:val="0"/>
    </w:pPr>
    <w:rPr>
      <w:rFonts w:eastAsia="Times New Roman"/>
      <w:sz w:val="20"/>
      <w:szCs w:val="20"/>
    </w:rPr>
  </w:style>
  <w:style w:type="paragraph" w:styleId="Nagwek">
    <w:name w:val="header"/>
    <w:basedOn w:val="Normalny"/>
    <w:link w:val="NagwekZnak1"/>
    <w:pPr>
      <w:suppressLineNumbers/>
      <w:tabs>
        <w:tab w:val="center" w:pos="4536"/>
        <w:tab w:val="right" w:pos="9072"/>
      </w:tabs>
      <w:suppressAutoHyphens w:val="0"/>
    </w:pPr>
    <w:rPr>
      <w:rFonts w:eastAsia="Times New Roman"/>
      <w:sz w:val="20"/>
      <w:szCs w:val="20"/>
    </w:rPr>
  </w:style>
  <w:style w:type="paragraph" w:styleId="Lista">
    <w:name w:val="List"/>
    <w:basedOn w:val="Tekstpodstawowy"/>
  </w:style>
  <w:style w:type="paragraph" w:styleId="NormalnyWeb">
    <w:name w:val="Normal (Web)"/>
    <w:basedOn w:val="Normalny"/>
    <w:uiPriority w:val="99"/>
    <w:unhideWhenUsed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ytu">
    <w:name w:val="Title"/>
    <w:basedOn w:val="Normalny"/>
    <w:next w:val="Normalny"/>
    <w:link w:val="TytuZnak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rPr>
      <w:color w:val="0000FF"/>
      <w:u w:val="single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1"/>
    <w:uiPriority w:val="29"/>
    <w:rPr>
      <w:i/>
      <w:iCs/>
      <w:color w:val="404040" w:themeColor="text1" w:themeTint="BF"/>
    </w:rPr>
  </w:style>
  <w:style w:type="paragraph" w:customStyle="1" w:styleId="Akapitzlist1">
    <w:name w:val="Akapit z listą1"/>
    <w:basedOn w:val="Normalny"/>
    <w:uiPriority w:val="34"/>
    <w:qFormat/>
    <w:pPr>
      <w:ind w:left="720"/>
      <w:contextualSpacing/>
    </w:p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  <w:lang w:val="en-U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  <w:lang w:val="en-GB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lang w:val="en-U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komentarzaZnak">
    <w:name w:val="Tekst komentarza Znak"/>
    <w:rPr>
      <w:rFonts w:ascii="Times New Roman" w:eastAsia="Andale Sans UI" w:hAnsi="Times New Roman" w:cs="Times New Roman"/>
      <w:kern w:val="1"/>
      <w:sz w:val="20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StopkaZnak">
    <w:name w:val="Stopka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TematkomentarzaZnak">
    <w:name w:val="Temat komentarza Znak"/>
    <w:rPr>
      <w:rFonts w:ascii="Times New Roman" w:eastAsia="Andale Sans UI" w:hAnsi="Times New Roman" w:cs="Times New Roman"/>
      <w:b/>
      <w:bCs/>
      <w:kern w:val="1"/>
      <w:sz w:val="20"/>
      <w:szCs w:val="20"/>
    </w:rPr>
  </w:style>
  <w:style w:type="character" w:customStyle="1" w:styleId="TekstdymkaZnak">
    <w:name w:val="Tekst dymka Znak"/>
    <w:rPr>
      <w:rFonts w:ascii="Tahoma" w:eastAsia="Andale Sans UI" w:hAnsi="Tahoma" w:cs="Tahoma"/>
      <w:kern w:val="1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3">
    <w:name w:val="Domyślna czcionka akapitu3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2">
    <w:name w:val="Domyślna czcionka akapitu2"/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0">
    <w:name w:val="WW8Num19z0"/>
    <w:rPr>
      <w:u w:val="none"/>
    </w:rPr>
  </w:style>
  <w:style w:type="character" w:customStyle="1" w:styleId="WW8Num20z0">
    <w:name w:val="WW8Num20z0"/>
    <w:rPr>
      <w:rFonts w:ascii="Tahoma" w:eastAsia="Andale Sans UI" w:hAnsi="Tahoma" w:cs="Tahoma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Times New Roman" w:eastAsia="Times New Roman" w:hAnsi="Times New Roman" w:cs="Times New Roman"/>
    </w:rPr>
  </w:style>
  <w:style w:type="character" w:customStyle="1" w:styleId="WW8Num31z0">
    <w:name w:val="WW8Num31z0"/>
    <w:rPr>
      <w:rFonts w:ascii="Symbol" w:hAnsi="Symbol" w:cs="Wingdings"/>
      <w:sz w:val="30"/>
      <w:szCs w:val="30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ZnakZnak">
    <w:name w:val="Znak Znak"/>
    <w:rPr>
      <w:lang w:val="pl-PL" w:eastAsia="ar-SA" w:bidi="ar-SA"/>
    </w:rPr>
  </w:style>
  <w:style w:type="character" w:customStyle="1" w:styleId="Teksttreci8pt">
    <w:name w:val="Tekst treści + 8 pt"/>
    <w:rPr>
      <w:rFonts w:ascii="Calibri" w:hAnsi="Calibri" w:cs="Calibri"/>
      <w:b/>
      <w:bCs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matkomentarzaZnak1">
    <w:name w:val="Temat komentarza Znak1"/>
    <w:rPr>
      <w:rFonts w:ascii="Times New Roman" w:eastAsia="Andale Sans UI" w:hAnsi="Times New Roman" w:cs="Times New Roman"/>
      <w:b/>
      <w:bCs/>
      <w:kern w:val="1"/>
      <w:sz w:val="20"/>
      <w:szCs w:val="20"/>
    </w:rPr>
  </w:style>
  <w:style w:type="character" w:customStyle="1" w:styleId="TekstdymkaZnak1">
    <w:name w:val="Tekst dymka Znak1"/>
    <w:rPr>
      <w:rFonts w:ascii="Tahoma" w:eastAsia="Andale Sans UI" w:hAnsi="Tahoma" w:cs="Tahoma"/>
      <w:kern w:val="1"/>
      <w:sz w:val="16"/>
      <w:szCs w:val="1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Pr>
      <w:rFonts w:ascii="Times New Roman" w:eastAsia="Times New Roman" w:hAnsi="Times New Roman" w:cs="Mangal"/>
      <w:kern w:val="1"/>
      <w:sz w:val="24"/>
      <w:szCs w:val="20"/>
      <w:lang w:eastAsia="hi-IN" w:bidi="hi-IN"/>
      <w14:ligatures w14:val="none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character" w:customStyle="1" w:styleId="NagwekZnak1">
    <w:name w:val="Nagłówek Znak1"/>
    <w:basedOn w:val="Domylnaczcionkaakapitu"/>
    <w:link w:val="Nagwek"/>
    <w:rPr>
      <w:rFonts w:ascii="Times New Roman" w:eastAsia="Times New Roman" w:hAnsi="Times New Roman" w:cs="Mangal"/>
      <w:kern w:val="1"/>
      <w:sz w:val="20"/>
      <w:szCs w:val="20"/>
      <w:lang w:eastAsia="hi-IN" w:bidi="hi-IN"/>
      <w14:ligatures w14:val="none"/>
    </w:rPr>
  </w:style>
  <w:style w:type="character" w:customStyle="1" w:styleId="StopkaZnak1">
    <w:name w:val="Stopka Znak1"/>
    <w:basedOn w:val="Domylnaczcionkaakapitu"/>
    <w:link w:val="Stopka"/>
    <w:rPr>
      <w:rFonts w:ascii="Times New Roman" w:eastAsia="Times New Roman" w:hAnsi="Times New Roman" w:cs="Mangal"/>
      <w:kern w:val="1"/>
      <w:sz w:val="20"/>
      <w:szCs w:val="20"/>
      <w:lang w:eastAsia="hi-IN" w:bidi="hi-IN"/>
      <w14:ligatures w14:val="none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1">
    <w:name w:val="Akapit z listą11"/>
    <w:basedOn w:val="Normalny"/>
    <w:pPr>
      <w:ind w:left="720"/>
    </w:pPr>
    <w:rPr>
      <w:rFonts w:eastAsia="Calibri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pPr>
      <w:suppressAutoHyphens w:val="0"/>
      <w:spacing w:after="120" w:line="480" w:lineRule="auto"/>
    </w:pPr>
    <w:rPr>
      <w:rFonts w:eastAsia="Times New Roman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customStyle="1" w:styleId="AbsatzTableFormat">
    <w:name w:val="AbsatzTableFormat"/>
    <w:basedOn w:val="Normalny"/>
    <w:pPr>
      <w:suppressAutoHyphens w:val="0"/>
    </w:pPr>
    <w:rPr>
      <w:rFonts w:ascii="Arial Narrow" w:eastAsia="Times New Roman" w:hAnsi="Arial Narrow" w:cs="Arial Narrow"/>
      <w:sz w:val="20"/>
      <w:szCs w:val="20"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Lista-kontynuacja1"/>
    <w:pPr>
      <w:suppressAutoHyphens w:val="0"/>
      <w:spacing w:after="160"/>
      <w:ind w:left="1080" w:hanging="360"/>
    </w:pPr>
    <w:rPr>
      <w:rFonts w:eastAsia="Times New Roman"/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customStyle="1" w:styleId="Lista-kontynuacja24">
    <w:name w:val="Lista - kontynuacja 24"/>
    <w:basedOn w:val="Normalny"/>
    <w:pPr>
      <w:spacing w:after="120"/>
      <w:ind w:left="566"/>
    </w:pPr>
  </w:style>
  <w:style w:type="paragraph" w:customStyle="1" w:styleId="Lista-kontynuacja22">
    <w:name w:val="Lista - kontynuacja 22"/>
    <w:pPr>
      <w:spacing w:line="276" w:lineRule="auto"/>
      <w:ind w:left="1080" w:hanging="360"/>
    </w:pPr>
    <w:rPr>
      <w:rFonts w:ascii="Calibri" w:eastAsia="Times New Roman" w:hAnsi="Calibri" w:cs="Calibri"/>
      <w:kern w:val="1"/>
      <w:lang w:eastAsia="ar-SA"/>
    </w:rPr>
  </w:style>
  <w:style w:type="paragraph" w:customStyle="1" w:styleId="Lista-kontynuacja2">
    <w:name w:val="Lista - kontynuacja2"/>
    <w:basedOn w:val="Normalny"/>
    <w:pPr>
      <w:spacing w:after="120"/>
      <w:ind w:left="283"/>
    </w:pPr>
  </w:style>
  <w:style w:type="paragraph" w:customStyle="1" w:styleId="Style">
    <w:name w:val="Style"/>
    <w:basedOn w:val="Normalny"/>
    <w:pPr>
      <w:tabs>
        <w:tab w:val="center" w:pos="4536"/>
        <w:tab w:val="right" w:pos="9072"/>
      </w:tabs>
      <w:suppressAutoHyphens w:val="0"/>
    </w:pPr>
    <w:rPr>
      <w:rFonts w:eastAsia="Times New Roman"/>
    </w:rPr>
  </w:style>
  <w:style w:type="paragraph" w:customStyle="1" w:styleId="Bezodstpw1">
    <w:name w:val="Bez odstępów1"/>
    <w:pPr>
      <w:suppressAutoHyphens/>
      <w:spacing w:after="0" w:line="240" w:lineRule="auto"/>
    </w:pPr>
    <w:rPr>
      <w:rFonts w:ascii="Calibri" w:eastAsia="Times New Rom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3920</Words>
  <Characters>23522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Licencje CZMZ</dc:creator>
  <cp:lastModifiedBy>Justyna Koźbiał</cp:lastModifiedBy>
  <cp:revision>4</cp:revision>
  <cp:lastPrinted>2026-03-03T18:02:00Z</cp:lastPrinted>
  <dcterms:created xsi:type="dcterms:W3CDTF">2026-04-21T11:41:00Z</dcterms:created>
  <dcterms:modified xsi:type="dcterms:W3CDTF">2026-04-30T06:50:00Z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675EABCF36A623FA3451E3698C9E5DB9_33</vt:lpwstr>
  </property>
  <property fmtid="{D5CDD505-2E9C-101B-9397-08002B2CF9AE}" pid="3" name="KSOProductBuildVer">
    <vt:lpwstr>2052-26.3.0</vt:lpwstr>
  </property>
</Properties>
</file>