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E78" w:rsidRDefault="00FC5E78" w:rsidP="00FC5E7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FC5E78" w:rsidRDefault="002012E7" w:rsidP="00FC5E7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Załącznik Nr 1</w:t>
      </w:r>
    </w:p>
    <w:p w:rsidR="00FC5E78" w:rsidRPr="0024300C" w:rsidRDefault="00FC5E78" w:rsidP="00FC5E7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:rsidR="00FC5E78" w:rsidRPr="0024300C" w:rsidRDefault="00FC5E78" w:rsidP="00FC5E78">
      <w:pPr>
        <w:rPr>
          <w:rFonts w:ascii="Arial" w:hAnsi="Arial" w:cs="Arial"/>
          <w:b/>
          <w:bCs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t>I. Przedmiot zamówienia</w:t>
      </w:r>
    </w:p>
    <w:p w:rsidR="00FC5E78" w:rsidRPr="0024300C" w:rsidRDefault="00FC5E78" w:rsidP="00FC5E78">
      <w:pPr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1. Przedmiotem zamówienia jest dostawa oprogramowania do obliczeń numerycznych ANSYS lub oprogramowania równoważnego. Przedmiot zamówienia obejmuje:</w:t>
      </w:r>
    </w:p>
    <w:p w:rsidR="00FC5E78" w:rsidRPr="0024300C" w:rsidRDefault="00FC5E78" w:rsidP="00FC5E78">
      <w:pPr>
        <w:ind w:left="708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1) dostawę jednej bezterminowej, pływającej licencji Ansys CFD Premium bądź oprogramowania równoważnego wraz z usługą wsparcia technicznego na okres jednego (1) roku;</w:t>
      </w:r>
    </w:p>
    <w:p w:rsidR="00FC5E78" w:rsidRPr="0024300C" w:rsidRDefault="00FC5E78" w:rsidP="00FC5E78">
      <w:pPr>
        <w:ind w:left="708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2) dostawę jednej bezterminowej, pływającej licencji Ansys Mechanical Enterprise bądź oprogramowania równoważnego wraz z usługą wsparcia technicznego na okres jednego (1) roku;</w:t>
      </w:r>
    </w:p>
    <w:p w:rsidR="00FC5E78" w:rsidRPr="0024300C" w:rsidRDefault="00061784" w:rsidP="00FC5E78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dostawę dwóch bezterminowych, pływających</w:t>
      </w:r>
      <w:bookmarkStart w:id="0" w:name="_GoBack"/>
      <w:bookmarkEnd w:id="0"/>
      <w:r w:rsidR="00FC5E78" w:rsidRPr="0024300C">
        <w:rPr>
          <w:rFonts w:ascii="Arial" w:hAnsi="Arial" w:cs="Arial"/>
          <w:sz w:val="24"/>
          <w:szCs w:val="24"/>
        </w:rPr>
        <w:t xml:space="preserve"> licencji ANSYS 2 HPC Pack bądź oprogramowania równoważnego wraz z usługą wsparcia technicznego na okres jednego (1) roku;</w:t>
      </w:r>
    </w:p>
    <w:p w:rsidR="00FC5E78" w:rsidRPr="0024300C" w:rsidRDefault="00FC5E78" w:rsidP="00FC5E78">
      <w:pPr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2. Licencje będą umożliwiały przeprowadzanie obliczeń w różnych centrach obliczeniowych na terenie Rzeczpospolitej Polskiej.</w:t>
      </w:r>
    </w:p>
    <w:p w:rsidR="00FC5E78" w:rsidRPr="0024300C" w:rsidRDefault="00FC5E78" w:rsidP="00FC5E78">
      <w:pPr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3. Licencje muszą zapewniać możliwość świadczenia pracy zdalnej z miejsca zamieszkania pracownika na obszarze Rzeczpospolitej Polskiej.</w:t>
      </w:r>
    </w:p>
    <w:p w:rsidR="00FC5E78" w:rsidRPr="0024300C" w:rsidRDefault="00FC5E78" w:rsidP="00FC5E78">
      <w:pPr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4. Wykonawca będzie świadczył usługę wsparcia technicznego do zamawianego oprogramowania obejmującą:</w:t>
      </w:r>
    </w:p>
    <w:p w:rsidR="00FC5E78" w:rsidRPr="0024300C" w:rsidRDefault="00FC5E78" w:rsidP="00FC5E78">
      <w:pPr>
        <w:ind w:left="708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1) możliwość wielokrotnego przenoszenia licencji na inny dowolny serwer Zamawiającego zlokalizowany na terenie Rzeczpospolitej Polskiej lub dostawcy rozwiązania chmurowego, </w:t>
      </w:r>
    </w:p>
    <w:p w:rsidR="00FC5E78" w:rsidRPr="0024300C" w:rsidRDefault="00FC5E78" w:rsidP="00FC5E78">
      <w:pPr>
        <w:ind w:left="708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2) zapewnienie dostępu do nowych wersji oprogramowania objętych przedmiotem zamówienia (bieżąca aktualizacja),</w:t>
      </w:r>
    </w:p>
    <w:p w:rsidR="00FC5E78" w:rsidRPr="0024300C" w:rsidRDefault="00FC5E78" w:rsidP="00FC5E78">
      <w:pPr>
        <w:ind w:left="708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3) wsparcie techniczne producenta oprogramowania objętego przedmiotem zamówienia – drogą poczty elektronicznej i poprzez dostęp do dedykowanej platformy wsparcia technicznego.</w:t>
      </w:r>
    </w:p>
    <w:p w:rsidR="00FC5E78" w:rsidRPr="00C362BC" w:rsidRDefault="00FC5E78" w:rsidP="00FC5E78">
      <w:pPr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5. Na wniosek Zamawiającego złożony w dowolnym momencie obowiązywania umowy, Wykonawca poinformuje Zamawiającego w terminie 7 dni od dnia otrzymania takiego wniosku o wymaganiach sprzętowych niezbędnych do prawidłowego korzystania ze wszystkich funkcjonalności oprogramowania oraz innych czynnościach wymaganych po stronie Zamawiającego, aby zachować nieprzerwany dostęp do oprogramowania.</w:t>
      </w:r>
    </w:p>
    <w:p w:rsidR="00FC5E78" w:rsidRPr="0024300C" w:rsidRDefault="00FC5E78" w:rsidP="00FC5E78">
      <w:pPr>
        <w:rPr>
          <w:rFonts w:ascii="Arial" w:hAnsi="Arial" w:cs="Arial"/>
          <w:b/>
          <w:bCs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lastRenderedPageBreak/>
        <w:t xml:space="preserve">II. Opis równoważności oprogramowania do obliczeń numerycznych </w:t>
      </w:r>
    </w:p>
    <w:p w:rsidR="00FC5E78" w:rsidRPr="0024300C" w:rsidRDefault="00FC5E78" w:rsidP="00FC5E78">
      <w:pPr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Oprogramowanie</w:t>
      </w:r>
      <w:r>
        <w:rPr>
          <w:rFonts w:ascii="Arial" w:hAnsi="Arial" w:cs="Arial"/>
          <w:sz w:val="24"/>
          <w:szCs w:val="24"/>
        </w:rPr>
        <w:t xml:space="preserve"> CFD i Mechanical</w:t>
      </w:r>
      <w:r w:rsidRPr="0024300C">
        <w:rPr>
          <w:rFonts w:ascii="Arial" w:hAnsi="Arial" w:cs="Arial"/>
          <w:sz w:val="24"/>
          <w:szCs w:val="24"/>
        </w:rPr>
        <w:t xml:space="preserve"> musi zawierać</w:t>
      </w:r>
      <w:r>
        <w:rPr>
          <w:rFonts w:ascii="Arial" w:hAnsi="Arial" w:cs="Arial"/>
          <w:sz w:val="24"/>
          <w:szCs w:val="24"/>
        </w:rPr>
        <w:t xml:space="preserve"> po</w:t>
      </w:r>
      <w:r w:rsidRPr="0024300C">
        <w:rPr>
          <w:rFonts w:ascii="Arial" w:hAnsi="Arial" w:cs="Arial"/>
          <w:sz w:val="24"/>
          <w:szCs w:val="24"/>
        </w:rPr>
        <w:t xml:space="preserve"> dwa moduły: </w:t>
      </w:r>
    </w:p>
    <w:p w:rsidR="00FC5E78" w:rsidRPr="0024300C" w:rsidRDefault="00FC5E78" w:rsidP="00FC5E78">
      <w:pPr>
        <w:pStyle w:val="Akapitzlist"/>
        <w:numPr>
          <w:ilvl w:val="0"/>
          <w:numId w:val="10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SOLVER (MODUŁ OBLICZENIOWY),</w:t>
      </w:r>
    </w:p>
    <w:p w:rsidR="00FC5E78" w:rsidRDefault="00FC5E78" w:rsidP="00FC5E78">
      <w:pPr>
        <w:pStyle w:val="Akapitzlist"/>
        <w:numPr>
          <w:ilvl w:val="0"/>
          <w:numId w:val="11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MODUŁ DO PRE- I POSTPROCESSINGU</w:t>
      </w:r>
      <w:r>
        <w:rPr>
          <w:rFonts w:ascii="Arial" w:hAnsi="Arial" w:cs="Arial"/>
          <w:sz w:val="24"/>
          <w:szCs w:val="24"/>
        </w:rPr>
        <w:t>,</w:t>
      </w:r>
    </w:p>
    <w:p w:rsidR="00FC5E78" w:rsidRPr="001761B5" w:rsidRDefault="00FC5E78" w:rsidP="001761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oraz oferować możliwość wymiany informacji między solverem a pre- i post- procesorem a także solverem CFD i Mechanical.</w:t>
      </w:r>
    </w:p>
    <w:p w:rsidR="00FC5E78" w:rsidRPr="0024300C" w:rsidRDefault="00FC5E78" w:rsidP="00FC5E78">
      <w:pPr>
        <w:rPr>
          <w:rFonts w:ascii="Arial" w:hAnsi="Arial" w:cs="Arial"/>
          <w:b/>
          <w:bCs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t>1. Ansys CFD Premium</w:t>
      </w:r>
    </w:p>
    <w:p w:rsidR="00FC5E78" w:rsidRPr="0024300C" w:rsidRDefault="00FC5E78" w:rsidP="00FC5E78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Opcje związane z pre-processingiem 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możliwość wykorzystania platformy integrującej poszczególne moduły oprogramowania 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łatwego łączenia bloków (geometria, siatka, analizy mechaniczne, analizy dynamiczne itd.)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parametryzacji modelu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optymalizacja bezpośrednia</w:t>
      </w:r>
    </w:p>
    <w:p w:rsidR="00FC5E78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pre- i post-processing wykonywany w jednym programie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wtyczka zintegrowana z oprogramowanie CAD, np. NX lub Inventor</w:t>
      </w:r>
    </w:p>
    <w:p w:rsidR="00FC5E78" w:rsidRPr="0024300C" w:rsidRDefault="00FC5E78" w:rsidP="00FC5E78">
      <w:pPr>
        <w:pStyle w:val="Akapitzlist"/>
        <w:ind w:left="1800"/>
        <w:jc w:val="both"/>
        <w:rPr>
          <w:rFonts w:ascii="Arial" w:hAnsi="Arial" w:cs="Arial"/>
          <w:sz w:val="24"/>
          <w:szCs w:val="24"/>
        </w:rPr>
      </w:pPr>
    </w:p>
    <w:p w:rsidR="00FC5E78" w:rsidRPr="0024300C" w:rsidRDefault="00FC5E78" w:rsidP="00FC5E78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Geometria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import oraz export geometrii z/do uniwersalnych formatów, np: *.X_T, *.X_B, *.STEP, *.IGES i innych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wczytywania pliku bezpośredniego z następujących systemów CAD: Inventor, SolidWorks, SolidEdge</w:t>
      </w:r>
      <w:r>
        <w:rPr>
          <w:rFonts w:ascii="Arial" w:hAnsi="Arial" w:cs="Arial"/>
          <w:sz w:val="24"/>
          <w:szCs w:val="24"/>
        </w:rPr>
        <w:t>, NX, SpaceClaim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parametryzacji modelu, wykonanego w programie jak i geometrii importowanej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możliwość </w:t>
      </w:r>
      <w:r>
        <w:rPr>
          <w:rFonts w:ascii="Arial" w:hAnsi="Arial" w:cs="Arial"/>
          <w:sz w:val="24"/>
          <w:szCs w:val="24"/>
        </w:rPr>
        <w:t xml:space="preserve">bezpośredniej </w:t>
      </w:r>
      <w:r w:rsidRPr="0024300C">
        <w:rPr>
          <w:rFonts w:ascii="Arial" w:hAnsi="Arial" w:cs="Arial"/>
          <w:sz w:val="24"/>
          <w:szCs w:val="24"/>
        </w:rPr>
        <w:t>edycji geometrii bez konieczności tworzenia szkiców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pisania oraz nagrywania skryptów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tworzenia geometrii w oparciu o równania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pracy z plikami *.STL oraz narzędzia do inżynierii odwrotnej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narzędzi wykrywających błędy geometrii oraz umożliwiających ich naprawę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wykrywania przenikania się brył w modelu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poszukiwanie i edycja zbędnych cech geometrycznych (np. usuwanie otworów i małych powierzchni)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możliwość stosowania operacji </w:t>
      </w:r>
      <w:r w:rsidRPr="0024300C">
        <w:rPr>
          <w:rFonts w:ascii="Arial" w:hAnsi="Arial" w:cs="Arial"/>
          <w:i/>
          <w:iCs/>
          <w:sz w:val="24"/>
          <w:szCs w:val="24"/>
        </w:rPr>
        <w:t>boolean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tworzenia grup elementów, które można wykorzystać w symulacjach numerycznych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wykonywania złożeń elementów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powierzchni środkowej z obiektów bryłowych wraz z atrybutem grubości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geometrii wokół elementu bryłowego na potrzeby symulacji przepływowych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geometrii wewnątrz elementu bryłowego na potrzeby symulacji przepływowych</w:t>
      </w:r>
    </w:p>
    <w:p w:rsidR="00FC5E78" w:rsidRPr="0024300C" w:rsidRDefault="00FC5E78" w:rsidP="00FC5E78">
      <w:pPr>
        <w:pStyle w:val="Akapitzlist"/>
        <w:ind w:left="1800"/>
        <w:jc w:val="both"/>
        <w:rPr>
          <w:rFonts w:ascii="Arial" w:hAnsi="Arial" w:cs="Arial"/>
          <w:sz w:val="24"/>
          <w:szCs w:val="24"/>
        </w:rPr>
      </w:pPr>
    </w:p>
    <w:p w:rsidR="00FC5E78" w:rsidRPr="0024300C" w:rsidRDefault="00FC5E78" w:rsidP="00FC5E78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Generacja siatki numerycznej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generacja siatek poli</w:t>
      </w:r>
      <w:r>
        <w:rPr>
          <w:rFonts w:ascii="Arial" w:hAnsi="Arial" w:cs="Arial"/>
          <w:sz w:val="24"/>
          <w:szCs w:val="24"/>
        </w:rPr>
        <w:t>h</w:t>
      </w:r>
      <w:r w:rsidRPr="0024300C">
        <w:rPr>
          <w:rFonts w:ascii="Arial" w:hAnsi="Arial" w:cs="Arial"/>
          <w:sz w:val="24"/>
          <w:szCs w:val="24"/>
        </w:rPr>
        <w:t>edralnych, poly-hexcore</w:t>
      </w:r>
      <w:r>
        <w:rPr>
          <w:rFonts w:ascii="Arial" w:hAnsi="Arial" w:cs="Arial"/>
          <w:sz w:val="24"/>
          <w:szCs w:val="24"/>
        </w:rPr>
        <w:t xml:space="preserve"> (mosaic)</w:t>
      </w:r>
      <w:r w:rsidRPr="0024300C">
        <w:rPr>
          <w:rFonts w:ascii="Arial" w:hAnsi="Arial" w:cs="Arial"/>
          <w:sz w:val="24"/>
          <w:szCs w:val="24"/>
        </w:rPr>
        <w:t>, hexcore, czworościennych i siatek z warstwą przyścienną</w:t>
      </w:r>
      <w:r>
        <w:rPr>
          <w:rFonts w:ascii="Arial" w:hAnsi="Arial" w:cs="Arial"/>
          <w:sz w:val="24"/>
          <w:szCs w:val="24"/>
        </w:rPr>
        <w:t xml:space="preserve"> (w tym składającą się z elementów o podstawie wielościanu lub pryzm)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predefiniowane szablony do generacji siatek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generacja siatek w trybie równoległym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generacji siatki w trybie wsadowym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technologia wrappingu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technologia rapid octree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automatyczna generacja siatek hex metodą blockingu dostosowana do maszyn wirnikowych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generacja siatki dla ostrych lub zaokrąglonych krawędzi natarcia i spływu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uwzględnianie szczeliny między łopatką a piastą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generacja siatek hybrydowych</w:t>
      </w:r>
    </w:p>
    <w:p w:rsidR="00FC5E78" w:rsidRDefault="00FC5E78" w:rsidP="001761B5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generacja siatek metodą sweep</w:t>
      </w:r>
      <w:r w:rsidR="001761B5">
        <w:rPr>
          <w:rFonts w:ascii="Arial" w:hAnsi="Arial" w:cs="Arial"/>
          <w:sz w:val="24"/>
          <w:szCs w:val="24"/>
        </w:rPr>
        <w:t xml:space="preserve"> </w:t>
      </w:r>
    </w:p>
    <w:p w:rsidR="001761B5" w:rsidRPr="001761B5" w:rsidRDefault="001761B5" w:rsidP="001761B5">
      <w:pPr>
        <w:pStyle w:val="Akapitzlist"/>
        <w:spacing w:after="160" w:line="259" w:lineRule="auto"/>
        <w:ind w:left="1800"/>
        <w:jc w:val="both"/>
        <w:rPr>
          <w:rFonts w:ascii="Arial" w:hAnsi="Arial" w:cs="Arial"/>
          <w:sz w:val="24"/>
          <w:szCs w:val="24"/>
        </w:rPr>
      </w:pPr>
    </w:p>
    <w:p w:rsidR="00FC5E78" w:rsidRPr="0024300C" w:rsidRDefault="00FC5E78" w:rsidP="00FC5E78">
      <w:pPr>
        <w:pStyle w:val="Akapitzlist"/>
        <w:numPr>
          <w:ilvl w:val="0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Opcje związane z post-processingiem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automatycznego uzyskania raportu z symulacji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uzyskania określonych wartości (m.in. rozkładów ciśnień, pól temperatur, odkształceń) we wskazanych elementach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wizualizacji pola przepływu poprzez narzędzie line integral convolution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prezentacja wyników w postaci skalarów, wektorów, wykresów zmienności danego parametru w czasie, animacji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szczegółowe przedstawienie wyników w kontakcie pomiędzy elementami: powierzchni, styku, sił reakcji, nacisków powierzchniowych, poślizgu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przygotowania skryptów w języku Python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przetwarzania danych z symulacji w trybie wsadowym, bez interfejsu graficznego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porównania wyników otrzymanych z różnych symulacji, do 32 różnych plików jednocześnie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mapowania tekstur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wykorzystanie bibliotek OpenGL</w:t>
      </w:r>
    </w:p>
    <w:p w:rsidR="00FC5E78" w:rsidRPr="0024300C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pracy na dużych modelach (zrównoleglenie procesu analizy wyników)</w:t>
      </w:r>
    </w:p>
    <w:p w:rsidR="00FC5E78" w:rsidRDefault="00FC5E78" w:rsidP="00FC5E78">
      <w:pPr>
        <w:pStyle w:val="Akapitzlist"/>
        <w:numPr>
          <w:ilvl w:val="1"/>
          <w:numId w:val="1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analizy wyników pochodzących z różnych solwerów: mechanicznych, przepływowych, elektromagnetycznych, w formatach Abaqus, ANSYS Fluids Post, AVUS, AcuSolve, Autodyn, Barracuda, CFX, CGNS, CRUNCH, CTH, EnSight, ExodusII, FORTE, Flow3D-Multiblock, Fluent, GMV, LS-DYNA3D, MSC.Marc, MSC/Dytran, NetCDF, OVERFLOW, OpenFoam, PERMAS, PLOT3D, STL, Silo, Software Cradle FLD, Star-CD CCM, Tecplot, VTK, Vectis, Wavefront OBJ, Xdmf2, Xdmf3</w:t>
      </w:r>
    </w:p>
    <w:p w:rsidR="001761B5" w:rsidRDefault="001761B5" w:rsidP="001761B5">
      <w:pPr>
        <w:pStyle w:val="Akapitzlist"/>
        <w:spacing w:after="160" w:line="259" w:lineRule="auto"/>
        <w:ind w:left="1800"/>
        <w:jc w:val="both"/>
        <w:rPr>
          <w:rFonts w:ascii="Arial" w:hAnsi="Arial" w:cs="Arial"/>
          <w:sz w:val="24"/>
          <w:szCs w:val="24"/>
        </w:rPr>
      </w:pPr>
    </w:p>
    <w:p w:rsidR="001761B5" w:rsidRPr="0024300C" w:rsidRDefault="001761B5" w:rsidP="001761B5">
      <w:pPr>
        <w:pStyle w:val="Akapitzlist"/>
        <w:spacing w:after="160" w:line="259" w:lineRule="auto"/>
        <w:ind w:left="1800"/>
        <w:jc w:val="both"/>
        <w:rPr>
          <w:rFonts w:ascii="Arial" w:hAnsi="Arial" w:cs="Arial"/>
          <w:sz w:val="24"/>
          <w:szCs w:val="24"/>
        </w:rPr>
      </w:pP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lastRenderedPageBreak/>
        <w:t>Zagadnienia przepływowe: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ery CFD do modelowania zagadnień 2D i 3D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ery pressure-based i density-based</w:t>
      </w:r>
      <w:r>
        <w:rPr>
          <w:rFonts w:ascii="Arial" w:hAnsi="Arial" w:cs="Arial"/>
          <w:sz w:val="24"/>
          <w:szCs w:val="24"/>
        </w:rPr>
        <w:t xml:space="preserve">, typu </w:t>
      </w:r>
      <w:r w:rsidRPr="0024300C">
        <w:rPr>
          <w:rFonts w:ascii="Arial" w:hAnsi="Arial" w:cs="Arial"/>
          <w:sz w:val="24"/>
          <w:szCs w:val="24"/>
        </w:rPr>
        <w:t>coupled i segregated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stany ustalone i nieustalone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przepływy laminarne, turbulentne (RANS, URANS: S-A, k-ε standard, RNG i realizable; k-ω standard, GEKO, BSL i SST; RSM linear pressure-strain, quadratic pressure-strain, stress omega, stress-BSL; LES, SAS, DES, DDES, SDES, SBES, ELES)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przepływy ściśliwe i nieściśliwe, w tym model gazu idealnego, aproksymacja Boussinesqa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konfigurowalne parametry materiałowe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ciecze newtonowskie i nienewtonowskie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modele gazu rzeczywistego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przepływy subsoniczne, transoniczne oraz hipersoniczne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import formatu ECAD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definicji wyrażeń dla warunków brzegowych i post-processingu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ruch ciała stałego z uwzględnieniem sześciu stopni swobody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modele zastępcze ośrodków porowatych (w tym izotropowe, ortotropowe, stożkowe), model równowagowy i nierównowagowy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generacji modelu zredukowanego (ROM)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ruchome i deformowalne siatki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metoda nakładających się siatek overset mesh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adaptacyjne zagęszczanie siatki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uproszczone modele wentylatorów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Virtual Blade Model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śledzenie trajektorii cząstek metodą Lagrange’a, również z uwzględnieniem sprzężenia dwukierunkowego cząstki-płyn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śledzenie filmu na ścianach metodą Eulera i metodą Lagrange’a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dużych cząstek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cząstek reagujących i ulegających spalaniu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rozpadu i zderzeń cząstek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gęsto upakowanych cząstek z uwzględnieniem kolizji między nimi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erozji na ścianach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przepływy wielofazowe (modele DPM, Mixture Model, DDPM, VOF, Euler-Euler, DEM, Eulerian Wall Film z opcją kondensacji oraz odparowania)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modelowania kawitacji (modele Schnerr-Sauer oraz Zwart-Gerber Belamri)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zaimplementowany model Bilansu Populacji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warunki brzegowe pozwalające zamodelować przepływ w kanałach otwartych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mechanizmy przejść między modelami przepływów wielofazowych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sił napięcia powierzchniowego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reakcji chemicznych oraz zjawisk elektrochemicznych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sadzy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wykorzystania mechanizmów reakcji z biblioteki modelowej paliwa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modele wirtualnych otworów chłodzących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modelowanie elektrochemii dla baterii litowo-jonowych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spęczniania baterii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trwałości baterii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ogniw paliwowych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symulacja spalania na wielu poziomach szczegółowości (modele premixed, non-premixed i partially premixed) wraz z uwzględnieniem powstawania termicznych NOx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modelowanie transportu mieszanin bez reakcji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ruchome układy odniesienia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interfejsy periodyczne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modele łączenia kolejnych stopni wieńców łopatek: uśrednianie (mixing plane), podejście zamrożonego wirnika (frozen rotor), modele transformacji profilu, transformacji w czasie, transformacji w dziedzinie częstotliwości, sliding mesh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metoda operatora sprzężonego (adjoint solver) do optymalizacji geometrii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 ma wbudowaną opcję remeshingu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 ma wbudowaną opcję zamiany siatki czworościennej na poliedralną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 ma wbudowaną opcję mesh-morphingu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 ma wbudowaną opcję optymalizacji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morphingu siatki z zastosowaniem parametrów wejściowych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magnetohydrodynamika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modelowania wytłaczania tworzyw sztucznych oraz rozdmuchu; wytłaczanie, współwytłaczanie, przędzenie włókien, rozdmuchiwanie i termoformowanie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formowanie wtryskowe, modelowanie wypełniania form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szablony pozwalające na przygotowanie symulacji maszyn wirnikowych łącznie z analizą wyników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sprzęganie jednostek funkcyjnych modelu (FMU)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analizy aeroakustyczne (Ffowcs Williams-Hawkings, Broadband Noise Source)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aero-optyka w połączeniu z innym oprogramowaniem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wibroakustyka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narzędzia dedykowane do analiz procesu spalania w silnikach o spalaniu wewnętrznym</w:t>
      </w:r>
    </w:p>
    <w:p w:rsidR="00FC5E78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 DPIK Spark Ignition</w:t>
      </w:r>
    </w:p>
    <w:p w:rsidR="00FC5E78" w:rsidRPr="001761B5" w:rsidRDefault="00FC5E78" w:rsidP="001761B5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obsługa sprzężeń 1-way FSI i 2-way FSI we współpracy z oprogramowaniem do analiz mechanicznych będącego przedmiotem zamówienia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Zagadnienia cieplno przepływowe: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analizy sprzężonej wymiany ciepła płyn-ciało stałe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przewodzenie, model ścianki zerowej grubości z przewodzeniem ciepła w kierunku stycznym i z uwzględnieniem bezwładności termicznej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tworzenia ścianek zerowej grubości składających się z wielu warstw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konwekcja naturalna, wymuszona i mieszana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modelowanie promieniowania, modele powierzchniowe oraz modele uwzględniające absorpcyjność i rozpraszanie w ośrodkach (modele S2S, Monte Carlo, DO, P-1, Rosseland)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zmiana fazy poprzez entalpię</w:t>
      </w:r>
    </w:p>
    <w:p w:rsidR="00FC5E78" w:rsidRPr="0024300C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uproszczone modele wymienników ciepła (podejścia wykorzystujące NTU i efficiency)</w:t>
      </w:r>
    </w:p>
    <w:p w:rsidR="00FC5E78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modele przemian fazowych w tym wrzenia, parowania, kondensacji, krzepnięcia i topnienia</w:t>
      </w:r>
    </w:p>
    <w:p w:rsidR="00FC5E78" w:rsidRDefault="00FC5E78" w:rsidP="00FC5E78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modelowanie ablacji i związanego z tym ruchu siatki</w:t>
      </w:r>
    </w:p>
    <w:p w:rsidR="00FC5E78" w:rsidRPr="001761B5" w:rsidRDefault="00FC5E78" w:rsidP="001761B5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model two-temperature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Skalowalność i obliczenia równoległe:</w:t>
      </w:r>
    </w:p>
    <w:p w:rsidR="00FC5E78" w:rsidRPr="0024300C" w:rsidRDefault="00FC5E78" w:rsidP="00FC5E78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skalowalność 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era (redukcja czasu potrzebnego na obliczenia przy zwiększaniu liczby rdzeni procesora)</w:t>
      </w:r>
    </w:p>
    <w:p w:rsidR="00FC5E78" w:rsidRPr="0024300C" w:rsidRDefault="00FC5E78" w:rsidP="00FC5E78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obliczeń równoległych na 4 rdzeniach procesora z możliwością zwiększenia liczby obsługiwanych rdzeni z zastosowaniem dodatkowych licencji</w:t>
      </w:r>
    </w:p>
    <w:p w:rsidR="00FC5E78" w:rsidRPr="001761B5" w:rsidRDefault="00FC5E78" w:rsidP="00FC5E78">
      <w:pPr>
        <w:pStyle w:val="Akapitzlist"/>
        <w:numPr>
          <w:ilvl w:val="0"/>
          <w:numId w:val="1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obsługi oprogramowania w trybie wsadowym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Optymalizacja:</w:t>
      </w:r>
    </w:p>
    <w:p w:rsidR="00FC5E78" w:rsidRPr="0024300C" w:rsidRDefault="00FC5E78" w:rsidP="00FC5E78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parametryzacji modelu</w:t>
      </w:r>
    </w:p>
    <w:p w:rsidR="00FC5E78" w:rsidRPr="0024300C" w:rsidRDefault="00FC5E78" w:rsidP="00FC5E78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wykonania szeregu symulacji na bazie tabeli wielkości wejściowych</w:t>
      </w:r>
    </w:p>
    <w:p w:rsidR="00FC5E78" w:rsidRPr="0024300C" w:rsidRDefault="00FC5E78" w:rsidP="00FC5E78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identyfikacji korelacji między parametrami wyjściowymi a wejściowymi</w:t>
      </w:r>
    </w:p>
    <w:p w:rsidR="00FC5E78" w:rsidRPr="0024300C" w:rsidRDefault="00FC5E78" w:rsidP="00FC5E78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wykonania planu eksperymentu (metody Central Composite Design, Optimal Space-Filling Design, Box-Behnken Design, Sparse Grid Initialization, Latin Hypercube Sampling)</w:t>
      </w:r>
    </w:p>
    <w:p w:rsidR="00FC5E78" w:rsidRPr="0024300C" w:rsidRDefault="00FC5E78" w:rsidP="00FC5E78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stworzenia modelu powierzchni odpowiedzi (metody Genetic Aggregation, Full 2nd Order Polynomials, Kriging, Non-Parametric Regression, Neural Network, Sparse Grid)</w:t>
      </w:r>
    </w:p>
    <w:p w:rsidR="00FC5E78" w:rsidRPr="0024300C" w:rsidRDefault="00FC5E78" w:rsidP="00FC5E78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narzędzia do analizy modeli płaszczyzny odpowiedzi</w:t>
      </w:r>
    </w:p>
    <w:p w:rsidR="00FC5E78" w:rsidRPr="001761B5" w:rsidRDefault="00FC5E78" w:rsidP="001761B5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wykonania optymalizacji bezpośredniej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Dodatkowe funkcjonalności: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automatycznego uzyskania raportu z symulacji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oprogramowanie posiada zintegrowany 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 przepływowy z możliwością rozszerzenia funkcjonalności o analizy mechaniczne oraz elektromagnetyczne (w przypadku zakupu odpowiedniej licencji)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oprogramowanie po rozszerzeniu zakresu licencji pozwala na przeprowadzanie analiz sprzężonych wytrzymałościowych, przepływowych oraz elektromagnetycznych w ramach jednej platformy do analiz numerycznych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oprogramowanie zapewnia wymianę danych pomiędzy narzędziami i funkcjami wspierającymi do pre/post-processingu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istnieje możliwość instalowania wtyczek użytkownika zwiększających funkcjonalność oprogramowania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możliwość generacji raportów z wykonanych symulacji wewnątrz środowiska obliczeniowego</w:t>
      </w:r>
    </w:p>
    <w:p w:rsidR="00FC5E78" w:rsidRPr="0024300C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funkcja importu rozkładu zmiennych z plików zewnętrznych</w:t>
      </w:r>
    </w:p>
    <w:p w:rsidR="00FC5E78" w:rsidRPr="001761B5" w:rsidRDefault="00FC5E78" w:rsidP="00FC5E78">
      <w:pPr>
        <w:pStyle w:val="Akapitzlist"/>
        <w:numPr>
          <w:ilvl w:val="0"/>
          <w:numId w:val="1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sol</w:t>
      </w:r>
      <w:r>
        <w:rPr>
          <w:rFonts w:ascii="Arial" w:hAnsi="Arial" w:cs="Arial"/>
          <w:sz w:val="24"/>
          <w:szCs w:val="24"/>
        </w:rPr>
        <w:t>v</w:t>
      </w:r>
      <w:r w:rsidRPr="0024300C">
        <w:rPr>
          <w:rFonts w:ascii="Arial" w:hAnsi="Arial" w:cs="Arial"/>
          <w:sz w:val="24"/>
          <w:szCs w:val="24"/>
        </w:rPr>
        <w:t>er z funkcjonalnością implementacji własnych</w:t>
      </w:r>
      <w:r w:rsidR="001761B5">
        <w:rPr>
          <w:rFonts w:ascii="Arial" w:hAnsi="Arial" w:cs="Arial"/>
          <w:sz w:val="24"/>
          <w:szCs w:val="24"/>
        </w:rPr>
        <w:t xml:space="preserve"> modeli poprzez makra w języku </w:t>
      </w:r>
    </w:p>
    <w:p w:rsidR="00FC5E78" w:rsidRPr="0024300C" w:rsidRDefault="00FC5E78" w:rsidP="00FC5E78">
      <w:pPr>
        <w:rPr>
          <w:rFonts w:ascii="Arial" w:hAnsi="Arial" w:cs="Arial"/>
          <w:b/>
          <w:bCs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t>2. Ansys Mechanical Enterprise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Geometria: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import oraz/lub export geometrii z/do uniwersalnych formatów, np: *.X_T, *.X_B, *.STEP, *.IGES i innych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wczytywania pliku bezpośredniego z następujących systemów CAD: Inventor, SolidWorks, SolidEdge</w:t>
      </w:r>
      <w:r>
        <w:rPr>
          <w:rFonts w:ascii="Arial" w:hAnsi="Arial" w:cs="Arial"/>
          <w:sz w:val="24"/>
          <w:szCs w:val="24"/>
        </w:rPr>
        <w:t>, SpaceClaim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parametryzacji modelu, wykonanego w programie jak i geometrii importowanej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edycji geometrii bez konieczności tworzenia szkiców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pisania oraz nagrywania skryptów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tworzenia geometrii w oparciu o równania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pracy z plikami *.STL oraz narzędzia do inżynierii odwrotnej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kopiowania geometrii pomiędzy różnymi modelami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narzędzi wykrywających błędy geometrii oraz umożliwiających ich naprawę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wykrywania przenikania się brył w modelu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poszukiwanie i edycja zbędnych cech geometrycznych (np. usuwanie otworów, małych powierzchni)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możliwość stosowania operacji </w:t>
      </w:r>
      <w:r w:rsidRPr="00C362BC">
        <w:rPr>
          <w:rFonts w:ascii="Arial" w:hAnsi="Arial" w:cs="Arial"/>
          <w:i/>
          <w:iCs/>
          <w:sz w:val="24"/>
          <w:szCs w:val="24"/>
        </w:rPr>
        <w:t>boolean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tworzenia grup elementów, które można wykorzystać w symulacjach numerycznych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wykonywania złożeń elementów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powierzchni środkowej z obiektów bryłowych wraz z atrybutem grubości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elementów belkowych na podstawie obiektów bryłowych wraz z przypisanym profilem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geometrii wokół elementu bryłowego na potrzeby symulacji przepływowych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automatyczne tworzenie geometrii wewnątrz elementu bryłowego na potrzeby symulacji przepływowych</w:t>
      </w:r>
    </w:p>
    <w:p w:rsidR="00FC5E78" w:rsidRPr="0024300C" w:rsidRDefault="00FC5E78" w:rsidP="00FC5E78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wykonania dokumentacji 2D na podstawie modelu geometrycznego</w:t>
      </w:r>
    </w:p>
    <w:p w:rsidR="00FC5E78" w:rsidRPr="001761B5" w:rsidRDefault="00FC5E78" w:rsidP="001761B5">
      <w:pPr>
        <w:pStyle w:val="Akapitzlist"/>
        <w:numPr>
          <w:ilvl w:val="0"/>
          <w:numId w:val="3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generowania siatki elementów skończonych na potrzeby symulacji numerycznych bezpośrednio w interfejsie graficznym programu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Podstawowe właściwości obliczeniowe solvera: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 xml:space="preserve">obsługa elementów skończonych jednowymiarowych typu: sprężyna, element tłumiący, masa, belka, rura (pipe) 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masy skupionej w danym punkcie w przestrzeni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obsługa elementów skończonych powierzchniowych o zerowej grubości (shell)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obsługa elementów skończonych powierzchniowych o zerowej grubości ze zdefiniowanymi sekcjami (np. warstwy materiału anizotropowego, shell-thin)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obsługa elementów bryłowych o warstwowej strukturze (shell thick / solid-shell)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analizy osiowo-symetrycznej, w płaskim stanie naprężenia lub odkształcenia wykorzystując elementy skończone dwuwymiarowe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analizy na elementach bryłowych (solid)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warstw w elementach bryłowych (layered solid)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modelowania zbrojenia w elementach bryłowych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elementów skończonych 2.5D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modelowania kontaktów liniowych oraz nieliniowych (bez tarcia, z tarciem oraz z nieskończenie dużym tarciem)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modelowania par kinematycznych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modelowania połączeń spawanych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tworzenie i usuwanie elementów w trakcie symulacji (element birth and death)</w:t>
      </w:r>
    </w:p>
    <w:p w:rsidR="00FC5E78" w:rsidRPr="0024300C" w:rsidRDefault="00FC5E78" w:rsidP="00FC5E78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modelowania uszczelek</w:t>
      </w:r>
    </w:p>
    <w:p w:rsidR="00FC5E78" w:rsidRPr="001761B5" w:rsidRDefault="00FC5E78" w:rsidP="001761B5">
      <w:pPr>
        <w:pStyle w:val="Akapitzlist"/>
        <w:numPr>
          <w:ilvl w:val="0"/>
          <w:numId w:val="1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stosowania adaptacyjnego zagęszczania siatki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Modele materiałowe: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liniowych modeli materiałowych, izo- i anizotropowych z możliwością definiowania ich w funkcji temperatury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nieliniowych modeli materiałowych niezależnych od prędkości deformacji (Bilinear Isotropic Hardening, Multilinear Isotropic Hardening, Nonlinear Isotropic Hardening, Isotropic Hardening Static Recovery)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hiper-elastycznych modeli materiałowych (Arruda-Boyce Hyperelasticity, Blatz Ko Foam Hyperelasticity, Extended Tube Hyperelasticity, Gent Hyperelasticity, Mooney Rivlin Hyperelasticity, Neo-Hookean Hyperelasticity, Ogden Hyperelasticity, Ogden Compressible Foam Hyperelasticity, Polynomial Form Hyperelasticity, Response Function Hyperelasticity, Yeoh Hyperelasticity, Special Hyperelasticity)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dostępność modeli materiałów kruchych (beton)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parametrów związanych z pękaniem i propagacją szczeliny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uwzględnienie zmienności właściwości materiałowych w zależności od pola temperatury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współpracy z zewnętrznymi bazami materiałowymi</w:t>
      </w:r>
    </w:p>
    <w:p w:rsidR="00FC5E78" w:rsidRPr="0024300C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własnego materiału</w:t>
      </w:r>
    </w:p>
    <w:p w:rsidR="00FC5E78" w:rsidRPr="001761B5" w:rsidRDefault="00FC5E78" w:rsidP="00FC5E78">
      <w:pPr>
        <w:pStyle w:val="Akapitzlist"/>
        <w:numPr>
          <w:ilvl w:val="0"/>
          <w:numId w:val="1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analizy niszczenia pierwsze</w:t>
      </w:r>
      <w:r w:rsidR="001761B5">
        <w:rPr>
          <w:rFonts w:ascii="Arial" w:hAnsi="Arial" w:cs="Arial"/>
          <w:sz w:val="24"/>
          <w:szCs w:val="24"/>
        </w:rPr>
        <w:t>j warstwy w materiale warstwowy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Możliwości analizy strukturalnej:</w:t>
      </w:r>
    </w:p>
    <w:p w:rsidR="00FC5E78" w:rsidRPr="0024300C" w:rsidRDefault="00FC5E78" w:rsidP="00FC5E78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analizy liniowej statycznej</w:t>
      </w:r>
    </w:p>
    <w:p w:rsidR="00FC5E78" w:rsidRPr="0024300C" w:rsidRDefault="00FC5E78" w:rsidP="00FC5E78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analizy nieliniowej statycznej</w:t>
      </w:r>
    </w:p>
    <w:p w:rsidR="00FC5E78" w:rsidRPr="0024300C" w:rsidRDefault="00FC5E78" w:rsidP="00FC5E78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analizy liniowej statycznej z efektem naprężeń wstępnych</w:t>
      </w:r>
    </w:p>
    <w:p w:rsidR="00FC5E78" w:rsidRPr="0024300C" w:rsidRDefault="00FC5E78" w:rsidP="00FC5E78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możliwość przeprowadzenia analizy z uwzględnieniem nieliniowości geometrycznych</w:t>
      </w:r>
    </w:p>
    <w:p w:rsidR="00FC5E78" w:rsidRPr="0024300C" w:rsidRDefault="00FC5E78" w:rsidP="00FC5E78">
      <w:pPr>
        <w:pStyle w:val="Akapitzlist"/>
        <w:numPr>
          <w:ilvl w:val="0"/>
          <w:numId w:val="1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analizy wyboczenia liniowego i nieliniowego z metodą poprawy zbieżności Arc Length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Możliwości w zakresie dynamiki liniowej:</w:t>
      </w:r>
    </w:p>
    <w:p w:rsidR="00FC5E78" w:rsidRPr="0024300C" w:rsidRDefault="00FC5E78" w:rsidP="00FC5E78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modalna i modalna z naprężeniami wstępnymi</w:t>
      </w:r>
    </w:p>
    <w:p w:rsidR="00FC5E78" w:rsidRPr="0024300C" w:rsidRDefault="00FC5E78" w:rsidP="00FC5E78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nieustalona typu Mode-Superposition</w:t>
      </w:r>
    </w:p>
    <w:p w:rsidR="00FC5E78" w:rsidRPr="0024300C" w:rsidRDefault="00FC5E78" w:rsidP="00FC5E78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harmoniczna (Full i Mode-Superposition)</w:t>
      </w:r>
    </w:p>
    <w:p w:rsidR="00FC5E78" w:rsidRPr="0024300C" w:rsidRDefault="00FC5E78" w:rsidP="00FC5E78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typu Spectrum i Random Vibration</w:t>
      </w:r>
    </w:p>
    <w:p w:rsidR="00FC5E78" w:rsidRPr="0024300C" w:rsidRDefault="00FC5E78" w:rsidP="00FC5E78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dynamiki maszyn wirnikowych</w:t>
      </w:r>
    </w:p>
    <w:p w:rsidR="00FC5E78" w:rsidRPr="001761B5" w:rsidRDefault="00FC5E78" w:rsidP="001761B5">
      <w:pPr>
        <w:pStyle w:val="Akapitzlist"/>
        <w:numPr>
          <w:ilvl w:val="0"/>
          <w:numId w:val="1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z wykorzystaniem wielostopniowej symetrii cyklicznej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Możliwości w zakresie nieliniowej dynamiki:</w:t>
      </w:r>
    </w:p>
    <w:p w:rsidR="00FC5E78" w:rsidRPr="0024300C" w:rsidRDefault="00FC5E78" w:rsidP="00FC5E78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dynamiki brył sztywnych</w:t>
      </w:r>
    </w:p>
    <w:p w:rsidR="00FC5E78" w:rsidRPr="0024300C" w:rsidRDefault="00FC5E78" w:rsidP="00FC5E78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nieustalona z ciałami sztywnymi i odkształcalnymi</w:t>
      </w:r>
    </w:p>
    <w:p w:rsidR="00FC5E78" w:rsidRPr="0024300C" w:rsidRDefault="00FC5E78" w:rsidP="00FC5E78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z wykorzystaniem FE (Lagrange) Solver</w:t>
      </w:r>
    </w:p>
    <w:p w:rsidR="00FC5E78" w:rsidRPr="0024300C" w:rsidRDefault="00FC5E78" w:rsidP="00FC5E78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stanów materiału Implicit-Explicit</w:t>
      </w:r>
    </w:p>
    <w:p w:rsidR="00FC5E78" w:rsidRPr="0024300C" w:rsidRDefault="00FC5E78" w:rsidP="00FC5E78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zastosowania funkcji skalowania masy</w:t>
      </w:r>
    </w:p>
    <w:p w:rsidR="00FC5E78" w:rsidRPr="001761B5" w:rsidRDefault="00FC5E78" w:rsidP="001761B5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wielu kryteriów zniszczenia materiału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Analiza termiczna:</w:t>
      </w:r>
    </w:p>
    <w:p w:rsidR="00FC5E78" w:rsidRPr="0024300C" w:rsidRDefault="00FC5E78" w:rsidP="00FC5E78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termiczna ustalona i nieustalona uwzględniająca mechanizmy transportu ciepła: przewodzenie, promieniowanie, radiacja (do otoczenia i model S2S)</w:t>
      </w:r>
    </w:p>
    <w:p w:rsidR="00FC5E78" w:rsidRPr="0024300C" w:rsidRDefault="00FC5E78" w:rsidP="00FC5E78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przemiany fazowej</w:t>
      </w:r>
    </w:p>
    <w:p w:rsidR="00FC5E78" w:rsidRPr="001761B5" w:rsidRDefault="00FC5E78" w:rsidP="001761B5">
      <w:pPr>
        <w:pStyle w:val="Akapitzlist"/>
        <w:numPr>
          <w:ilvl w:val="0"/>
          <w:numId w:val="2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termiczna w materiałach warstwowych (kompozyty typu shell i solid)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Analizy akustyczne: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modalna akustyczna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harmoniczna akustyczna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nieustalona akustyczna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możliwe zastosowanie metody Boundary Element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statystyczna Analiza Energii (SEA)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sygnałów akustycznych generowanych w miejscu kontaktu</w:t>
      </w:r>
    </w:p>
    <w:p w:rsidR="00FC5E78" w:rsidRPr="0024300C" w:rsidRDefault="00FC5E78" w:rsidP="00FC5E78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biblioteka elementów akustycznych</w:t>
      </w:r>
    </w:p>
    <w:p w:rsidR="00FC5E78" w:rsidRPr="001761B5" w:rsidRDefault="00FC5E78" w:rsidP="001761B5">
      <w:pPr>
        <w:pStyle w:val="Akapitzlist"/>
        <w:numPr>
          <w:ilvl w:val="0"/>
          <w:numId w:val="2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modele materiałowe akustyczne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Analizy hydrodynamiczne:</w:t>
      </w:r>
    </w:p>
    <w:p w:rsidR="00FC5E78" w:rsidRPr="0024300C" w:rsidRDefault="00FC5E78" w:rsidP="00FC5E78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dyfrakcji oraz radiacji</w:t>
      </w:r>
    </w:p>
    <w:p w:rsidR="00FC5E78" w:rsidRPr="0024300C" w:rsidRDefault="00FC5E78" w:rsidP="00FC5E78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w dziedzinie czasu oraz częstotliwości</w:t>
      </w:r>
    </w:p>
    <w:p w:rsidR="00FC5E78" w:rsidRPr="0024300C" w:rsidRDefault="00FC5E78" w:rsidP="00FC5E78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kabli, par kinematycznych, cum oraz łańcuchów</w:t>
      </w:r>
    </w:p>
    <w:p w:rsidR="00FC5E78" w:rsidRPr="0024300C" w:rsidRDefault="00FC5E78" w:rsidP="00FC5E78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przenoszenia obciążeń hydrodynamicznych do analizy statycznej</w:t>
      </w:r>
    </w:p>
    <w:p w:rsidR="00FC5E78" w:rsidRPr="0024300C" w:rsidRDefault="00FC5E78" w:rsidP="00FC5E78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w symulacji zbiorników wewnętrznych</w:t>
      </w:r>
    </w:p>
    <w:p w:rsidR="00FC5E78" w:rsidRPr="0024300C" w:rsidRDefault="00FC5E78" w:rsidP="00FC5E78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Definicja materiałów kompozytowych: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warstwowych materiałów kompozytowych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różnych wartości wytrzymałościowych dla innych kierunków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określenia zniszczenia dla pierwszej warstwy oraz dla ostatniej warstwy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określenia kryterium zniszczenia wedle kryteriów: maksymalnych naprężeń, maksymalnych odkształceń, Tsai-Wu, Tsai_hill, Hashin, Puck, LaRC (Langley Research Center), Cuntze, Face Sheet, Wrinkling, Core Failure, Hoffman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delaminacji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exportu warstwowego modelu kompozytowego jak powierzchnie bądź bryłę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analizy reakcji termiczno-chemicznej oraz przewidzenia rozwoju naprężeń szczątkowych, a także zniekształceń wywołanych procesem podczas utwardzania części kompozytowych</w:t>
      </w:r>
    </w:p>
    <w:p w:rsidR="00FC5E78" w:rsidRPr="0024300C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automatyzacji w procesie tworzenia kompozytu za pomocą wykorzystania skryptów w języku Python</w:t>
      </w:r>
    </w:p>
    <w:p w:rsidR="00FC5E78" w:rsidRDefault="00FC5E78" w:rsidP="00FC5E78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kompozytów o krótkich włóknach</w:t>
      </w:r>
    </w:p>
    <w:p w:rsidR="00FC5E78" w:rsidRPr="001761B5" w:rsidRDefault="00FC5E78" w:rsidP="001761B5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możliwość modelowania struktur nawijanych o zmiennej grubości laminatu definiowanej z pliku zewnętrznego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Optymalizacja:</w:t>
      </w:r>
    </w:p>
    <w:p w:rsidR="00FC5E78" w:rsidRPr="0024300C" w:rsidRDefault="00FC5E78" w:rsidP="00FC5E78">
      <w:pPr>
        <w:pStyle w:val="Akapitzlist"/>
        <w:numPr>
          <w:ilvl w:val="0"/>
          <w:numId w:val="2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licencja zawiera narzędzia do optymalizacji</w:t>
      </w:r>
    </w:p>
    <w:p w:rsidR="00FC5E78" w:rsidRPr="0024300C" w:rsidRDefault="00FC5E78" w:rsidP="00FC5E78">
      <w:pPr>
        <w:pStyle w:val="Akapitzlist"/>
        <w:numPr>
          <w:ilvl w:val="0"/>
          <w:numId w:val="2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definiowania parametrów</w:t>
      </w:r>
    </w:p>
    <w:p w:rsidR="00FC5E78" w:rsidRPr="0024300C" w:rsidRDefault="00FC5E78" w:rsidP="00FC5E78">
      <w:pPr>
        <w:pStyle w:val="Akapitzlist"/>
        <w:numPr>
          <w:ilvl w:val="0"/>
          <w:numId w:val="2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plan eksperymentu</w:t>
      </w:r>
    </w:p>
    <w:p w:rsidR="00FC5E78" w:rsidRPr="0024300C" w:rsidRDefault="00FC5E78" w:rsidP="00FC5E78">
      <w:pPr>
        <w:pStyle w:val="Akapitzlist"/>
        <w:numPr>
          <w:ilvl w:val="0"/>
          <w:numId w:val="2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korelacji</w:t>
      </w:r>
    </w:p>
    <w:p w:rsidR="00FC5E78" w:rsidRPr="001761B5" w:rsidRDefault="00FC5E78" w:rsidP="001761B5">
      <w:pPr>
        <w:pStyle w:val="Akapitzlist"/>
        <w:numPr>
          <w:ilvl w:val="0"/>
          <w:numId w:val="25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wrażliwości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Optymalizacja Topologiczna: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optymalizacji w analizie strukturalnej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optymalizacji w analizie modalnej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obciążenia cieplnego w procesie optymalizacji konstrukcji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bezwładności w procesie optymalizacji konstrukcji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walidacji zoptymalizowanej struktury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nadawania ograniczeń produkcyjnych w procesie optymalizacji oraz ograniczeń co do wielkości naprężeń</w:t>
      </w:r>
    </w:p>
    <w:p w:rsidR="00FC5E78" w:rsidRPr="0024300C" w:rsidRDefault="00FC5E78" w:rsidP="00FC5E78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uwzględnienia symetrii w procesie optymalizacji</w:t>
      </w:r>
    </w:p>
    <w:p w:rsidR="00FC5E78" w:rsidRPr="001761B5" w:rsidRDefault="00FC5E78" w:rsidP="001761B5">
      <w:pPr>
        <w:pStyle w:val="Akapitzlist"/>
        <w:numPr>
          <w:ilvl w:val="0"/>
          <w:numId w:val="26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optymalizacji struktur kratownicowych (Lattice)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Łączenie różnych analiz:</w:t>
      </w:r>
    </w:p>
    <w:p w:rsidR="00FC5E78" w:rsidRPr="0024300C" w:rsidRDefault="00FC5E78" w:rsidP="00FC5E78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liczenia wycinka modelu (submodeling)</w:t>
      </w:r>
    </w:p>
    <w:p w:rsidR="00FC5E78" w:rsidRPr="0024300C" w:rsidRDefault="00FC5E78" w:rsidP="00FC5E78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mapowania danych eksperymentalnych na model</w:t>
      </w:r>
    </w:p>
    <w:p w:rsidR="00FC5E78" w:rsidRPr="0024300C" w:rsidRDefault="00FC5E78" w:rsidP="00FC5E78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możliwość wczytywania stanu początkowego w modelu z innego modelu</w:t>
      </w:r>
    </w:p>
    <w:p w:rsidR="00FC5E78" w:rsidRPr="001761B5" w:rsidRDefault="00FC5E78" w:rsidP="001761B5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automatycznego przejścia z modelu 2D na 3D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Niezawodność:</w:t>
      </w:r>
    </w:p>
    <w:p w:rsidR="00FC5E78" w:rsidRPr="0024300C" w:rsidRDefault="00FC5E78" w:rsidP="00FC5E78">
      <w:pPr>
        <w:pStyle w:val="Akapitzlist"/>
        <w:numPr>
          <w:ilvl w:val="0"/>
          <w:numId w:val="2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analiza zmęczeniowa typu stress-life, strain-life</w:t>
      </w:r>
    </w:p>
    <w:p w:rsidR="00FC5E78" w:rsidRPr="001761B5" w:rsidRDefault="00FC5E78" w:rsidP="001761B5">
      <w:pPr>
        <w:pStyle w:val="Akapitzlist"/>
        <w:numPr>
          <w:ilvl w:val="0"/>
          <w:numId w:val="28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przeliczenia wyników na współczynniki bezpieczeństwa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Właściwości multi-fizyczne:</w:t>
      </w:r>
    </w:p>
    <w:p w:rsidR="00FC5E78" w:rsidRPr="0024300C" w:rsidRDefault="00FC5E78" w:rsidP="00FC5E78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jednokierunkowego oraz dwukierunkowego sprzęgnięcia z solverem CFD w ramach spójnego środowiska obliczeniowego (Wymagana dodatkowa licencja na produkty CFD)</w:t>
      </w:r>
    </w:p>
    <w:p w:rsidR="00FC5E78" w:rsidRPr="0024300C" w:rsidRDefault="00FC5E78" w:rsidP="00FC5E78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modelowanie materiałów piezoelektrycznych</w:t>
      </w:r>
    </w:p>
    <w:p w:rsidR="00FC5E78" w:rsidRPr="0024300C" w:rsidRDefault="00FC5E78" w:rsidP="00FC5E78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modelowanie materiałów piezorezystywnych</w:t>
      </w:r>
    </w:p>
    <w:p w:rsidR="00FC5E78" w:rsidRPr="0024300C" w:rsidRDefault="00FC5E78" w:rsidP="00FC5E78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zdefiniowania własności termicznych dla przepływu w elemencie 1D</w:t>
      </w:r>
    </w:p>
    <w:p w:rsidR="00FC5E78" w:rsidRPr="0024300C" w:rsidRDefault="00FC5E78" w:rsidP="00FC5E78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modelowania przetworników elektromechanicznych oraz elektromigracji</w:t>
      </w:r>
    </w:p>
    <w:p w:rsidR="00FC5E78" w:rsidRPr="0024300C" w:rsidRDefault="00FC5E78" w:rsidP="00FC5E78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sprzężonej analizy strukturalno-przepływowo-dyfuzyjno termicznej dla ośrodków porowatych</w:t>
      </w:r>
    </w:p>
    <w:p w:rsidR="00FC5E78" w:rsidRPr="001761B5" w:rsidRDefault="00FC5E78" w:rsidP="001761B5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przeprowadzenia sprzężonej analizy dyfuzyjno-termiczno-elektryczno magnetycznej</w:t>
      </w:r>
    </w:p>
    <w:p w:rsidR="00FC5E78" w:rsidRPr="0024300C" w:rsidRDefault="00FC5E78" w:rsidP="00FC5E78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24300C">
        <w:rPr>
          <w:rFonts w:ascii="Arial" w:hAnsi="Arial" w:cs="Arial"/>
          <w:i/>
          <w:iCs/>
          <w:sz w:val="24"/>
          <w:szCs w:val="24"/>
        </w:rPr>
        <w:t>Różne:</w:t>
      </w:r>
    </w:p>
    <w:p w:rsidR="00FC5E78" w:rsidRPr="0024300C" w:rsidRDefault="00FC5E78" w:rsidP="00FC5E78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obliczeń więcej niż na 4 rdzeniach przy wykupieniu dodatkowej licencji</w:t>
      </w:r>
    </w:p>
    <w:p w:rsidR="00FC5E78" w:rsidRPr="0024300C" w:rsidRDefault="00FC5E78" w:rsidP="00FC5E78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import modeli MES z innych kodów numerycznych</w:t>
      </w:r>
    </w:p>
    <w:p w:rsidR="00FC5E78" w:rsidRPr="0024300C" w:rsidRDefault="00FC5E78" w:rsidP="00FC5E78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uruchamianie obliczeń z wiersza poleceń</w:t>
      </w:r>
    </w:p>
    <w:p w:rsidR="00FC5E78" w:rsidRPr="0024300C" w:rsidRDefault="00FC5E78" w:rsidP="00FC5E78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post-processing w zintegrowanym środowisku</w:t>
      </w:r>
    </w:p>
    <w:p w:rsidR="00FC5E78" w:rsidRPr="0024300C" w:rsidRDefault="00FC5E78" w:rsidP="00FC5E78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rozszerzania funkcjonalności interfejsu graficznego poprzez komendy</w:t>
      </w:r>
    </w:p>
    <w:p w:rsidR="00FC5E78" w:rsidRPr="0024300C" w:rsidRDefault="00FC5E78" w:rsidP="00FC5E78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instalowania rozszerzeń/skryptów</w:t>
      </w:r>
    </w:p>
    <w:p w:rsidR="00FC5E78" w:rsidRPr="001761B5" w:rsidRDefault="00FC5E78" w:rsidP="001761B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wykorzystanie GPU do przyśpieszenia czasu obliczeń przy zastosowaniu dodatkowej licencji</w:t>
      </w:r>
    </w:p>
    <w:p w:rsidR="00FC5E78" w:rsidRPr="0024300C" w:rsidRDefault="00FC5E78" w:rsidP="00FC5E78">
      <w:pPr>
        <w:rPr>
          <w:rFonts w:ascii="Arial" w:hAnsi="Arial" w:cs="Arial"/>
          <w:b/>
          <w:bCs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t>3. Ansys HPC Pack</w:t>
      </w:r>
      <w:r>
        <w:rPr>
          <w:rFonts w:ascii="Arial" w:hAnsi="Arial" w:cs="Arial"/>
          <w:b/>
          <w:bCs/>
          <w:sz w:val="24"/>
          <w:szCs w:val="24"/>
        </w:rPr>
        <w:t xml:space="preserve"> – 2 szt.</w:t>
      </w:r>
    </w:p>
    <w:p w:rsidR="00FC5E78" w:rsidRPr="0024300C" w:rsidRDefault="00FC5E78" w:rsidP="00FC5E78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zwiększenia liczby obsługiwanych rdzeni procesora w obliczeniach do 36 dla pojedynczego zadania</w:t>
      </w:r>
    </w:p>
    <w:p w:rsidR="00FC5E78" w:rsidRPr="0024300C" w:rsidRDefault="00FC5E78" w:rsidP="00FC5E78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możliwość jednoczesnego uruchamiania niezależnych symulacji z wykorzystaniem rdzeni procesora</w:t>
      </w:r>
    </w:p>
    <w:p w:rsidR="00FC5E78" w:rsidRPr="0024300C" w:rsidRDefault="00FC5E78" w:rsidP="00FC5E78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C5E78" w:rsidRPr="0024300C" w:rsidRDefault="00FC5E78" w:rsidP="00FC5E78">
      <w:pPr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b/>
          <w:bCs/>
          <w:sz w:val="24"/>
          <w:szCs w:val="24"/>
        </w:rPr>
        <w:t>UWAGA:</w:t>
      </w:r>
      <w:r w:rsidRPr="0024300C">
        <w:rPr>
          <w:rFonts w:ascii="Arial" w:hAnsi="Arial" w:cs="Arial"/>
          <w:sz w:val="24"/>
          <w:szCs w:val="24"/>
        </w:rPr>
        <w:t xml:space="preserve"> W przypadku zaoferowania oprogramowania równoważnego</w:t>
      </w:r>
      <w:r>
        <w:rPr>
          <w:rFonts w:ascii="Arial" w:hAnsi="Arial" w:cs="Arial"/>
          <w:sz w:val="24"/>
          <w:szCs w:val="24"/>
        </w:rPr>
        <w:t xml:space="preserve"> (przez co rozumie się funkcjonalność zgodną z wymienionymi powyżej funkcjonalnościami)</w:t>
      </w:r>
      <w:r w:rsidRPr="0024300C">
        <w:rPr>
          <w:rFonts w:ascii="Arial" w:hAnsi="Arial" w:cs="Arial"/>
          <w:sz w:val="24"/>
          <w:szCs w:val="24"/>
        </w:rPr>
        <w:t xml:space="preserve">, Wykonawca zobowiązany jest zapewnić, w ramach wynagrodzenia </w:t>
      </w:r>
      <w:r w:rsidR="00FB711A">
        <w:rPr>
          <w:rFonts w:ascii="Arial" w:hAnsi="Arial" w:cs="Arial"/>
          <w:sz w:val="24"/>
          <w:szCs w:val="24"/>
        </w:rPr>
        <w:t>ujętego w ofercie, instruktaż</w:t>
      </w:r>
      <w:r w:rsidRPr="0024300C">
        <w:rPr>
          <w:rFonts w:ascii="Arial" w:hAnsi="Arial" w:cs="Arial"/>
          <w:sz w:val="24"/>
          <w:szCs w:val="24"/>
        </w:rPr>
        <w:t xml:space="preserve"> </w:t>
      </w:r>
      <w:r w:rsidR="00FB711A">
        <w:rPr>
          <w:rFonts w:ascii="Arial" w:hAnsi="Arial" w:cs="Arial"/>
          <w:sz w:val="24"/>
          <w:szCs w:val="24"/>
        </w:rPr>
        <w:t xml:space="preserve">dla </w:t>
      </w:r>
      <w:r w:rsidRPr="0024300C">
        <w:rPr>
          <w:rFonts w:ascii="Arial" w:hAnsi="Arial" w:cs="Arial"/>
          <w:sz w:val="24"/>
          <w:szCs w:val="24"/>
        </w:rPr>
        <w:t>personelu Zamawiającego w zakresie pozwalającym na samodzielne wykonywanie prac w co najmniej następującym zakresie: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lastRenderedPageBreak/>
        <w:t>tworzenie i edycja geometrii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tworzenie i edycja siatki elementów skończonych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nadawanie warunków brzegowych i obciążeń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analizowanie jakości siatki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nadawanie własności materiałowych i fizycznych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definiowanie kontaktów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liniowej i nieliniowej wytrzymałościowej analizy statycznej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liniowej i nieliniowej analizy termicznej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analizy modalnej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liniowej i nieliniowej analizy utraty stateczności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analizy wytrzymałościowej materiałów kompozytowych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analiz dynamicznych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analiz cieplnych i przepływowych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prowadzenie analiz narastania lodu i aerodynamicznych</w:t>
      </w:r>
    </w:p>
    <w:p w:rsidR="00FC5E78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24300C">
        <w:rPr>
          <w:rFonts w:ascii="Arial" w:hAnsi="Arial" w:cs="Arial"/>
          <w:sz w:val="24"/>
          <w:szCs w:val="24"/>
        </w:rPr>
        <w:t>wizualizacja wyników z analiz</w:t>
      </w:r>
    </w:p>
    <w:p w:rsidR="00FC5E78" w:rsidRPr="0024300C" w:rsidRDefault="00FC5E78" w:rsidP="00FC5E78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modelowania kompozytów, w tym nawijanych</w:t>
      </w:r>
    </w:p>
    <w:p w:rsidR="00FC5E78" w:rsidRPr="0024300C" w:rsidRDefault="00435EBE" w:rsidP="00FC5E7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Instruktaż musi być zapewniony</w:t>
      </w:r>
      <w:r w:rsidR="00FC5E78" w:rsidRPr="0024300C">
        <w:rPr>
          <w:rFonts w:ascii="Arial" w:hAnsi="Arial" w:cs="Arial"/>
          <w:sz w:val="24"/>
          <w:szCs w:val="24"/>
        </w:rPr>
        <w:t xml:space="preserve"> dla co najmniej </w:t>
      </w:r>
      <w:r w:rsidR="00FC5E78" w:rsidRPr="00C362BC">
        <w:rPr>
          <w:rFonts w:ascii="Arial" w:hAnsi="Arial" w:cs="Arial"/>
          <w:sz w:val="24"/>
          <w:szCs w:val="24"/>
        </w:rPr>
        <w:t>15 osób</w:t>
      </w:r>
      <w:r w:rsidR="00FC5E78" w:rsidRPr="0024300C">
        <w:rPr>
          <w:rFonts w:ascii="Arial" w:hAnsi="Arial" w:cs="Arial"/>
          <w:sz w:val="24"/>
          <w:szCs w:val="24"/>
        </w:rPr>
        <w:t xml:space="preserve"> z personelu Zamawiającego, wskazanych przez Zamawiającego i powinno obejmować minimum 120 godzin zajęć praktyczn</w:t>
      </w:r>
      <w:r>
        <w:rPr>
          <w:rFonts w:ascii="Arial" w:hAnsi="Arial" w:cs="Arial"/>
          <w:sz w:val="24"/>
          <w:szCs w:val="24"/>
        </w:rPr>
        <w:t>ych (minimum 60 godzin instruktażu</w:t>
      </w:r>
      <w:r w:rsidR="00FC5E78" w:rsidRPr="0024300C">
        <w:rPr>
          <w:rFonts w:ascii="Arial" w:hAnsi="Arial" w:cs="Arial"/>
          <w:sz w:val="24"/>
          <w:szCs w:val="24"/>
        </w:rPr>
        <w:t xml:space="preserve"> z solvera </w:t>
      </w:r>
      <w:r>
        <w:rPr>
          <w:rFonts w:ascii="Arial" w:hAnsi="Arial" w:cs="Arial"/>
          <w:sz w:val="24"/>
          <w:szCs w:val="24"/>
        </w:rPr>
        <w:t>oraz minimum 60 godzin instruktażu</w:t>
      </w:r>
      <w:r w:rsidR="00FC5E78" w:rsidRPr="0024300C">
        <w:rPr>
          <w:rFonts w:ascii="Arial" w:hAnsi="Arial" w:cs="Arial"/>
          <w:sz w:val="24"/>
          <w:szCs w:val="24"/>
        </w:rPr>
        <w:t xml:space="preserve"> z modułu do pre- i post</w:t>
      </w:r>
      <w:r>
        <w:rPr>
          <w:rFonts w:ascii="Arial" w:hAnsi="Arial" w:cs="Arial"/>
          <w:sz w:val="24"/>
          <w:szCs w:val="24"/>
        </w:rPr>
        <w:t>processingu) na osobę. Instruktaż winien być przeprowadzony</w:t>
      </w:r>
      <w:r w:rsidR="00FC5E78" w:rsidRPr="0024300C">
        <w:rPr>
          <w:rFonts w:ascii="Arial" w:hAnsi="Arial" w:cs="Arial"/>
          <w:sz w:val="24"/>
          <w:szCs w:val="24"/>
        </w:rPr>
        <w:t xml:space="preserve"> w trzech grupach, naprzemiennie, i rozpocząć się w terminie jednego (1) tygodnia od daty zawarcia umowy, a zakończyć nie później niż 3 miesiące od daty zawarcia umowy, z zastr</w:t>
      </w:r>
      <w:r>
        <w:rPr>
          <w:rFonts w:ascii="Arial" w:hAnsi="Arial" w:cs="Arial"/>
          <w:sz w:val="24"/>
          <w:szCs w:val="24"/>
        </w:rPr>
        <w:t>zeżeniem, że harmonogram jego przeprowadzenia</w:t>
      </w:r>
      <w:r w:rsidR="00FC5E78" w:rsidRPr="0024300C">
        <w:rPr>
          <w:rFonts w:ascii="Arial" w:hAnsi="Arial" w:cs="Arial"/>
          <w:sz w:val="24"/>
          <w:szCs w:val="24"/>
        </w:rPr>
        <w:t xml:space="preserve"> zostanie ustalony p</w:t>
      </w:r>
      <w:r>
        <w:rPr>
          <w:rFonts w:ascii="Arial" w:hAnsi="Arial" w:cs="Arial"/>
          <w:sz w:val="24"/>
          <w:szCs w:val="24"/>
        </w:rPr>
        <w:t>rzy udziale obu stron. Ponadto powinien</w:t>
      </w:r>
      <w:r w:rsidR="00FC5E78" w:rsidRPr="0024300C">
        <w:rPr>
          <w:rFonts w:ascii="Arial" w:hAnsi="Arial" w:cs="Arial"/>
          <w:sz w:val="24"/>
          <w:szCs w:val="24"/>
        </w:rPr>
        <w:t xml:space="preserve"> odbyć się w blokach 6-godzinnych na terenie Wojskowego Instytutu Technicznego Uzbrojenia</w:t>
      </w:r>
      <w:r w:rsidR="00FC5E78">
        <w:rPr>
          <w:rFonts w:ascii="Arial" w:hAnsi="Arial" w:cs="Arial"/>
          <w:sz w:val="24"/>
          <w:szCs w:val="24"/>
        </w:rPr>
        <w:t xml:space="preserve"> w Zielonce</w:t>
      </w:r>
      <w:r w:rsidR="00FC5E78" w:rsidRPr="0024300C">
        <w:rPr>
          <w:rFonts w:ascii="Arial" w:hAnsi="Arial" w:cs="Arial"/>
          <w:sz w:val="24"/>
          <w:szCs w:val="24"/>
        </w:rPr>
        <w:t xml:space="preserve">. Wykonawca zobowiązany jest zapewnić dostęp do komputerów z odpowiednim oprogramowaniem dla każdego kursanta. </w:t>
      </w:r>
    </w:p>
    <w:p w:rsidR="00FC5E78" w:rsidRPr="0024300C" w:rsidRDefault="00FC5E78" w:rsidP="00FC5E78">
      <w:pPr>
        <w:jc w:val="both"/>
        <w:rPr>
          <w:rFonts w:ascii="Arial" w:hAnsi="Arial" w:cs="Arial"/>
          <w:color w:val="EE0000"/>
          <w:sz w:val="24"/>
          <w:szCs w:val="24"/>
          <w:u w:val="single"/>
        </w:rPr>
      </w:pPr>
      <w:r w:rsidRPr="0024300C">
        <w:rPr>
          <w:rFonts w:ascii="Arial" w:hAnsi="Arial" w:cs="Arial"/>
          <w:sz w:val="24"/>
          <w:szCs w:val="24"/>
        </w:rPr>
        <w:t xml:space="preserve">Wykonawca, który powołuje się na rozwiązania równoważne opisywane przez Zamawiającego jest </w:t>
      </w:r>
      <w:r>
        <w:rPr>
          <w:rFonts w:ascii="Arial" w:hAnsi="Arial" w:cs="Arial"/>
          <w:sz w:val="24"/>
          <w:szCs w:val="24"/>
        </w:rPr>
        <w:t>z</w:t>
      </w:r>
      <w:r w:rsidRPr="0024300C">
        <w:rPr>
          <w:rFonts w:ascii="Arial" w:hAnsi="Arial" w:cs="Arial"/>
          <w:sz w:val="24"/>
          <w:szCs w:val="24"/>
        </w:rPr>
        <w:t>obowiązany wykazać, że oferowane przez niego dostawy</w:t>
      </w:r>
      <w:r w:rsidR="00435EBE">
        <w:rPr>
          <w:rFonts w:ascii="Arial" w:hAnsi="Arial" w:cs="Arial"/>
          <w:sz w:val="24"/>
          <w:szCs w:val="24"/>
        </w:rPr>
        <w:t xml:space="preserve">                </w:t>
      </w:r>
      <w:r w:rsidRPr="0024300C">
        <w:rPr>
          <w:rFonts w:ascii="Arial" w:hAnsi="Arial" w:cs="Arial"/>
          <w:sz w:val="24"/>
          <w:szCs w:val="24"/>
        </w:rPr>
        <w:t xml:space="preserve"> i usługi spełniają wymagania określone przez Zamawiającego</w:t>
      </w:r>
      <w:r>
        <w:rPr>
          <w:rFonts w:ascii="Arial" w:hAnsi="Arial" w:cs="Arial"/>
          <w:sz w:val="24"/>
          <w:szCs w:val="24"/>
        </w:rPr>
        <w:t>.</w:t>
      </w:r>
    </w:p>
    <w:p w:rsidR="00FC5E78" w:rsidRPr="0024300C" w:rsidRDefault="00FC5E78" w:rsidP="00FC5E78">
      <w:pPr>
        <w:rPr>
          <w:rFonts w:ascii="Arial" w:hAnsi="Arial" w:cs="Arial"/>
          <w:sz w:val="24"/>
          <w:szCs w:val="24"/>
        </w:rPr>
      </w:pPr>
    </w:p>
    <w:p w:rsidR="0084071D" w:rsidRDefault="0084071D">
      <w:pPr>
        <w:pStyle w:val="DefaultText"/>
        <w:jc w:val="right"/>
        <w:rPr>
          <w:rFonts w:ascii="Arial" w:hAnsi="Arial" w:cs="Arial"/>
          <w:b/>
          <w:bCs/>
        </w:rPr>
      </w:pPr>
    </w:p>
    <w:sectPr w:rsidR="0084071D" w:rsidSect="00490727">
      <w:footerReference w:type="default" r:id="rId7"/>
      <w:pgSz w:w="11906" w:h="16838"/>
      <w:pgMar w:top="107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81B" w:rsidRDefault="009A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:rsidR="009A781B" w:rsidRDefault="009A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22" w:rsidRDefault="00490727">
    <w:pPr>
      <w:pStyle w:val="Stopka"/>
      <w:jc w:val="center"/>
      <w:rPr>
        <w:rFonts w:ascii="Times New Roman" w:hAnsi="Times New Roman"/>
      </w:rPr>
    </w:pPr>
    <w:r>
      <w:rPr>
        <w:rFonts w:cs="Calibri"/>
      </w:rPr>
      <w:fldChar w:fldCharType="begin"/>
    </w:r>
    <w:r w:rsidR="006A2B22">
      <w:rPr>
        <w:rFonts w:cs="Calibri"/>
      </w:rPr>
      <w:instrText>PAGE   \* MERGEFORMAT</w:instrText>
    </w:r>
    <w:r>
      <w:rPr>
        <w:rFonts w:cs="Calibri"/>
      </w:rPr>
      <w:fldChar w:fldCharType="separate"/>
    </w:r>
    <w:r w:rsidR="00061784">
      <w:rPr>
        <w:rFonts w:cs="Calibri"/>
        <w:noProof/>
      </w:rPr>
      <w:t>1</w:t>
    </w:r>
    <w:r>
      <w:rPr>
        <w:rFonts w:cs="Calibri"/>
      </w:rPr>
      <w:fldChar w:fldCharType="end"/>
    </w:r>
  </w:p>
  <w:p w:rsidR="006A2B22" w:rsidRDefault="006A2B22">
    <w:pPr>
      <w:pStyle w:val="Stopk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81B" w:rsidRDefault="009A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:rsidR="009A781B" w:rsidRDefault="009A78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77BE"/>
    <w:multiLevelType w:val="hybridMultilevel"/>
    <w:tmpl w:val="FC2CE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6BD8"/>
    <w:multiLevelType w:val="hybridMultilevel"/>
    <w:tmpl w:val="1D04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87E61"/>
    <w:multiLevelType w:val="hybridMultilevel"/>
    <w:tmpl w:val="62F26928"/>
    <w:lvl w:ilvl="0" w:tplc="CA70B396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49F7BA7"/>
    <w:multiLevelType w:val="hybridMultilevel"/>
    <w:tmpl w:val="226E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A79F1"/>
    <w:multiLevelType w:val="multilevel"/>
    <w:tmpl w:val="0C4E6E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0F5D265E"/>
    <w:multiLevelType w:val="hybridMultilevel"/>
    <w:tmpl w:val="80BA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617D"/>
    <w:multiLevelType w:val="hybridMultilevel"/>
    <w:tmpl w:val="8F2AB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3749A"/>
    <w:multiLevelType w:val="hybridMultilevel"/>
    <w:tmpl w:val="FAE6D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B37D4"/>
    <w:multiLevelType w:val="hybridMultilevel"/>
    <w:tmpl w:val="F7DC4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33FFB"/>
    <w:multiLevelType w:val="hybridMultilevel"/>
    <w:tmpl w:val="AB381256"/>
    <w:lvl w:ilvl="0" w:tplc="9F10D834">
      <w:start w:val="1"/>
      <w:numFmt w:val="decimal"/>
      <w:lvlText w:val="2.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8AB6A5E"/>
    <w:multiLevelType w:val="hybridMultilevel"/>
    <w:tmpl w:val="B6D455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7D1C"/>
    <w:multiLevelType w:val="hybridMultilevel"/>
    <w:tmpl w:val="C59EE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1278A"/>
    <w:multiLevelType w:val="hybridMultilevel"/>
    <w:tmpl w:val="E932C3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2CB5A12"/>
    <w:multiLevelType w:val="hybridMultilevel"/>
    <w:tmpl w:val="59802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432BA"/>
    <w:multiLevelType w:val="hybridMultilevel"/>
    <w:tmpl w:val="8F8ED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F376B"/>
    <w:multiLevelType w:val="hybridMultilevel"/>
    <w:tmpl w:val="9E0CB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C26C0"/>
    <w:multiLevelType w:val="hybridMultilevel"/>
    <w:tmpl w:val="C156A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E203C"/>
    <w:multiLevelType w:val="hybridMultilevel"/>
    <w:tmpl w:val="BA747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33C91"/>
    <w:multiLevelType w:val="hybridMultilevel"/>
    <w:tmpl w:val="81C86740"/>
    <w:lvl w:ilvl="0" w:tplc="0415000F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7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4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30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4B845B1F"/>
    <w:multiLevelType w:val="hybridMultilevel"/>
    <w:tmpl w:val="05980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E084E"/>
    <w:multiLevelType w:val="hybridMultilevel"/>
    <w:tmpl w:val="A41663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58189A"/>
    <w:multiLevelType w:val="hybridMultilevel"/>
    <w:tmpl w:val="B19C31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04B092A"/>
    <w:multiLevelType w:val="hybridMultilevel"/>
    <w:tmpl w:val="8D1E5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F4C73"/>
    <w:multiLevelType w:val="hybridMultilevel"/>
    <w:tmpl w:val="2BD61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81AB5"/>
    <w:multiLevelType w:val="hybridMultilevel"/>
    <w:tmpl w:val="B4082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12D5C"/>
    <w:multiLevelType w:val="hybridMultilevel"/>
    <w:tmpl w:val="AAC6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565D7"/>
    <w:multiLevelType w:val="hybridMultilevel"/>
    <w:tmpl w:val="66A08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D95CC4"/>
    <w:multiLevelType w:val="hybridMultilevel"/>
    <w:tmpl w:val="304AD89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81A5E30"/>
    <w:multiLevelType w:val="multilevel"/>
    <w:tmpl w:val="42D0B382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</w:rPr>
    </w:lvl>
  </w:abstractNum>
  <w:abstractNum w:abstractNumId="29" w15:restartNumberingAfterBreak="0">
    <w:nsid w:val="78D42DF1"/>
    <w:multiLevelType w:val="hybridMultilevel"/>
    <w:tmpl w:val="5448B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A1C32"/>
    <w:multiLevelType w:val="hybridMultilevel"/>
    <w:tmpl w:val="CE983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844F2"/>
    <w:multiLevelType w:val="hybridMultilevel"/>
    <w:tmpl w:val="85581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F022C"/>
    <w:multiLevelType w:val="hybridMultilevel"/>
    <w:tmpl w:val="1390B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2"/>
  </w:num>
  <w:num w:numId="4">
    <w:abstractNumId w:val="28"/>
  </w:num>
  <w:num w:numId="5">
    <w:abstractNumId w:val="10"/>
  </w:num>
  <w:num w:numId="6">
    <w:abstractNumId w:val="4"/>
  </w:num>
  <w:num w:numId="7">
    <w:abstractNumId w:val="5"/>
  </w:num>
  <w:num w:numId="8">
    <w:abstractNumId w:val="9"/>
  </w:num>
  <w:num w:numId="9">
    <w:abstractNumId w:val="27"/>
  </w:num>
  <w:num w:numId="10">
    <w:abstractNumId w:val="20"/>
  </w:num>
  <w:num w:numId="11">
    <w:abstractNumId w:val="21"/>
  </w:num>
  <w:num w:numId="12">
    <w:abstractNumId w:val="22"/>
  </w:num>
  <w:num w:numId="13">
    <w:abstractNumId w:val="26"/>
  </w:num>
  <w:num w:numId="14">
    <w:abstractNumId w:val="13"/>
  </w:num>
  <w:num w:numId="15">
    <w:abstractNumId w:val="29"/>
  </w:num>
  <w:num w:numId="16">
    <w:abstractNumId w:val="0"/>
  </w:num>
  <w:num w:numId="17">
    <w:abstractNumId w:val="24"/>
  </w:num>
  <w:num w:numId="18">
    <w:abstractNumId w:val="11"/>
  </w:num>
  <w:num w:numId="19">
    <w:abstractNumId w:val="8"/>
  </w:num>
  <w:num w:numId="20">
    <w:abstractNumId w:val="6"/>
  </w:num>
  <w:num w:numId="21">
    <w:abstractNumId w:val="17"/>
  </w:num>
  <w:num w:numId="22">
    <w:abstractNumId w:val="19"/>
  </w:num>
  <w:num w:numId="23">
    <w:abstractNumId w:val="15"/>
  </w:num>
  <w:num w:numId="24">
    <w:abstractNumId w:val="16"/>
  </w:num>
  <w:num w:numId="25">
    <w:abstractNumId w:val="30"/>
  </w:num>
  <w:num w:numId="26">
    <w:abstractNumId w:val="32"/>
  </w:num>
  <w:num w:numId="27">
    <w:abstractNumId w:val="7"/>
  </w:num>
  <w:num w:numId="28">
    <w:abstractNumId w:val="1"/>
  </w:num>
  <w:num w:numId="29">
    <w:abstractNumId w:val="23"/>
  </w:num>
  <w:num w:numId="30">
    <w:abstractNumId w:val="25"/>
  </w:num>
  <w:num w:numId="31">
    <w:abstractNumId w:val="3"/>
  </w:num>
  <w:num w:numId="32">
    <w:abstractNumId w:val="14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EA0"/>
    <w:rsid w:val="000565E4"/>
    <w:rsid w:val="00061784"/>
    <w:rsid w:val="00093156"/>
    <w:rsid w:val="001761B5"/>
    <w:rsid w:val="00197481"/>
    <w:rsid w:val="001B1B93"/>
    <w:rsid w:val="002012E7"/>
    <w:rsid w:val="002743D7"/>
    <w:rsid w:val="00284BC5"/>
    <w:rsid w:val="002D7D24"/>
    <w:rsid w:val="00305AA7"/>
    <w:rsid w:val="003068BD"/>
    <w:rsid w:val="003151B4"/>
    <w:rsid w:val="00354AF0"/>
    <w:rsid w:val="00370D63"/>
    <w:rsid w:val="00391259"/>
    <w:rsid w:val="003B2177"/>
    <w:rsid w:val="003B325B"/>
    <w:rsid w:val="003E6561"/>
    <w:rsid w:val="00415C60"/>
    <w:rsid w:val="00426B87"/>
    <w:rsid w:val="00435EBE"/>
    <w:rsid w:val="00450DA5"/>
    <w:rsid w:val="004765ED"/>
    <w:rsid w:val="00490727"/>
    <w:rsid w:val="004E6C60"/>
    <w:rsid w:val="0056657B"/>
    <w:rsid w:val="005F7AD0"/>
    <w:rsid w:val="006A2B22"/>
    <w:rsid w:val="006B0DC9"/>
    <w:rsid w:val="006F123F"/>
    <w:rsid w:val="007526D7"/>
    <w:rsid w:val="00765A73"/>
    <w:rsid w:val="00791EA8"/>
    <w:rsid w:val="0079457B"/>
    <w:rsid w:val="007A0511"/>
    <w:rsid w:val="007A445F"/>
    <w:rsid w:val="007F4E31"/>
    <w:rsid w:val="0084071D"/>
    <w:rsid w:val="00844F81"/>
    <w:rsid w:val="008E0808"/>
    <w:rsid w:val="009410EE"/>
    <w:rsid w:val="009A781B"/>
    <w:rsid w:val="009C3B71"/>
    <w:rsid w:val="009C6426"/>
    <w:rsid w:val="00A016F3"/>
    <w:rsid w:val="00A118F5"/>
    <w:rsid w:val="00B3120E"/>
    <w:rsid w:val="00B42553"/>
    <w:rsid w:val="00B57029"/>
    <w:rsid w:val="00CA4605"/>
    <w:rsid w:val="00D11371"/>
    <w:rsid w:val="00D911F5"/>
    <w:rsid w:val="00DA1EA0"/>
    <w:rsid w:val="00DB2CCE"/>
    <w:rsid w:val="00DE08F9"/>
    <w:rsid w:val="00EA6863"/>
    <w:rsid w:val="00F266E0"/>
    <w:rsid w:val="00F54FDE"/>
    <w:rsid w:val="00FB711A"/>
    <w:rsid w:val="00FC5E78"/>
    <w:rsid w:val="00FF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A2F0A0-D6F9-495D-A521-DB41F3F7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72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90727"/>
    <w:pPr>
      <w:ind w:left="720"/>
    </w:pPr>
  </w:style>
  <w:style w:type="paragraph" w:customStyle="1" w:styleId="DefaultText">
    <w:name w:val="Default Text"/>
    <w:rsid w:val="00490727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Nagwek">
    <w:name w:val="header"/>
    <w:basedOn w:val="Normalny"/>
    <w:semiHidden/>
    <w:rsid w:val="00490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omylnaczcionkaakapitu"/>
    <w:rsid w:val="00490727"/>
    <w:rPr>
      <w:rFonts w:ascii="Times New Roman" w:hAnsi="Times New Roman" w:cs="Times New Roman"/>
    </w:rPr>
  </w:style>
  <w:style w:type="paragraph" w:styleId="Stopka">
    <w:name w:val="footer"/>
    <w:basedOn w:val="Normalny"/>
    <w:semiHidden/>
    <w:rsid w:val="00490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omylnaczcionkaakapitu"/>
    <w:rsid w:val="00490727"/>
    <w:rPr>
      <w:rFonts w:ascii="Times New Roman" w:hAnsi="Times New Roman" w:cs="Times New Roman"/>
    </w:rPr>
  </w:style>
  <w:style w:type="paragraph" w:customStyle="1" w:styleId="Akapitzlist2">
    <w:name w:val="Akapit z listą2"/>
    <w:basedOn w:val="Normalny"/>
    <w:rsid w:val="0056657B"/>
    <w:pPr>
      <w:ind w:left="720"/>
    </w:pPr>
  </w:style>
  <w:style w:type="paragraph" w:styleId="Akapitzlist">
    <w:name w:val="List Paragraph"/>
    <w:basedOn w:val="Normalny"/>
    <w:uiPriority w:val="34"/>
    <w:qFormat/>
    <w:rsid w:val="00DE08F9"/>
    <w:pPr>
      <w:ind w:left="720"/>
      <w:contextualSpacing/>
    </w:pPr>
    <w:rPr>
      <w:rFonts w:asciiTheme="minorHAnsi" w:eastAsiaTheme="minorEastAsia" w:hAnsiTheme="minorHAnsi" w:cstheme="minorBid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3442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WITU</Company>
  <LinksUpToDate>false</LinksUpToDate>
  <CharactersWithSpaces>24046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rafał</dc:creator>
  <cp:lastModifiedBy>Mieczysław Sienkiewicz</cp:lastModifiedBy>
  <cp:revision>14</cp:revision>
  <cp:lastPrinted>2016-05-12T10:17:00Z</cp:lastPrinted>
  <dcterms:created xsi:type="dcterms:W3CDTF">2018-12-03T07:42:00Z</dcterms:created>
  <dcterms:modified xsi:type="dcterms:W3CDTF">2026-04-28T07:33:00Z</dcterms:modified>
</cp:coreProperties>
</file>