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062" w:rsidRPr="00396120" w:rsidRDefault="00456062" w:rsidP="00456062">
      <w:pPr>
        <w:jc w:val="right"/>
        <w:rPr>
          <w:rFonts w:asciiTheme="minorHAnsi" w:hAnsiTheme="minorHAnsi" w:cstheme="minorHAnsi"/>
        </w:rPr>
      </w:pPr>
      <w:r w:rsidRPr="00396120">
        <w:rPr>
          <w:rFonts w:asciiTheme="minorHAnsi" w:hAnsiTheme="minorHAnsi" w:cstheme="minorHAnsi"/>
        </w:rPr>
        <w:t>Załącznik nr 4 do SWZ</w:t>
      </w:r>
    </w:p>
    <w:p w:rsidR="00456062" w:rsidRPr="00396120" w:rsidRDefault="00456062" w:rsidP="00456062">
      <w:pPr>
        <w:rPr>
          <w:rFonts w:asciiTheme="minorHAnsi" w:hAnsiTheme="minorHAnsi" w:cstheme="minorHAnsi"/>
        </w:rPr>
      </w:pPr>
    </w:p>
    <w:p w:rsidR="00456062" w:rsidRPr="00396120" w:rsidRDefault="00456062" w:rsidP="00456062">
      <w:pPr>
        <w:rPr>
          <w:rFonts w:asciiTheme="minorHAnsi" w:hAnsiTheme="minorHAnsi" w:cstheme="minorHAnsi"/>
          <w:b/>
        </w:rPr>
      </w:pPr>
      <w:r w:rsidRPr="00396120">
        <w:rPr>
          <w:rFonts w:asciiTheme="minorHAnsi" w:hAnsiTheme="minorHAnsi" w:cstheme="minorHAnsi"/>
          <w:b/>
        </w:rPr>
        <w:t>Znak postępowania</w:t>
      </w:r>
      <w:r w:rsidR="00BB518A">
        <w:rPr>
          <w:rFonts w:asciiTheme="minorHAnsi" w:hAnsiTheme="minorHAnsi" w:cstheme="minorHAnsi"/>
          <w:b/>
        </w:rPr>
        <w:t xml:space="preserve"> </w:t>
      </w:r>
      <w:r w:rsidRPr="00396120">
        <w:rPr>
          <w:rFonts w:asciiTheme="minorHAnsi" w:hAnsiTheme="minorHAnsi" w:cstheme="minorHAnsi"/>
          <w:b/>
        </w:rPr>
        <w:t>:</w:t>
      </w:r>
      <w:r w:rsidR="00071702">
        <w:rPr>
          <w:rFonts w:asciiTheme="minorHAnsi" w:hAnsiTheme="minorHAnsi" w:cstheme="minorHAnsi"/>
          <w:b/>
        </w:rPr>
        <w:t xml:space="preserve"> </w:t>
      </w:r>
      <w:r w:rsidR="00D063A9">
        <w:rPr>
          <w:rFonts w:asciiTheme="minorHAnsi" w:hAnsiTheme="minorHAnsi" w:cstheme="minorHAnsi"/>
          <w:b/>
        </w:rPr>
        <w:t>4</w:t>
      </w:r>
      <w:r w:rsidRPr="00396120">
        <w:rPr>
          <w:rFonts w:asciiTheme="minorHAnsi" w:hAnsiTheme="minorHAnsi" w:cstheme="minorHAnsi"/>
          <w:b/>
        </w:rPr>
        <w:t>/TP/SKO/202</w:t>
      </w:r>
      <w:r w:rsidR="00071702">
        <w:rPr>
          <w:rFonts w:asciiTheme="minorHAnsi" w:hAnsiTheme="minorHAnsi" w:cstheme="minorHAnsi"/>
          <w:b/>
        </w:rPr>
        <w:t>6</w:t>
      </w:r>
    </w:p>
    <w:p w:rsidR="00456062" w:rsidRPr="00396120" w:rsidRDefault="00456062" w:rsidP="00456062">
      <w:pPr>
        <w:rPr>
          <w:rFonts w:asciiTheme="minorHAnsi" w:hAnsiTheme="minorHAnsi" w:cstheme="minorHAnsi"/>
        </w:rPr>
      </w:pPr>
    </w:p>
    <w:p w:rsidR="00456062" w:rsidRPr="00396120" w:rsidRDefault="00456062" w:rsidP="00456062">
      <w:pPr>
        <w:rPr>
          <w:rFonts w:asciiTheme="minorHAnsi" w:hAnsiTheme="minorHAnsi" w:cstheme="minorHAnsi"/>
        </w:rPr>
      </w:pPr>
      <w:r w:rsidRPr="00396120">
        <w:rPr>
          <w:rFonts w:asciiTheme="minorHAnsi" w:hAnsiTheme="minorHAnsi" w:cstheme="minorHAnsi"/>
        </w:rPr>
        <w:t xml:space="preserve">Wykonawca: </w:t>
      </w:r>
    </w:p>
    <w:p w:rsidR="00456062" w:rsidRPr="00396120" w:rsidRDefault="00456062" w:rsidP="00456062">
      <w:pPr>
        <w:rPr>
          <w:rFonts w:asciiTheme="minorHAnsi" w:hAnsiTheme="minorHAnsi" w:cstheme="minorHAnsi"/>
        </w:rPr>
      </w:pPr>
    </w:p>
    <w:p w:rsidR="00456062" w:rsidRPr="00396120" w:rsidRDefault="00456062" w:rsidP="00456062">
      <w:pPr>
        <w:rPr>
          <w:rFonts w:asciiTheme="minorHAnsi" w:hAnsiTheme="minorHAnsi" w:cstheme="minorHAnsi"/>
        </w:rPr>
      </w:pPr>
      <w:r w:rsidRPr="00396120">
        <w:rPr>
          <w:rFonts w:asciiTheme="minorHAnsi" w:hAnsiTheme="minorHAnsi" w:cstheme="minorHAnsi"/>
        </w:rPr>
        <w:t>………………………..</w:t>
      </w:r>
    </w:p>
    <w:p w:rsidR="00456062" w:rsidRPr="00396120" w:rsidRDefault="00456062" w:rsidP="00456062">
      <w:pPr>
        <w:rPr>
          <w:rFonts w:asciiTheme="minorHAnsi" w:hAnsiTheme="minorHAnsi" w:cstheme="minorHAnsi"/>
        </w:rPr>
      </w:pPr>
    </w:p>
    <w:p w:rsidR="00456062" w:rsidRPr="00396120" w:rsidRDefault="00456062" w:rsidP="00456062">
      <w:pPr>
        <w:rPr>
          <w:rFonts w:asciiTheme="minorHAnsi" w:hAnsiTheme="minorHAnsi" w:cstheme="minorHAnsi"/>
        </w:rPr>
      </w:pPr>
    </w:p>
    <w:p w:rsidR="00456062" w:rsidRPr="00396120" w:rsidRDefault="00456062" w:rsidP="00456062">
      <w:pPr>
        <w:jc w:val="center"/>
        <w:rPr>
          <w:rFonts w:asciiTheme="minorHAnsi" w:hAnsiTheme="minorHAnsi" w:cstheme="minorHAnsi"/>
          <w:b/>
        </w:rPr>
      </w:pPr>
      <w:r w:rsidRPr="00396120">
        <w:rPr>
          <w:rFonts w:asciiTheme="minorHAnsi" w:hAnsiTheme="minorHAnsi" w:cstheme="minorHAnsi"/>
          <w:b/>
        </w:rPr>
        <w:t>Formularz rzeczowo – cenowy</w:t>
      </w:r>
    </w:p>
    <w:p w:rsidR="00456062" w:rsidRPr="00396120" w:rsidRDefault="00456062" w:rsidP="00456062">
      <w:pPr>
        <w:jc w:val="center"/>
        <w:rPr>
          <w:rFonts w:asciiTheme="minorHAnsi" w:hAnsiTheme="minorHAnsi" w:cstheme="minorHAnsi"/>
          <w:b/>
        </w:rPr>
      </w:pPr>
    </w:p>
    <w:p w:rsidR="00456062" w:rsidRDefault="00456062" w:rsidP="00456062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b/>
        </w:rPr>
      </w:pPr>
      <w:r w:rsidRPr="00396120">
        <w:rPr>
          <w:rFonts w:asciiTheme="minorHAnsi" w:hAnsiTheme="minorHAnsi" w:cstheme="minorHAnsi"/>
          <w:b/>
        </w:rPr>
        <w:t xml:space="preserve">Oferuję dostawę asortymentu za cenę i o cechach wskazanych poniżej: </w:t>
      </w:r>
    </w:p>
    <w:p w:rsidR="00D063A9" w:rsidRDefault="00D063A9" w:rsidP="00D063A9">
      <w:pPr>
        <w:rPr>
          <w:rFonts w:asciiTheme="minorHAnsi" w:hAnsiTheme="minorHAnsi" w:cstheme="minorHAnsi"/>
          <w:b/>
        </w:rPr>
      </w:pPr>
    </w:p>
    <w:tbl>
      <w:tblPr>
        <w:tblW w:w="14517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886"/>
        <w:gridCol w:w="35"/>
        <w:gridCol w:w="682"/>
        <w:gridCol w:w="37"/>
        <w:gridCol w:w="1079"/>
        <w:gridCol w:w="25"/>
        <w:gridCol w:w="1054"/>
        <w:gridCol w:w="23"/>
        <w:gridCol w:w="1055"/>
        <w:gridCol w:w="21"/>
        <w:gridCol w:w="3053"/>
      </w:tblGrid>
      <w:tr w:rsidR="00D063A9" w:rsidTr="00D063A9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1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Pr="00A21C46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C46">
              <w:rPr>
                <w:rFonts w:ascii="Arial" w:hAnsi="Arial" w:cs="Arial"/>
                <w:color w:val="000000"/>
                <w:sz w:val="18"/>
                <w:szCs w:val="18"/>
              </w:rPr>
              <w:t xml:space="preserve">Cena jednostkowa netto </w:t>
            </w:r>
          </w:p>
        </w:tc>
        <w:tc>
          <w:tcPr>
            <w:tcW w:w="1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Pr="00A21C46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C46">
              <w:rPr>
                <w:rFonts w:ascii="Arial" w:hAnsi="Arial" w:cs="Arial"/>
                <w:color w:val="000000"/>
                <w:sz w:val="18"/>
                <w:szCs w:val="18"/>
              </w:rPr>
              <w:t>Wartość netto</w:t>
            </w:r>
          </w:p>
        </w:tc>
        <w:tc>
          <w:tcPr>
            <w:tcW w:w="1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Pr="00A21C46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C46">
              <w:rPr>
                <w:rFonts w:ascii="Arial" w:hAnsi="Arial" w:cs="Arial"/>
                <w:color w:val="000000"/>
                <w:sz w:val="18"/>
                <w:szCs w:val="18"/>
              </w:rPr>
              <w:t>Wartość brutto</w:t>
            </w:r>
          </w:p>
        </w:tc>
        <w:tc>
          <w:tcPr>
            <w:tcW w:w="3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1C46">
              <w:rPr>
                <w:rFonts w:ascii="Arial" w:hAnsi="Arial" w:cs="Arial"/>
                <w:color w:val="000000"/>
                <w:sz w:val="18"/>
                <w:szCs w:val="18"/>
              </w:rPr>
              <w:t>Oferowany sprzęt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Część 1 Akcesoria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4574D3" w:rsidRDefault="00D063A9" w:rsidP="002B05B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Replikator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portów: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Interfejs: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co najmniej</w:t>
            </w: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USB-C 3.2 Gen2 (10 </w:t>
            </w:r>
            <w:proofErr w:type="spellStart"/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Gb</w:t>
            </w:r>
            <w:proofErr w:type="spellEnd"/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/s)</w:t>
            </w:r>
          </w:p>
          <w:p w:rsidR="00D063A9" w:rsidRPr="004574D3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Typ urządzenia: Aktywne </w:t>
            </w:r>
          </w:p>
          <w:p w:rsidR="00D063A9" w:rsidRPr="004574D3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Rodzaje wejść / wyjść:</w:t>
            </w:r>
          </w:p>
          <w:p w:rsidR="00D063A9" w:rsidRPr="004574D3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USB 3.2 Gen.2 Typ A </w:t>
            </w:r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(10 </w:t>
            </w:r>
            <w:proofErr w:type="spellStart"/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Gb</w:t>
            </w:r>
            <w:proofErr w:type="spellEnd"/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/s)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: ≥ 4</w:t>
            </w: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szt.</w:t>
            </w:r>
          </w:p>
          <w:p w:rsidR="00D063A9" w:rsidRPr="004574D3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USB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 Gen.2</w:t>
            </w: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Typ C </w:t>
            </w:r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(10 </w:t>
            </w:r>
            <w:proofErr w:type="spellStart"/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Gb</w:t>
            </w:r>
            <w:proofErr w:type="spellEnd"/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/s)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: ≥2</w:t>
            </w: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szt.</w:t>
            </w:r>
          </w:p>
          <w:p w:rsidR="00D063A9" w:rsidRPr="004574D3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Czytnik kart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pamięci: co najmniej</w:t>
            </w: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microSD</w:t>
            </w:r>
            <w:proofErr w:type="spellEnd"/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 SD i TF.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Dodatkowe informacje: co najmniej 2x </w:t>
            </w:r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Porty USB-C z ładowaniem 5V/3A (15W)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Wtyczka 2w1 – USB-A + USB-C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zabezpieczenie przed wysokim napięciem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r w:rsidRPr="00F8613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Plug and Play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w celu uzyskania </w:t>
            </w:r>
            <w:r w:rsidRPr="0029408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maksymaln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ej</w:t>
            </w:r>
            <w:r w:rsidRPr="0029408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moc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y</w:t>
            </w:r>
            <w:r w:rsidRPr="0029408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ładowania, urządzenie należy podłączyć do zewnętrznej ładowarki sieciowej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Materiał obudowy co najmniej : Aluminium</w:t>
            </w:r>
          </w:p>
          <w:p w:rsidR="00D063A9" w:rsidRPr="004574D3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lastRenderedPageBreak/>
              <w:t>Długość przewodu: ≥ 1m</w:t>
            </w:r>
          </w:p>
          <w:p w:rsidR="00D063A9" w:rsidRPr="004574D3" w:rsidRDefault="00D063A9" w:rsidP="002B05B6">
            <w:pPr>
              <w:spacing w:line="276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Kolor co najmniej: Szary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574D3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Kompatybilność co najmniej: </w:t>
            </w:r>
            <w:proofErr w:type="spellStart"/>
            <w:r w:rsidRPr="00030E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macOS</w:t>
            </w:r>
            <w:proofErr w:type="spellEnd"/>
            <w:r w:rsidRPr="00030EA0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 iOS, Windows, Linux, Android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RAZEM część 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Część 2</w:t>
            </w: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Desktop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Procesor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Wydajność w teście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Passmark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z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 kwietnia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 roku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nie mniej niż 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pkt. dla oferowanej konfiguracji (fragment dostępny na końcu niniejszego załącznika).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Dostawca przedstawi wynik testu dla oferowanej konfiguracji, dla programu testującego oraz konfiguracji sprzętowo/programowej aktualnej w dniu składania oferty.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Gniazdo procesora zgodne z płytą główną (pkt.2)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Liczba rdzeni: ≥6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Częstotliwość taktowania procesora[GHz] : ≥4.3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Architektura [bit]: ≥64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Pamięć podręczna L3: ≥16 MB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Proces technologiczny [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nm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]: ≤4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TDP: ≤65 W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Załączone chłodzenie: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Zintegrowana </w:t>
            </w:r>
            <w:r w:rsidRPr="00D850C9">
              <w:rPr>
                <w:rFonts w:ascii="Arial" w:hAnsi="Arial" w:cs="Arial"/>
                <w:color w:val="000000"/>
                <w:sz w:val="18"/>
                <w:szCs w:val="18"/>
              </w:rPr>
              <w:t>układ graficzny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Wersja procesora: BOX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>Płyta Główna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Rodzaj gniazda procesora: zgodna z procesorem - patrz pkt. 1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Dwukanałowa architektura pamięci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Typ gniazd pamięci: DDR5, 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obsłu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giwana częstotliwość pamięci: 80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00MHz(O.C.)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Ilość banków pamięci: ≥4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Maksymalna ilość pamięci [GB]: ≥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256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Wewnętrzne złącza wyjść / wejść co najmniej: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SATA 6Gb/s: ≥4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PCIe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4.0  x16 : ≥1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PCIe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x1: ≥1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G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niazdo M.2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 ≥1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co najmniej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obsługa nośników pamięci typu 2242/2260/2280 (tryb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co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najmniej PCIE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ver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4.0 x4)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USB 2.0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USB 3.2 Gen 1: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Złącze ATX 24-pin 12V ≥1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Złącze ATX 8-pin 12V ≥1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Złącze audio panelu przedniego (AAFP) ≥1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Złącze CPU FAN 4-pin ≥1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Złącze przedniego panelu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Złącze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LED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≥3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Złącze SYS FAN 4-pin ≥2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Złącze TPM ≥1 szt.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Złącza wyjść / wejść na tylnym panelu co najmniej: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VGA: ≥ x1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HDMI:≥ x1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049EF">
              <w:rPr>
                <w:rFonts w:ascii="Arial" w:hAnsi="Arial" w:cs="Arial"/>
                <w:color w:val="000000"/>
                <w:sz w:val="18"/>
                <w:szCs w:val="18"/>
              </w:rPr>
              <w:t>DisplayPort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:≥ x1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PS2  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RJ-45≥ x1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049EF">
              <w:rPr>
                <w:rFonts w:ascii="Arial" w:hAnsi="Arial" w:cs="Arial"/>
                <w:color w:val="000000"/>
                <w:sz w:val="18"/>
                <w:szCs w:val="18"/>
              </w:rPr>
              <w:t>USB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Typu-C</w:t>
            </w:r>
            <w:r w:rsidRPr="00B049EF">
              <w:rPr>
                <w:rFonts w:ascii="Arial" w:hAnsi="Arial" w:cs="Arial"/>
                <w:color w:val="000000"/>
                <w:sz w:val="18"/>
                <w:szCs w:val="18"/>
              </w:rPr>
              <w:t xml:space="preserve"> 3.2 Gen 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≥ x1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USB 3.2 gen 1 ≥x1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USB 2.0/1.1 ≥x4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złącze audio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jack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≥ 3x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Format: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ab/>
              <w:t>Micro ATX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Obsługa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Raid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0, 1, 10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Wspierane systemy operacyjne: co najmniej Windows 10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Kondensatory stałe/polimerowe, płyta główna musi posiadać mechanizm zabezpieczający zapewniający bezprzerwową pracę w przypadku uszkodzenia pojedynczego układu EEPROM lub systemu BIOS/UEFI.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Obudowa 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Obsługiwany format płyty głównej: co najmniej ATX, Micro ATX, ITX 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Miejsca montażowe 2.5’’ :≥4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Miejsca montażowe 3,5'' :≥1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Kolor: Czarny lub grafitowy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Sloty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rozszerzeń:≥ 7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Złącza na przednim panelu: USB2.0 ≥2x, USB3.0 ≥1x, Audio ≥2x, 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System chłodzenia co najmniej : Panel tylny≥1x120mm wentylator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Maksymalna długość karty graficznej: ≥345 mm 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Miejsce montażu zasilacza: góra obudowy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Zasilacz patrz pkt. 4.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4.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>Zasilacz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Moc znamionowa (W): ≥65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Okablowanie modularne: Tak;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Napięcie (V) zasilające: co najmniej 100 - 240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Częstotliwość (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Hz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): 50/60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Rozmiar wentylatora (mm): ≥120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Aktywne PFC: Tak;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Zabezpieczenia: co najmniej OCP, OVP, UVP, SCP, OTP, OPP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Certyfikat 80PLUS: co najmniej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Srebrny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Sprawność: ≥90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% (przy 50% obciążenia)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Złącza: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Zasilanie płyty głównej ATX(20+4 pin): ≥1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EPS/ATX 4+4 pin: 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PCI-E 6+2 pin: ≥2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SATA 15-pin:≥5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MOLEX 4-pin: ≥3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MTTF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: 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1171BE">
              <w:rPr>
                <w:rFonts w:ascii="Arial" w:hAnsi="Arial" w:cs="Arial"/>
                <w:color w:val="000000"/>
                <w:sz w:val="18"/>
                <w:szCs w:val="18"/>
              </w:rPr>
              <w:t>100,000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h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Gwarancja (lata): ≥ 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5.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>Dysk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Interfejs: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PCIe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Gen 4.0 x4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Rodzaj Dysku: SSD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NVMe</w:t>
            </w:r>
            <w:proofErr w:type="spellEnd"/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Format: ≤ M2.2280 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Pojemność: 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TB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Wydajność: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odczyt: ≥3500MB/s+/-10%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zapis: ≥27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00MB/s+/-10%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Zastosowane technologie: co najmniej S.M.A.R.T. inne równoważne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Gwarancja: ≥3 lat ograniczonej gwarancji</w:t>
            </w:r>
          </w:p>
          <w:p w:rsidR="00D063A9" w:rsidRPr="001C178B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TBW ≥56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Gwarancja (lata): ≥ 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6.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>Pamięć RAM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Rodzaj pamięci: Zgodne z płytą główną (pkt.2).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Pojemność pojedynczej pamięci: ≥8GB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Liczba pamięci w zestawie: 2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Radiator: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Częstotliwość szyny pamięci: ≥56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00 MHz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Opóźnienie (CAS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Latency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): CL36 lub szybsze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Całkowita ilość pamięci: 16GB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7.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>Karta graficzna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Wydajność w teście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Passmark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z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kwietnia 2026 roku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nie mniej niż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82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0 pkt. dla oferowanej konfiguracji(fragment dostępny na końcu niniejszego załącznika.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Dostawca przedstawi wynik testu dla oferowanej konfiguracji, dla programu testującego oraz konfiguracji sprzętowo/programowej aktualnej w dniu składania oferty.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Rdzenie CUDA: ≥ 3840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Pamięć wideo: ≥8 GB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Typ Pamięci: GDDR7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Szyna pamięci:≥128-bit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Wyjścia wideo: ≥ 3x DP o standardzie co najmniej 2.1b, 1x HDMI 2.1b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Obsługa wielu ekranów: Tak co najmniej: 4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DirectX: co najmniej 12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OpenGL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: co najmniej 4.6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Złącza zasilania co najmniej: 8-pin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Karta graficzna nie może kolidować z Chłodzeniem CPU ani Pamięciami RAM w dowolnej konfiguracji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Obsługiwane systemy operacyjne: co najmniej Windows 10/11 lub inne równoważne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b/>
                <w:color w:val="000000"/>
                <w:sz w:val="18"/>
                <w:szCs w:val="18"/>
              </w:rPr>
              <w:t>System operacyjny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kopiowanie woluminów w tle (VSS),obsługa system plików NTFS, IMAPI v2, zapisywalny UDFS, wsparcie łączy symbolicznych, skalowanie 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okna TCP, wykorzystanie GPU do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renderowania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GUI, menedżer transakcji w jądrze, obsługiwanie natywne IPv6, architektura audio UAA,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rozpozawanie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mowy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obsługa algorytmów szyfrujących: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Aktualizacje Systemu dostarczane przez producenta: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Zdalny ekran: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Funkcja zapewnia przejścia pomiędzy trybami pracy interfejsu na laptopach i tabletach z dokowaną klawiaturą: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Zdalny dostęp: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Obsługa Pamięci RAM: ≥2TB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Okna programów mogą być dzielone na ćwiartki ekranu poprzez przeciąganie ich do rogów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Wiersz poleceń oferujący takie funkcje jak zaznaczanie tekstu wyjściowego i możliwość używania standardowych skrótów klawiszowy takich jak wycinanie, kopiowanie, wklejanie przez użycie skrótów klawiszowych.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Możliwość podłączania się do domeny: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Wersja systemu 64 Bit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Wersja językowa: PL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Wersja: przynajmniej OEM.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RAZEM Część 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część 3 Drukarka 3D z akcesoriami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Pr="004D7369" w:rsidRDefault="00D063A9" w:rsidP="002B05B6">
            <w:pPr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Drukarka 3D: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Płyta główna co najmniej: własna, 32-bitowa elektronika z STM32</w:t>
            </w:r>
          </w:p>
          <w:p w:rsidR="00D063A9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Silniki krokowe co najmniej: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Trinamic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2130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, silniki krokowe: 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1.8° 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61391A">
              <w:rPr>
                <w:rFonts w:ascii="Arial" w:hAnsi="Arial" w:cs="Arial"/>
                <w:sz w:val="18"/>
                <w:szCs w:val="18"/>
                <w:lang w:eastAsia="en-US"/>
              </w:rPr>
              <w:t>Kinematyka drukarki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co najmniej: </w:t>
            </w:r>
            <w:proofErr w:type="spellStart"/>
            <w:r w:rsidRPr="0061391A">
              <w:rPr>
                <w:rFonts w:ascii="Arial" w:hAnsi="Arial" w:cs="Arial"/>
                <w:sz w:val="18"/>
                <w:szCs w:val="18"/>
                <w:lang w:eastAsia="en-US"/>
              </w:rPr>
              <w:t>Core</w:t>
            </w:r>
            <w:proofErr w:type="spellEnd"/>
            <w:r w:rsidRPr="0061391A">
              <w:rPr>
                <w:rFonts w:ascii="Arial" w:hAnsi="Arial" w:cs="Arial"/>
                <w:sz w:val="18"/>
                <w:szCs w:val="18"/>
                <w:lang w:eastAsia="en-US"/>
              </w:rPr>
              <w:t xml:space="preserve"> XY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Ekstruder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co najmniej: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Nextruder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, Direct Drive, kompatybilny z E3D V6 (z adapterem)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Elektronika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ekstrudera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co najmniej: niestandardowa płytka pomocnicza do podłączenia wentylatorów, termistorów i innych komponentów.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Druk wielomateriałowy: Tak co najmniej druk wielomateriałowy z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co najmniej pięcioma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niezależnymi głowicami narzędziowymi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Zaawansowany system filtracji: Tak co najmniej zintegrowany z obudową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Ścieżka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filamentu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co najmniej: Aluminiowy radiator, całkowicie metalowy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hotend</w:t>
            </w:r>
            <w:proofErr w:type="spellEnd"/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System podawania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filamentu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co najmniej: system przekładni planetarnych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Nextruder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, przełożenie 10:1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Maksymalna temperatura dyszy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290 °C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Maksymalna temperatura stołu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120°C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Ekran LCD: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3,5″ graficzny ekran z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65 000 kolorów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Kamera: Tak opcjonalnie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Nośnik plików do druku co najmniej: Pamięć USB, LAN, dedykowana aplikacja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Czujniki co najmniej: Czujnik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filamentu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, czujnik tensometryczny, Power Panic, 4 termistory o wysokiej precyzji, monitorowanie obrotów silników wentylatorów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Powierzchnia druku co najmniej: segmentowy stół grzewczy z 16 indywidualnie sterowanymi kafelkami, zdejmowane magnetyczne płyty stalowe o różnym pokryciu powierzchni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Kalibracja stołu co najmniej: Automatyczna, poziomowanie na podstawie siatki (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Mesh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Bed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Leveling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) - tylko w obszarze druku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Odzyskiwanie wydruku po utracie zasilania: Tak co najmniej sprzętowy system odzyskiwania wydruku po utracie zasilania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Obsługiwane materiały co najmniej: PLA, PETG,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Flex</w:t>
            </w:r>
            <w:proofErr w:type="spellEnd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, PVA, PC, PP, CPE, PVB, ABS, ASA, HIPS, PA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Przestrzeń robocza: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≥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360×360×360 mm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Średnica </w:t>
            </w:r>
            <w:proofErr w:type="spellStart"/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filamentu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bo najmniej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: 1.75 mm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Wysokość warstwy: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0.05-0.30 mm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Wymiary drukarki (bez szpuli)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ab/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Waga: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34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 kg 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Wymiary: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700 mm (Szerokość) ×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900 mm (Wysokość) ×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720 mm (Głębokość), wliczając w to boczne uchwyty na szpule i oddzielną górną pokrywę obudowy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Parametry techniczne obudowy: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Wymiary po zamontowaniu na drukarce: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700 mm (Szerokość) ×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900 mm (Wysokość) ×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720 mm (Głębokość)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Rodzaj obudowy co najmniej: pasywna, ogrzewanie zapewniane wyłącznie przez stół grzewczy drukarki 3D.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Waga: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16 kg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Montaż: Bezpośrednio na drukarce, szybki demontaż w razie potrzeby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Zaawansowany system filtracji: Tak co najmniej z filtrem HEPA oraz zapobiegający rozprzestrzenianiu się ultra drobnych cząstek (UFPS)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>W przypadku materiałów, które nie wytwarzają wielu cząstek i zapachów (np. PLA i PETG), filtracja nie jest używana dla przedłużenia żywotności filtra HEPA, ale można ją aktywować ręcznie.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Monitorowanie zużycia filtra HEPA: Tak co najmniej drukarka monitoruje zużycie filtra HEPA i powiadamia o konieczności jego wymiany.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Zasilanie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Zasilacz: </w:t>
            </w:r>
            <w:r w:rsidRPr="00457BE5">
              <w:rPr>
                <w:rFonts w:ascii="Arial" w:hAnsi="Arial" w:cs="Arial"/>
                <w:sz w:val="18"/>
                <w:szCs w:val="18"/>
                <w:lang w:eastAsia="en-US"/>
              </w:rPr>
              <w:t>≥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240W, z funkcją Power Panic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Średni pobór mocy w trybie gotowości: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80W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Średni pobór mocy podczas nagrzewania przed kalibracją: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550W</w:t>
            </w:r>
          </w:p>
          <w:p w:rsidR="00D063A9" w:rsidRPr="007A0335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Średni pobór mocy podczas drukowania: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235W</w:t>
            </w:r>
          </w:p>
          <w:p w:rsidR="00D063A9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W zestawie co najmniej: 1x Drukarka 3D z pięcioma głowicami narzędziowymi, 1x dedykowana obudowa do drukarki 3D, 3x arkusz do druku co najmniej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1x 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PEI,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1x 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 xml:space="preserve">TXT,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1x </w:t>
            </w: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SAT</w:t>
            </w:r>
          </w:p>
          <w:p w:rsidR="00D063A9" w:rsidRPr="004D7369" w:rsidRDefault="00D063A9" w:rsidP="002B05B6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7A0335">
              <w:rPr>
                <w:rFonts w:ascii="Arial" w:hAnsi="Arial" w:cs="Arial"/>
                <w:sz w:val="18"/>
                <w:szCs w:val="18"/>
                <w:lang w:eastAsia="en-US"/>
              </w:rPr>
              <w:t>Drukarka 3D ma być dostarczona złożona, gotowa do pracy od razu po wyjęciu z opakow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ania.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2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Dysza: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Średnica: </w:t>
            </w:r>
            <w:r w:rsidRPr="00D653F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0.4 mm</w:t>
            </w:r>
          </w:p>
          <w:p w:rsidR="00D063A9" w:rsidRPr="00D653F8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05CB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Średnica wejściowa: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105CB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1,75 mm</w:t>
            </w:r>
          </w:p>
          <w:p w:rsidR="00D063A9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Maksymalna temperatura pracy:</w:t>
            </w:r>
            <w:r w:rsidRPr="006A090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6A090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300°C</w:t>
            </w:r>
          </w:p>
          <w:p w:rsidR="00D063A9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Odporność na ścieranie: Tak</w:t>
            </w:r>
          </w:p>
          <w:p w:rsidR="00D063A9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Przeznaczenie dyszy co najmniej: drukowanie materiałami ściernymi</w:t>
            </w:r>
          </w:p>
          <w:p w:rsidR="00D063A9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Wykonanie dyszy co najmniej: stal hartowana </w:t>
            </w:r>
            <w:r w:rsidRPr="00105CB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z powłoką odporną na korozję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</w:t>
            </w:r>
          </w:p>
          <w:p w:rsidR="00D063A9" w:rsidRPr="006A0900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Wymagana kompatybilność z drukarką 3D pkt.1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Dysza: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Średnica: </w:t>
            </w:r>
            <w:r w:rsidRPr="00D653F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0.4 mm</w:t>
            </w:r>
          </w:p>
          <w:p w:rsidR="00D063A9" w:rsidRPr="00D653F8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05CB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Średnica wejściowa: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105CB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1,75 mm</w:t>
            </w:r>
          </w:p>
          <w:p w:rsidR="00D063A9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Maksymalna temperatura pracy:</w:t>
            </w:r>
            <w:r w:rsidRPr="006A090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6A090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300°C</w:t>
            </w:r>
          </w:p>
          <w:p w:rsidR="00D063A9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Odporność na ścieranie: Tak</w:t>
            </w:r>
          </w:p>
          <w:p w:rsidR="00D063A9" w:rsidRDefault="00D063A9" w:rsidP="002B05B6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Przeznaczenie dyszy co najmniej: d</w:t>
            </w:r>
            <w:r w:rsidRPr="00105CB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 pracy przy wysokim przepływie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drukowanie materiałami ściernymi 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Dysza jest wyposażona</w:t>
            </w:r>
            <w:r w:rsidRPr="00105CB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w całkowicie metalową prowadnicę </w:t>
            </w:r>
            <w:proofErr w:type="spellStart"/>
            <w:r w:rsidRPr="00105CB0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filamentu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Dysza posiada zwiększoną powierzchnię</w:t>
            </w:r>
            <w:r w:rsidRPr="003C53D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kontaktu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 celu </w:t>
            </w:r>
            <w:r w:rsidRPr="003C53D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efektywnego transferu ciepła i wyższego przepływu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filamentu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.</w:t>
            </w:r>
          </w:p>
          <w:p w:rsidR="00D063A9" w:rsidRPr="00D653F8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Wymagana kompatybilność z drukarką 3D pkt.1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 xml:space="preserve">Suszarka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filamentu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 xml:space="preserve">Maksymalna ilość szpul: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4 szpule o masie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 kg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Kompatybilne średnice </w:t>
            </w:r>
            <w:proofErr w:type="spellStart"/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filamentów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1,75 mm, 2,85 mm i 3 mm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Obsługiwane </w:t>
            </w:r>
            <w:proofErr w:type="spellStart"/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filamenty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PLA, ABS, PETG, TPU, PA, PC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Temperatura suszenia: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70°C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Czas nagrzewania (do 50°C):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30 minut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Czas nagrzewania (do 70°C):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50 minut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Wbudowane wentylatory co najmniej: </w:t>
            </w:r>
            <w:r w:rsidRPr="00232FB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x obiegowe oraz</w:t>
            </w:r>
            <w:r w:rsidRPr="00232FB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x</w:t>
            </w:r>
            <w:r w:rsidRPr="00232FB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termowentylator</w:t>
            </w:r>
          </w:p>
          <w:p w:rsidR="00D063A9" w:rsidRPr="00460D5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60D5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Wyświetlacz urządzenia co najmniej: Ekran dotykowy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60D5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Wyświetlanie stanu pracy co najmniej: Lampa pierścieniowa LED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42D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Automatyczna kontrola wilgotności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tak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Napięcie wejściowe: od 100 V do 240 V AC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Kolor: czarny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Wymiary: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460 mm 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220 mm 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315 mm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B42D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Waga urządzenia: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B42D94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5,5 kg</w:t>
            </w:r>
          </w:p>
          <w:p w:rsidR="00D063A9" w:rsidRPr="00796385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Zawartość zestawu co najmniej: Suszarka </w:t>
            </w:r>
            <w:proofErr w:type="spellStart"/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Filamentu</w:t>
            </w:r>
            <w:proofErr w:type="spellEnd"/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</w:t>
            </w:r>
            <w:r w:rsidRPr="00A57C7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x wąż </w:t>
            </w:r>
            <w:r w:rsidRPr="00460D5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PTFE</w:t>
            </w:r>
            <w:r w:rsidRPr="00A57C7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(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A57C7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100 cm)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</w:t>
            </w:r>
            <w:r w:rsidRPr="00A57C7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x rurka </w:t>
            </w:r>
            <w:r w:rsidRPr="00460D5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PTFE </w:t>
            </w:r>
            <w:r w:rsidRPr="00A57C7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(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A57C7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8 cm)</w:t>
            </w:r>
            <w:r w:rsidRPr="00796385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 Zasilacz, Instrukcja obsługi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 xml:space="preserve">Suszarka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filamentu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: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Urządzenie obsługuje </w:t>
            </w:r>
            <w:proofErr w:type="spellStart"/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filamenty</w:t>
            </w:r>
            <w:proofErr w:type="spellEnd"/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o średnicy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1,75 mm oraz 2,85 mm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Kompatybilne typy </w:t>
            </w:r>
            <w:proofErr w:type="spellStart"/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filamentów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PLA, PLA+, Wood, PETG, PVB, ABS, HIPS, PVA, ASA, TPU, PMMA, PA, PC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Maksymalne wymiary kompatybilnych szpul: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210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mm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x 85 mm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Zakres temperatury suszenia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od 35°C do 70°C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Wyświetlacz LCD: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6,4''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Wbudowane tryby pracy co najmniej: </w:t>
            </w:r>
            <w:proofErr w:type="spellStart"/>
            <w:r w:rsidRPr="00EE431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timer</w:t>
            </w:r>
            <w:proofErr w:type="spellEnd"/>
            <w:r w:rsidRPr="00EE4312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 tryb stand-by, czasowy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Kolor obudowy: czarny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Wymiary: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265 mm 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120 mm 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275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mm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Masa: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980 g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Napięcie zasilania (wyjściowe):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24 V (+/- 1,2 V) / 2 A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Maksymalne natężenie prądu: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1,9 A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Maksymalna moc robocza: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48 W</w:t>
            </w:r>
          </w:p>
          <w:p w:rsidR="00D063A9" w:rsidRPr="00D953DD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Zawartość zestawu: Suszarka </w:t>
            </w:r>
            <w:proofErr w:type="spellStart"/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filamentu</w:t>
            </w:r>
            <w:proofErr w:type="spellEnd"/>
            <w:r w:rsidRPr="00D953DD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 Zasilacz, Ulotka informacyjna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Skaner 3D: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Obsługiwane typy plików co najmniej: STL, OBJ, PLY, 3MF, ASC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Rozdzielczość kamery: 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3D: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2x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2MP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A30641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Rozdzielczość kamery tekstury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2.3 MP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Obszar skanowania: 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Laser HD: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10x10x10 mm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IR </w:t>
            </w:r>
            <w:proofErr w:type="spellStart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Rapid</w:t>
            </w:r>
            <w:proofErr w:type="spellEnd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50x50x50 mm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Zasilanie: Bateria: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1x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5500mA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bsługuje ładowarkę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najmniej: 60W 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PD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3.0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Praca na zewnątrz</w:t>
            </w:r>
            <w:r w:rsidRPr="00496DD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(maks. światło)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Laser HD: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110 000 luksów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IR </w:t>
            </w:r>
            <w:proofErr w:type="spellStart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Rapid</w:t>
            </w:r>
            <w:proofErr w:type="spellEnd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70 000 luksów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Tryb sk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anowania co najmniej: Laser HD,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IR </w:t>
            </w:r>
            <w:proofErr w:type="spellStart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Rapid</w:t>
            </w:r>
            <w:proofErr w:type="spellEnd"/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Szybkość skanowania: 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Laser HD: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2 500 000 punktów/s 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IR </w:t>
            </w:r>
            <w:proofErr w:type="spellStart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Rapid</w:t>
            </w:r>
            <w:proofErr w:type="spellEnd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1 440 000 punktów/s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Rozdzielczość: 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Tryb Laser HD: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0,05 ~ 10 mm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Tryb IR </w:t>
            </w:r>
            <w:proofErr w:type="spellStart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Rapid</w:t>
            </w:r>
            <w:proofErr w:type="spellEnd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0,2 ~ 10 mm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Źródło światła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17 równoległych linii niebieskiego lasera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IR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najmniej: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VCSEL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Pole wi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dzenia: 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Laser HD: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490 × 580 mm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IR </w:t>
            </w:r>
            <w:proofErr w:type="spellStart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Rapid</w:t>
            </w:r>
            <w:proofErr w:type="spellEnd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1170 × 1385 mm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Odległość robocza: </w:t>
            </w:r>
          </w:p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Laser HD: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00 ~ 600 mm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IR </w:t>
            </w:r>
            <w:proofErr w:type="spellStart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Rapid</w:t>
            </w:r>
            <w:proofErr w:type="spellEnd"/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: </w:t>
            </w:r>
            <w:r w:rsidRPr="00806F38">
              <w:rPr>
                <w:rFonts w:ascii="Arial" w:hAnsi="Arial" w:cs="Arial"/>
                <w:color w:val="000000"/>
                <w:sz w:val="18"/>
                <w:szCs w:val="18"/>
              </w:rPr>
              <w:t>≥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160 ~ 1400 mm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Klasa lasera co najmniej: Klasa 2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Tryby dopasowania co najmniej: Markery / Globalne markery / Cechy / Tekstura / Hybryda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Interfejs co najmniej: USB typu C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Skanowanie na zewnątrz: Tak</w:t>
            </w:r>
          </w:p>
          <w:p w:rsidR="00D063A9" w:rsidRPr="001C178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 xml:space="preserve">Wymagania sprzętowe dla PC nie mniejsze niż: System: Windows 11 Professional 22H2 (64-bit), Karta graficzna: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Wydajność w teście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Passmark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z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kwietnia 2026 roku nie mniej niż 13120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pkt.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Rdzenie CUDA: ≥ 3840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Pamięć wideo: ≥6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GB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Typ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Pamięci co najmniej: GDDR6, Szyna pamięci:≥192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-bit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DirectX: co najmniej 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O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penGL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: co najmniej 4.6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, Pamięć RAM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32 GB, DDR5 dual-channel,  Interfejs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co najmniej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: USB 3.0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Procesor: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Wydajność w teście 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Passmark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z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27 kwietnia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 roku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nie mniej niż 25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990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pkt.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Liczba rdzeni: ≥ 14, </w:t>
            </w:r>
            <w:r w:rsidRPr="00770394">
              <w:rPr>
                <w:rFonts w:ascii="Arial" w:hAnsi="Arial" w:cs="Arial"/>
                <w:color w:val="000000"/>
                <w:sz w:val="18"/>
                <w:szCs w:val="18"/>
              </w:rPr>
              <w:t>Liczba wątków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 ≥20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Częstotliwość taktowania procesora[GHz] : ≥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5,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Architektura [bit]: ≥64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Pamięć podręczna L3: ≥24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 xml:space="preserve"> MB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Proces technologiczny [</w:t>
            </w:r>
            <w:proofErr w:type="spellStart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nm</w:t>
            </w:r>
            <w:proofErr w:type="spellEnd"/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]: ≤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10, TDP: ≤4</w:t>
            </w:r>
            <w:r w:rsidRPr="001C178B">
              <w:rPr>
                <w:rFonts w:ascii="Arial" w:hAnsi="Arial" w:cs="Arial"/>
                <w:color w:val="000000"/>
                <w:sz w:val="18"/>
                <w:szCs w:val="18"/>
              </w:rPr>
              <w:t>5 W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Waga: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420g</w:t>
            </w:r>
          </w:p>
          <w:p w:rsidR="00D063A9" w:rsidRPr="007274AB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Wymiary: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130 mm 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40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mm 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5</w:t>
            </w:r>
            <w:r w:rsidRPr="007274AB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mm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1szt.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*)</w:t>
            </w:r>
          </w:p>
        </w:tc>
      </w:tr>
      <w:tr w:rsidR="00D063A9" w:rsidTr="002B05B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6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RAZEM część 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D063A9" w:rsidRDefault="00D063A9" w:rsidP="002B05B6">
            <w:pPr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B819C3" w:rsidRDefault="00D063A9" w:rsidP="00D063A9">
      <w:pPr>
        <w:tabs>
          <w:tab w:val="left" w:pos="2145"/>
        </w:tabs>
      </w:pPr>
      <w:r>
        <w:tab/>
      </w:r>
      <w:r>
        <w:tab/>
      </w:r>
      <w:r>
        <w:tab/>
      </w: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B819C3" w:rsidRDefault="00B819C3" w:rsidP="00D063A9">
      <w:pPr>
        <w:tabs>
          <w:tab w:val="left" w:pos="2145"/>
        </w:tabs>
      </w:pPr>
    </w:p>
    <w:p w:rsidR="00D063A9" w:rsidRDefault="00D063A9" w:rsidP="00D063A9">
      <w:pPr>
        <w:tabs>
          <w:tab w:val="left" w:pos="2145"/>
        </w:tabs>
      </w:pPr>
      <w:r>
        <w:lastRenderedPageBreak/>
        <w:t>CPU cz.2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GPU cz.2</w:t>
      </w:r>
    </w:p>
    <w:p w:rsidR="00D063A9" w:rsidRDefault="00D063A9" w:rsidP="00D063A9">
      <w:pPr>
        <w:tabs>
          <w:tab w:val="left" w:pos="2145"/>
        </w:tabs>
      </w:pPr>
    </w:p>
    <w:p w:rsidR="00D063A9" w:rsidRDefault="00D063A9" w:rsidP="00D063A9">
      <w:pPr>
        <w:tabs>
          <w:tab w:val="left" w:pos="2145"/>
        </w:tabs>
      </w:pPr>
      <w:r>
        <w:t xml:space="preserve">               </w:t>
      </w:r>
      <w:r>
        <w:rPr>
          <w:noProof/>
        </w:rPr>
        <w:drawing>
          <wp:inline distT="0" distB="0" distL="0" distR="0" wp14:anchorId="0D4BDB21" wp14:editId="32224792">
            <wp:extent cx="2786743" cy="3244127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PU cz.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2378" cy="3273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 wp14:anchorId="682089EC" wp14:editId="4358136D">
            <wp:extent cx="2568314" cy="3167743"/>
            <wp:effectExtent l="0" t="0" r="3810" b="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PU cz.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1856" cy="322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3A9" w:rsidRDefault="00D063A9" w:rsidP="00D063A9">
      <w:pPr>
        <w:ind w:firstLine="283"/>
      </w:pPr>
    </w:p>
    <w:p w:rsidR="00B819C3" w:rsidRDefault="00B819C3" w:rsidP="00D063A9">
      <w:pPr>
        <w:ind w:firstLine="283"/>
      </w:pPr>
    </w:p>
    <w:p w:rsidR="00B819C3" w:rsidRDefault="00B819C3" w:rsidP="00D063A9">
      <w:pPr>
        <w:ind w:firstLine="283"/>
      </w:pPr>
    </w:p>
    <w:p w:rsidR="00B819C3" w:rsidRDefault="00B819C3" w:rsidP="00D063A9">
      <w:pPr>
        <w:ind w:firstLine="283"/>
      </w:pPr>
    </w:p>
    <w:p w:rsidR="00B819C3" w:rsidRDefault="00B819C3" w:rsidP="00D063A9">
      <w:pPr>
        <w:ind w:firstLine="283"/>
      </w:pPr>
    </w:p>
    <w:p w:rsidR="00B819C3" w:rsidRDefault="00B819C3" w:rsidP="00D063A9">
      <w:pPr>
        <w:ind w:firstLine="283"/>
      </w:pPr>
    </w:p>
    <w:p w:rsidR="00B819C3" w:rsidRDefault="00B819C3" w:rsidP="00D063A9">
      <w:pPr>
        <w:ind w:firstLine="283"/>
      </w:pPr>
      <w:bookmarkStart w:id="0" w:name="_GoBack"/>
      <w:bookmarkEnd w:id="0"/>
    </w:p>
    <w:p w:rsidR="00D063A9" w:rsidRDefault="00D063A9" w:rsidP="00D063A9">
      <w:pPr>
        <w:pStyle w:val="pkt"/>
        <w:numPr>
          <w:ilvl w:val="0"/>
          <w:numId w:val="2"/>
        </w:numPr>
        <w:spacing w:before="0" w:after="0"/>
      </w:pPr>
      <w:r>
        <w:rPr>
          <w:rFonts w:ascii="Arial Narrow" w:hAnsi="Arial Narrow" w:cs="Arial Narrow"/>
          <w:b/>
          <w:bCs/>
          <w:sz w:val="22"/>
          <w:szCs w:val="22"/>
        </w:rPr>
        <w:lastRenderedPageBreak/>
        <w:t>OPIS PRZEDMIOTU  ZAMÓWIENIA</w:t>
      </w:r>
    </w:p>
    <w:p w:rsidR="00D063A9" w:rsidRDefault="00D063A9" w:rsidP="00D063A9">
      <w:pPr>
        <w:pStyle w:val="pkt"/>
        <w:numPr>
          <w:ilvl w:val="1"/>
          <w:numId w:val="1"/>
        </w:numPr>
        <w:spacing w:before="0" w:after="0"/>
        <w:jc w:val="left"/>
      </w:pPr>
      <w:r>
        <w:rPr>
          <w:rFonts w:ascii="Arial Narrow" w:hAnsi="Arial Narrow" w:cs="Arial Narrow"/>
          <w:sz w:val="22"/>
          <w:szCs w:val="22"/>
        </w:rPr>
        <w:t>Przedmiotem zamówienia jest dostawa sprzętu komputerowego i oprogramowania</w:t>
      </w:r>
    </w:p>
    <w:p w:rsidR="00D063A9" w:rsidRDefault="00D063A9" w:rsidP="00D063A9">
      <w:pPr>
        <w:pStyle w:val="pkt"/>
        <w:numPr>
          <w:ilvl w:val="1"/>
          <w:numId w:val="1"/>
        </w:numPr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Warunki zapewnienia jakości przedmiotu zamówienia:</w:t>
      </w:r>
    </w:p>
    <w:p w:rsidR="00D063A9" w:rsidRDefault="00D063A9" w:rsidP="00D063A9">
      <w:pPr>
        <w:pStyle w:val="pkt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Wszystkie systemy komputerowe: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– w cenie należy uwzględnić uaktualnienie systemu BIOS płyty głównej/kontrolerów RAID 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do najnowszych wersji, ustawienie parametrów zasilania oraz czasów (timingów) pamięci operacyjnej do wartości ustalonych przez producentów pamięci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– ustawienie w BIOS trybu dostępu do dysków (wszystkie kontrolery) na AHCI (nie dotyczy macierzy RAID )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– instalację systemu operacyjnego na partycjach o wielkości 100 GB (aktywację i aktualizację systemu operacyjnego oraz sterowników do najnowszych dostępnych w chwili realizacji dostawy (podział na partycje nie dotyczy dysków typu SSD).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Zamawiający wymaga, aby parametry SMART (</w:t>
      </w:r>
      <w:proofErr w:type="spellStart"/>
      <w:r>
        <w:rPr>
          <w:rFonts w:ascii="Arial Narrow" w:hAnsi="Arial Narrow" w:cs="Arial Narrow"/>
          <w:sz w:val="22"/>
          <w:szCs w:val="22"/>
        </w:rPr>
        <w:t>Self</w:t>
      </w:r>
      <w:proofErr w:type="spellEnd"/>
      <w:r>
        <w:rPr>
          <w:rFonts w:ascii="Arial Narrow" w:hAnsi="Arial Narrow" w:cs="Arial Narrow"/>
          <w:sz w:val="22"/>
          <w:szCs w:val="22"/>
        </w:rPr>
        <w:t>-Monitoring, Analysis, and Reporting Technology) dysków twardych (HDD) w dostarczonym sprzęcie wynosiły: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  <w:lang w:val="en-US"/>
        </w:rPr>
      </w:pPr>
      <w:r>
        <w:rPr>
          <w:rFonts w:ascii="Arial Narrow" w:hAnsi="Arial Narrow" w:cs="Arial Narrow"/>
          <w:sz w:val="22"/>
          <w:szCs w:val="22"/>
          <w:lang w:val="en-US"/>
        </w:rPr>
        <w:t xml:space="preserve">(0x04) Start/Stop Count - ≤50; (0x05) Reallocated Sectors Count=0; (0x09) Power-On Hours ≤ 100; (0x0A) Spin Retry Count=0; (0x0B) Recalibration Retries(Calibration Retry Count) =0; (0x0C) Power Cycle Count - ≤50; (0x0D) Soft Read Error Rate =0; (0xB8)  End-to-End error (IOEDC) =0; (0xBF) 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  <w:lang w:val="en-US"/>
        </w:rPr>
      </w:pPr>
      <w:r>
        <w:rPr>
          <w:rFonts w:ascii="Arial Narrow" w:hAnsi="Arial Narrow" w:cs="Arial Narrow"/>
          <w:sz w:val="22"/>
          <w:szCs w:val="22"/>
          <w:lang w:val="en-US"/>
        </w:rPr>
        <w:t>G-sense error rate (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jeśli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dysk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jest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wyposażony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w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technologię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detekcji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przeciążeń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) =0; (0xC4) Reallocation Event Count =0; (0xC5) Current Pending Sector Count =0; (0xC6) Uncorrectable Sector Count =0, (0xAE) Unexpected power loss count =0; (0xC7)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UltraDMA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CRC Error Count=0;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  <w:lang w:val="en-US"/>
        </w:rPr>
      </w:pP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Zamawiający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wymaga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, aby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parametry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SMART (Self-Monitoring, Analysis, and Reporting Technology)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dla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dysków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SSD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wynosiły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(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oprócz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wyszczególnionych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powyżej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,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jeśli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dostępne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dla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danego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komponentu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>): (0x05) Retired Block Count =0; (0xAB) (SSD) Program Fail Count =0; (0xAC) (SSD) Erase Fail Count =0; (0xB1) Wear Range Delta =0;</w:t>
      </w:r>
      <w:r>
        <w:rPr>
          <w:lang w:val="en-US"/>
        </w:rPr>
        <w:t xml:space="preserve"> (</w:t>
      </w:r>
      <w:r>
        <w:rPr>
          <w:rFonts w:ascii="Arial Narrow" w:hAnsi="Arial Narrow" w:cs="Arial Narrow"/>
          <w:sz w:val="22"/>
          <w:szCs w:val="22"/>
          <w:lang w:val="en-US"/>
        </w:rPr>
        <w:t xml:space="preserve">0xE9) Media </w:t>
      </w:r>
      <w:proofErr w:type="spellStart"/>
      <w:r>
        <w:rPr>
          <w:rFonts w:ascii="Arial Narrow" w:hAnsi="Arial Narrow" w:cs="Arial Narrow"/>
          <w:sz w:val="22"/>
          <w:szCs w:val="22"/>
          <w:lang w:val="en-US"/>
        </w:rPr>
        <w:t>Wearout</w:t>
      </w:r>
      <w:proofErr w:type="spellEnd"/>
      <w:r>
        <w:rPr>
          <w:rFonts w:ascii="Arial Narrow" w:hAnsi="Arial Narrow" w:cs="Arial Narrow"/>
          <w:sz w:val="22"/>
          <w:szCs w:val="22"/>
          <w:lang w:val="en-US"/>
        </w:rPr>
        <w:t xml:space="preserve"> Indicator (normalized value)=100; 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Zamawiający wymaga, w przypadku konfiguracji systemu komputerowego z macierzą/</w:t>
      </w:r>
      <w:proofErr w:type="spellStart"/>
      <w:r>
        <w:rPr>
          <w:rFonts w:ascii="Arial Narrow" w:hAnsi="Arial Narrow" w:cs="Arial Narrow"/>
          <w:sz w:val="22"/>
          <w:szCs w:val="22"/>
        </w:rPr>
        <w:t>ami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RAID, aby diagnostyka/testowanie dysków przeprowadzona została dla poszczególnych dysków fizycznych będących urządzeniami składowymi macierzy (przed skonfigurowaniem macierzy), jeśli konfiguracja macierzy uniemożliwia przeprowadzenie testów poszczególnych dysków.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Klawiatury, jeśli nie określono inaczej, powinny posiadać układ klawiszy przedstawiony na rys. poniżej: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noProof/>
          <w:lang w:eastAsia="pl-PL"/>
        </w:rPr>
        <w:lastRenderedPageBreak/>
        <w:drawing>
          <wp:inline distT="0" distB="0" distL="0" distR="0" wp14:anchorId="24EE1DA2" wp14:editId="5DF38BF1">
            <wp:extent cx="5334000" cy="1657350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noProof/>
          <w:lang w:eastAsia="pl-PL"/>
        </w:rPr>
        <w:drawing>
          <wp:inline distT="0" distB="0" distL="0" distR="0" wp14:anchorId="634C9050" wp14:editId="0B493F42">
            <wp:extent cx="5353050" cy="1724025"/>
            <wp:effectExtent l="0" t="0" r="0" b="952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</w:p>
    <w:p w:rsidR="00D063A9" w:rsidRDefault="00D063A9" w:rsidP="00D063A9">
      <w:pPr>
        <w:pStyle w:val="pkt"/>
        <w:ind w:left="709" w:firstLine="709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Komputery biurkowe, stacje robocze z wyposażeniem oraz laptopy: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– testowanie systemu komputerowego (≥48 godz. test I/O pamięci; ≥24h test typu „</w:t>
      </w:r>
      <w:proofErr w:type="spellStart"/>
      <w:r>
        <w:rPr>
          <w:rFonts w:ascii="Arial Narrow" w:hAnsi="Arial Narrow" w:cs="Arial Narrow"/>
          <w:sz w:val="22"/>
          <w:szCs w:val="22"/>
        </w:rPr>
        <w:t>burn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-in” Procesora/chipsetu; dyski – test I/O (dotyczy HDD, łącznie ≥2godz): </w:t>
      </w:r>
      <w:proofErr w:type="spellStart"/>
      <w:r>
        <w:rPr>
          <w:rFonts w:ascii="Arial Narrow" w:hAnsi="Arial Narrow" w:cs="Arial Narrow"/>
          <w:sz w:val="22"/>
          <w:szCs w:val="22"/>
        </w:rPr>
        <w:t>track</w:t>
      </w:r>
      <w:proofErr w:type="spellEnd"/>
      <w:r>
        <w:rPr>
          <w:rFonts w:ascii="Arial Narrow" w:hAnsi="Arial Narrow" w:cs="Arial Narrow"/>
          <w:sz w:val="22"/>
          <w:szCs w:val="22"/>
        </w:rPr>
        <w:t>-to-</w:t>
      </w:r>
      <w:proofErr w:type="spellStart"/>
      <w:r>
        <w:rPr>
          <w:rFonts w:ascii="Arial Narrow" w:hAnsi="Arial Narrow" w:cs="Arial Narrow"/>
          <w:sz w:val="22"/>
          <w:szCs w:val="22"/>
        </w:rPr>
        <w:t>track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, </w:t>
      </w:r>
      <w:proofErr w:type="spellStart"/>
      <w:r>
        <w:rPr>
          <w:rFonts w:ascii="Arial Narrow" w:hAnsi="Arial Narrow" w:cs="Arial Narrow"/>
          <w:sz w:val="22"/>
          <w:szCs w:val="22"/>
        </w:rPr>
        <w:t>random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, </w:t>
      </w:r>
      <w:proofErr w:type="spellStart"/>
      <w:r>
        <w:rPr>
          <w:rFonts w:ascii="Arial Narrow" w:hAnsi="Arial Narrow" w:cs="Arial Narrow"/>
          <w:sz w:val="22"/>
          <w:szCs w:val="22"/>
        </w:rPr>
        <w:t>seek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, </w:t>
      </w:r>
      <w:proofErr w:type="spellStart"/>
      <w:r>
        <w:rPr>
          <w:rFonts w:ascii="Arial Narrow" w:hAnsi="Arial Narrow" w:cs="Arial Narrow"/>
          <w:sz w:val="22"/>
          <w:szCs w:val="22"/>
        </w:rPr>
        <w:t>average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, Dla dysków SSD Zamawiający wymaga dostarczenia raportów technologii S.M.A.R.T., testowania dostępnej fizycznej przestrzeni pamięci masowej oraz wyniki testów prędkości I/O i czasu dostępu co najmniej dla odczytu dla co najmniej 2 wartości próbek/plików o oraz losowej wielkości próbki/pliku – wyniki należy dostarczyć w formie pisemnej/zrzuty ekranów/raporty programów testujących); </w:t>
      </w:r>
    </w:p>
    <w:p w:rsidR="00D063A9" w:rsidRDefault="00D063A9" w:rsidP="00D063A9">
      <w:pPr>
        <w:pStyle w:val="pkt"/>
        <w:ind w:left="709" w:firstLine="709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Serwery:</w:t>
      </w: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lastRenderedPageBreak/>
        <w:t>– testowanie systemu komputerowego (≥72 godz. test I/O pamięci; ≥48h test typu „</w:t>
      </w:r>
      <w:proofErr w:type="spellStart"/>
      <w:r>
        <w:rPr>
          <w:rFonts w:ascii="Arial Narrow" w:hAnsi="Arial Narrow" w:cs="Arial Narrow"/>
          <w:sz w:val="22"/>
          <w:szCs w:val="22"/>
        </w:rPr>
        <w:t>burn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-in” Procesora/chipsetu; dyski – test I/O (dotyczy HDD, łącznie ≥2godz): </w:t>
      </w:r>
      <w:proofErr w:type="spellStart"/>
      <w:r>
        <w:rPr>
          <w:rFonts w:ascii="Arial Narrow" w:hAnsi="Arial Narrow" w:cs="Arial Narrow"/>
          <w:sz w:val="22"/>
          <w:szCs w:val="22"/>
        </w:rPr>
        <w:t>track</w:t>
      </w:r>
      <w:proofErr w:type="spellEnd"/>
      <w:r>
        <w:rPr>
          <w:rFonts w:ascii="Arial Narrow" w:hAnsi="Arial Narrow" w:cs="Arial Narrow"/>
          <w:sz w:val="22"/>
          <w:szCs w:val="22"/>
        </w:rPr>
        <w:t>-to-</w:t>
      </w:r>
      <w:proofErr w:type="spellStart"/>
      <w:r>
        <w:rPr>
          <w:rFonts w:ascii="Arial Narrow" w:hAnsi="Arial Narrow" w:cs="Arial Narrow"/>
          <w:sz w:val="22"/>
          <w:szCs w:val="22"/>
        </w:rPr>
        <w:t>track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, </w:t>
      </w:r>
      <w:proofErr w:type="spellStart"/>
      <w:r>
        <w:rPr>
          <w:rFonts w:ascii="Arial Narrow" w:hAnsi="Arial Narrow" w:cs="Arial Narrow"/>
          <w:sz w:val="22"/>
          <w:szCs w:val="22"/>
        </w:rPr>
        <w:t>random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, </w:t>
      </w:r>
      <w:proofErr w:type="spellStart"/>
      <w:r>
        <w:rPr>
          <w:rFonts w:ascii="Arial Narrow" w:hAnsi="Arial Narrow" w:cs="Arial Narrow"/>
          <w:sz w:val="22"/>
          <w:szCs w:val="22"/>
        </w:rPr>
        <w:t>seek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, </w:t>
      </w:r>
      <w:proofErr w:type="spellStart"/>
      <w:r>
        <w:rPr>
          <w:rFonts w:ascii="Arial Narrow" w:hAnsi="Arial Narrow" w:cs="Arial Narrow"/>
          <w:sz w:val="22"/>
          <w:szCs w:val="22"/>
        </w:rPr>
        <w:t>average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, Dla dysków SSD Zamawiający wymaga dostarczenia raportów technologii S.M.A.R.T., testowania dostępnej fizycznej przestrzeni pamięci masowej oraz wyniki testów prędkości I/O i czasu dostępu co najmniej dla odczytu dla co najmniej 2 wartości próbek/plików o oraz losowej wielkości próbki/pliku – wyniki należy dostarczyć w formie pisemnej/zrzuty ekranów/raporty programów testujących); </w:t>
      </w:r>
    </w:p>
    <w:p w:rsidR="00D063A9" w:rsidRDefault="00D063A9" w:rsidP="00D063A9">
      <w:pPr>
        <w:pStyle w:val="pkt"/>
        <w:ind w:left="556" w:firstLine="0"/>
        <w:rPr>
          <w:rFonts w:ascii="Arial Narrow" w:hAnsi="Arial Narrow" w:cs="Arial Narrow"/>
          <w:sz w:val="22"/>
          <w:szCs w:val="22"/>
        </w:rPr>
      </w:pPr>
    </w:p>
    <w:p w:rsidR="00D063A9" w:rsidRDefault="00D063A9" w:rsidP="00D063A9">
      <w:pPr>
        <w:pStyle w:val="pkt"/>
        <w:ind w:left="644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Dla dowolnego rodzaju systemu komputerowego, w przypadku dostarczonych przez producenta systemu komputerowego narzędzi diagnostycznych – Zamawiający dopuszcza przeprowadzenie pełnej diagnostyki obejmującej co najmniej procesor, pamięci RAM oraz pamięci masowe z użyciem tych narzędzi (wersje „Full”, Extended” i „</w:t>
      </w:r>
      <w:proofErr w:type="spellStart"/>
      <w:r>
        <w:rPr>
          <w:rFonts w:ascii="Arial Narrow" w:hAnsi="Arial Narrow" w:cs="Arial Narrow"/>
          <w:sz w:val="22"/>
          <w:szCs w:val="22"/>
        </w:rPr>
        <w:t>Long</w:t>
      </w:r>
      <w:proofErr w:type="spellEnd"/>
      <w:r>
        <w:rPr>
          <w:rFonts w:ascii="Arial Narrow" w:hAnsi="Arial Narrow" w:cs="Arial Narrow"/>
          <w:sz w:val="22"/>
          <w:szCs w:val="22"/>
        </w:rPr>
        <w:t>” testów) potwierdzone odpowiednimi zapisami w dziennikach w/w narzędzi testujących, raportami lub zrzutami ekranu dostarczonymi w formie wydruków</w:t>
      </w:r>
    </w:p>
    <w:p w:rsidR="00D063A9" w:rsidRDefault="00D063A9" w:rsidP="00D063A9"/>
    <w:p w:rsidR="00D063A9" w:rsidRDefault="00D063A9" w:rsidP="00D063A9"/>
    <w:sectPr w:rsidR="00D063A9" w:rsidSect="002B36E8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388" w:rsidRDefault="00F84388" w:rsidP="00456062">
      <w:r>
        <w:separator/>
      </w:r>
    </w:p>
  </w:endnote>
  <w:endnote w:type="continuationSeparator" w:id="0">
    <w:p w:rsidR="00F84388" w:rsidRDefault="00F84388" w:rsidP="00456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0F10" w:rsidRPr="002276BA" w:rsidRDefault="00530F10" w:rsidP="00530F10">
    <w:pPr>
      <w:tabs>
        <w:tab w:val="left" w:pos="4111"/>
        <w:tab w:val="left" w:pos="6237"/>
      </w:tabs>
      <w:spacing w:before="400"/>
      <w:ind w:left="1417" w:hanging="130"/>
      <w:rPr>
        <w:b/>
        <w:sz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FFF12A" wp14:editId="30D3DC22">
              <wp:simplePos x="0" y="0"/>
              <wp:positionH relativeFrom="column">
                <wp:posOffset>-93980</wp:posOffset>
              </wp:positionH>
              <wp:positionV relativeFrom="paragraph">
                <wp:posOffset>133350</wp:posOffset>
              </wp:positionV>
              <wp:extent cx="918210" cy="686435"/>
              <wp:effectExtent l="0" t="0" r="0" b="0"/>
              <wp:wrapNone/>
              <wp:docPr id="4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8210" cy="686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arto="http://schemas.microsoft.com/office/word/2006/arto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arto="http://schemas.microsoft.com/office/word/2006/arto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30F10" w:rsidRDefault="00530F10" w:rsidP="00530F10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65918FF" wp14:editId="23209514">
                                <wp:extent cx="650383" cy="502849"/>
                                <wp:effectExtent l="0" t="0" r="0" b="0"/>
                                <wp:docPr id="2" name="Obraz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h_9001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66614" cy="5153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FFF12A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6" type="#_x0000_t202" style="position:absolute;left:0;text-align:left;margin-left:-7.4pt;margin-top:10.5pt;width:72.3pt;height:5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" filled="f" stroked="f">
              <v:textbox>
                <w:txbxContent>
                  <w:p w:rsidR="00530F10" w:rsidRDefault="00530F10" w:rsidP="00530F10">
                    <w:r>
                      <w:rPr>
                        <w:noProof/>
                      </w:rPr>
                      <w:drawing>
                        <wp:inline distT="0" distB="0" distL="0" distR="0" wp14:anchorId="065918FF" wp14:editId="23209514">
                          <wp:extent cx="650383" cy="502849"/>
                          <wp:effectExtent l="0" t="0" r="0" b="0"/>
                          <wp:docPr id="2" name="Obraz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h_9001.pn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66614" cy="51539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AB0D234" wp14:editId="7C7CE429">
              <wp:simplePos x="0" y="0"/>
              <wp:positionH relativeFrom="column">
                <wp:posOffset>776605</wp:posOffset>
              </wp:positionH>
              <wp:positionV relativeFrom="paragraph">
                <wp:posOffset>212089</wp:posOffset>
              </wp:positionV>
              <wp:extent cx="5039995" cy="0"/>
              <wp:effectExtent l="0" t="0" r="27305" b="19050"/>
              <wp:wrapNone/>
              <wp:docPr id="5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03999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arto="http://schemas.microsoft.com/office/word/2006/arto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04A0532" id="Line 2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15pt,16.7pt" to="45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"/>
          </w:pict>
        </mc:Fallback>
      </mc:AlternateContent>
    </w:r>
    <w:r>
      <w:rPr>
        <w:b/>
        <w:bCs/>
        <w:sz w:val="18"/>
        <w:lang w:val="de-DE"/>
      </w:rPr>
      <w:t xml:space="preserve">REGON: 000326121        NIP: 584-035-78-82            </w:t>
    </w:r>
    <w:r>
      <w:rPr>
        <w:sz w:val="18"/>
        <w:lang w:val="de-DE"/>
      </w:rPr>
      <w:t xml:space="preserve">POLTAX VAT-5UE: </w:t>
    </w:r>
    <w:r>
      <w:rPr>
        <w:b/>
        <w:sz w:val="18"/>
        <w:lang w:val="de-DE"/>
      </w:rPr>
      <w:t>PL5840357882</w:t>
    </w:r>
  </w:p>
  <w:p w:rsidR="00530F10" w:rsidRPr="00ED5E10" w:rsidRDefault="00530F10" w:rsidP="00530F10">
    <w:pPr>
      <w:tabs>
        <w:tab w:val="left" w:pos="6237"/>
        <w:tab w:val="left" w:pos="7655"/>
      </w:tabs>
      <w:spacing w:before="80"/>
      <w:ind w:left="1417" w:hanging="130"/>
      <w:rPr>
        <w:b/>
        <w:sz w:val="6"/>
        <w:szCs w:val="6"/>
      </w:rPr>
    </w:pPr>
    <w:r>
      <w:rPr>
        <w:b/>
        <w:sz w:val="18"/>
      </w:rPr>
      <w:t xml:space="preserve"> </w:t>
    </w:r>
  </w:p>
  <w:p w:rsidR="00FC0B97" w:rsidRPr="00530F10" w:rsidRDefault="00530F10" w:rsidP="00530F10">
    <w:pPr>
      <w:tabs>
        <w:tab w:val="left" w:pos="6237"/>
        <w:tab w:val="left" w:pos="7655"/>
      </w:tabs>
      <w:spacing w:before="80"/>
      <w:ind w:left="1417" w:hanging="130"/>
      <w:rPr>
        <w:sz w:val="18"/>
      </w:rPr>
    </w:pPr>
    <w:r>
      <w:rPr>
        <w:noProof/>
        <w:sz w:val="18"/>
      </w:rPr>
      <w:t xml:space="preserve">Natowski Kod Podmiotu Gospodarki Narodowej  </w:t>
    </w:r>
    <w:r>
      <w:rPr>
        <w:b/>
        <w:bCs/>
        <w:noProof/>
        <w:sz w:val="18"/>
      </w:rPr>
      <w:t>NCAGE: 0409H</w:t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388" w:rsidRDefault="00F84388" w:rsidP="00456062">
      <w:r>
        <w:separator/>
      </w:r>
    </w:p>
  </w:footnote>
  <w:footnote w:type="continuationSeparator" w:id="0">
    <w:p w:rsidR="00F84388" w:rsidRDefault="00F84388" w:rsidP="00456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18A" w:rsidRDefault="00D063A9" w:rsidP="00071702">
    <w:pPr>
      <w:pStyle w:val="Nagwek"/>
      <w:jc w:val="center"/>
    </w:pPr>
    <w:r>
      <w:rPr>
        <w:noProof/>
      </w:rPr>
      <w:drawing>
        <wp:inline distT="0" distB="0" distL="0" distR="0" wp14:anchorId="2660E66D">
          <wp:extent cx="5578475" cy="768350"/>
          <wp:effectExtent l="0" t="0" r="317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819C3" w:rsidRDefault="00B819C3" w:rsidP="00071702">
    <w:pPr>
      <w:pStyle w:val="Nagwek"/>
      <w:jc w:val="center"/>
    </w:pPr>
  </w:p>
  <w:p w:rsidR="00B819C3" w:rsidRDefault="00B819C3" w:rsidP="0007170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10E60"/>
    <w:multiLevelType w:val="hybridMultilevel"/>
    <w:tmpl w:val="C5002F62"/>
    <w:lvl w:ilvl="0" w:tplc="754C40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836C95"/>
    <w:multiLevelType w:val="multilevel"/>
    <w:tmpl w:val="FFFFFFFF"/>
    <w:lvl w:ilvl="0">
      <w:start w:val="1"/>
      <w:numFmt w:val="upperRoman"/>
      <w:lvlText w:val="%1."/>
      <w:lvlJc w:val="left"/>
      <w:pPr>
        <w:ind w:left="1003" w:hanging="72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 Narrow" w:hAnsi="Arial Narrow"/>
        <w:sz w:val="22"/>
        <w:szCs w:val="22"/>
      </w:rPr>
    </w:lvl>
    <w:lvl w:ilvl="2">
      <w:start w:val="1"/>
      <w:numFmt w:val="decimal"/>
      <w:lvlText w:val="%1.%2.%3."/>
      <w:lvlJc w:val="left"/>
      <w:pPr>
        <w:ind w:left="2435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3151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227" w:hanging="108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943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6019" w:hanging="144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6735" w:hanging="144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7811" w:hanging="1800"/>
      </w:pPr>
      <w:rPr>
        <w:sz w:val="22"/>
        <w:szCs w:val="22"/>
      </w:rPr>
    </w:lvl>
  </w:abstractNum>
  <w:abstractNum w:abstractNumId="2" w15:restartNumberingAfterBreak="0">
    <w:nsid w:val="7141285C"/>
    <w:multiLevelType w:val="multilevel"/>
    <w:tmpl w:val="FFFFFFFF"/>
    <w:lvl w:ilvl="0">
      <w:start w:val="1"/>
      <w:numFmt w:val="upperRoman"/>
      <w:lvlText w:val="%1."/>
      <w:lvlJc w:val="left"/>
      <w:pPr>
        <w:ind w:left="1003" w:hanging="72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2435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3151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227" w:hanging="108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943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6019" w:hanging="144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6735" w:hanging="144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7811" w:hanging="1800"/>
      </w:pPr>
      <w:rPr>
        <w:sz w:val="22"/>
        <w:szCs w:val="22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71B"/>
    <w:rsid w:val="00014799"/>
    <w:rsid w:val="000316EE"/>
    <w:rsid w:val="000377CC"/>
    <w:rsid w:val="00071702"/>
    <w:rsid w:val="000831CF"/>
    <w:rsid w:val="00097536"/>
    <w:rsid w:val="000C05C3"/>
    <w:rsid w:val="000E18C1"/>
    <w:rsid w:val="0014604D"/>
    <w:rsid w:val="001B6F63"/>
    <w:rsid w:val="001C743F"/>
    <w:rsid w:val="002252EE"/>
    <w:rsid w:val="0028577D"/>
    <w:rsid w:val="002B36E8"/>
    <w:rsid w:val="00327135"/>
    <w:rsid w:val="00396120"/>
    <w:rsid w:val="00456062"/>
    <w:rsid w:val="00530F10"/>
    <w:rsid w:val="00557D6C"/>
    <w:rsid w:val="00561E7D"/>
    <w:rsid w:val="005A6C4D"/>
    <w:rsid w:val="005C193C"/>
    <w:rsid w:val="005D571B"/>
    <w:rsid w:val="00630EEC"/>
    <w:rsid w:val="006457F7"/>
    <w:rsid w:val="00657FB3"/>
    <w:rsid w:val="0066001D"/>
    <w:rsid w:val="006858D9"/>
    <w:rsid w:val="006D10F6"/>
    <w:rsid w:val="006D1AAD"/>
    <w:rsid w:val="007009AB"/>
    <w:rsid w:val="00711120"/>
    <w:rsid w:val="00721B36"/>
    <w:rsid w:val="00732DA3"/>
    <w:rsid w:val="0075012C"/>
    <w:rsid w:val="00751B7D"/>
    <w:rsid w:val="007604DD"/>
    <w:rsid w:val="007B30DE"/>
    <w:rsid w:val="007B55E3"/>
    <w:rsid w:val="007F06E2"/>
    <w:rsid w:val="00883392"/>
    <w:rsid w:val="00920A31"/>
    <w:rsid w:val="00926A6E"/>
    <w:rsid w:val="00947AE4"/>
    <w:rsid w:val="009B32CB"/>
    <w:rsid w:val="009B6FDD"/>
    <w:rsid w:val="00A21C46"/>
    <w:rsid w:val="00A93667"/>
    <w:rsid w:val="00AA1491"/>
    <w:rsid w:val="00AE1CEA"/>
    <w:rsid w:val="00B819C3"/>
    <w:rsid w:val="00B916F7"/>
    <w:rsid w:val="00B958D6"/>
    <w:rsid w:val="00BB518A"/>
    <w:rsid w:val="00BC0462"/>
    <w:rsid w:val="00BF05EC"/>
    <w:rsid w:val="00C04B47"/>
    <w:rsid w:val="00C9450D"/>
    <w:rsid w:val="00CD03FE"/>
    <w:rsid w:val="00D00EDD"/>
    <w:rsid w:val="00D063A9"/>
    <w:rsid w:val="00D22C59"/>
    <w:rsid w:val="00DA31A0"/>
    <w:rsid w:val="00DA7B58"/>
    <w:rsid w:val="00E1438E"/>
    <w:rsid w:val="00E50342"/>
    <w:rsid w:val="00E8626F"/>
    <w:rsid w:val="00F84388"/>
    <w:rsid w:val="00FB141A"/>
    <w:rsid w:val="00FC0B97"/>
    <w:rsid w:val="00FD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C8AC40-AE3E-40FE-A764-D3C9838A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63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locked/>
    <w:rsid w:val="002B36E8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B36E8"/>
    <w:pPr>
      <w:spacing w:after="140" w:line="276" w:lineRule="auto"/>
    </w:pPr>
    <w:rPr>
      <w:rFonts w:eastAsiaTheme="minorHAns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2B36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1bker4h-7">
    <w:name w:val="sc-1bker4h-7"/>
    <w:basedOn w:val="Domylnaczcionkaakapitu"/>
    <w:rsid w:val="006D1AAD"/>
  </w:style>
  <w:style w:type="paragraph" w:customStyle="1" w:styleId="pkt">
    <w:name w:val="pkt"/>
    <w:basedOn w:val="Normalny"/>
    <w:uiPriority w:val="99"/>
    <w:rsid w:val="007604DD"/>
    <w:pPr>
      <w:suppressAutoHyphens/>
      <w:spacing w:before="60" w:after="60"/>
      <w:ind w:left="851" w:hanging="295"/>
      <w:jc w:val="both"/>
    </w:pPr>
    <w:rPr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456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60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60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60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6062"/>
    <w:pPr>
      <w:ind w:left="720"/>
      <w:contextualSpacing/>
    </w:pPr>
  </w:style>
  <w:style w:type="numbering" w:customStyle="1" w:styleId="Bezlisty1">
    <w:name w:val="Bez listy1"/>
    <w:next w:val="Bezlisty"/>
    <w:uiPriority w:val="99"/>
    <w:semiHidden/>
    <w:unhideWhenUsed/>
    <w:rsid w:val="00D00EDD"/>
  </w:style>
  <w:style w:type="character" w:styleId="Odwoaniedokomentarza">
    <w:name w:val="annotation reference"/>
    <w:basedOn w:val="Domylnaczcionkaakapitu"/>
    <w:uiPriority w:val="99"/>
    <w:semiHidden/>
    <w:unhideWhenUsed/>
    <w:rsid w:val="003961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61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61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61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61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61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120"/>
    <w:rPr>
      <w:rFonts w:ascii="Segoe UI" w:eastAsia="Times New Roman" w:hAnsi="Segoe UI" w:cs="Segoe UI"/>
      <w:sz w:val="18"/>
      <w:szCs w:val="18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96120"/>
    <w:rPr>
      <w:rFonts w:ascii="Calibri" w:eastAsia="SimSun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96120"/>
    <w:rPr>
      <w:rFonts w:ascii="Calibri" w:eastAsia="SimSun" w:hAnsi="Calibri"/>
      <w:szCs w:val="21"/>
    </w:rPr>
  </w:style>
  <w:style w:type="paragraph" w:styleId="Bezodstpw">
    <w:name w:val="No Spacing"/>
    <w:uiPriority w:val="1"/>
    <w:qFormat/>
    <w:rsid w:val="00396120"/>
    <w:pPr>
      <w:spacing w:after="0" w:line="240" w:lineRule="auto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7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3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76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89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07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0.png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A99F5-88A9-484F-A7B9-13C313020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15</Pages>
  <Words>2501</Words>
  <Characters>15012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Patryk</cp:lastModifiedBy>
  <cp:revision>45</cp:revision>
  <cp:lastPrinted>2023-11-21T12:13:00Z</cp:lastPrinted>
  <dcterms:created xsi:type="dcterms:W3CDTF">2022-02-21T07:22:00Z</dcterms:created>
  <dcterms:modified xsi:type="dcterms:W3CDTF">2026-04-29T06:15:00Z</dcterms:modified>
</cp:coreProperties>
</file>