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C5A20" w14:textId="77777777" w:rsidR="00035BB2" w:rsidRDefault="00035BB2" w:rsidP="00035BB2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Projekt: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Efektywne zarządzanie Uniwersytetem Pomorskim w Słupsku w celu minimalizowania zjawiska drop-out</w:t>
      </w:r>
    </w:p>
    <w:p w14:paraId="1A4A335A" w14:textId="77777777" w:rsidR="00035BB2" w:rsidRDefault="00035BB2" w:rsidP="00035BB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Program: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Fundusze Europejskie dla Rozwoju Społecznego 2021-2027</w:t>
      </w:r>
    </w:p>
    <w:p w14:paraId="2BA0C03D" w14:textId="77777777" w:rsidR="00035BB2" w:rsidRDefault="00035BB2" w:rsidP="00035BB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Priorytet: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1. Umiejętności</w:t>
      </w:r>
    </w:p>
    <w:p w14:paraId="50FBB502" w14:textId="77777777" w:rsidR="00035BB2" w:rsidRDefault="00035BB2" w:rsidP="00035BB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Działanie: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01.05. Umiejętności w szkolnictwie wyższym</w:t>
      </w:r>
    </w:p>
    <w:p w14:paraId="635BE730" w14:textId="77777777" w:rsidR="00035BB2" w:rsidRDefault="00035BB2" w:rsidP="00035BB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Numer umowy o dofinansowanie: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FERS.01.05-IP.08-0112/25-00</w:t>
      </w:r>
    </w:p>
    <w:p w14:paraId="4CA8405A" w14:textId="1995107E" w:rsidR="00BC1BBF" w:rsidRPr="00BC1BBF" w:rsidRDefault="00BC1BBF" w:rsidP="00BC1BBF">
      <w:pPr>
        <w:jc w:val="right"/>
        <w:rPr>
          <w:b/>
        </w:rPr>
      </w:pPr>
      <w:r w:rsidRPr="00BC1BBF">
        <w:rPr>
          <w:b/>
        </w:rPr>
        <w:t>Przedmiotowy środek dowodowy</w:t>
      </w:r>
    </w:p>
    <w:p w14:paraId="2F4F4901" w14:textId="4C935ECA" w:rsidR="00DD57E5" w:rsidRDefault="001558E6" w:rsidP="001363EC">
      <w:pPr>
        <w:jc w:val="center"/>
      </w:pPr>
      <w:r>
        <w:t>ARKUSZ OCENY RAMOWEGO PROGRAMU SZKOLENIA</w:t>
      </w:r>
      <w:r w:rsidR="001363EC">
        <w:br/>
      </w:r>
      <w:r>
        <w:t>dla</w:t>
      </w:r>
      <w:r w:rsidR="001363EC">
        <w:t xml:space="preserve"> zamówienia:</w:t>
      </w:r>
      <w:bookmarkStart w:id="0" w:name="_GoBack"/>
      <w:bookmarkEnd w:id="0"/>
    </w:p>
    <w:p w14:paraId="0185B27B" w14:textId="1DC639B6" w:rsidR="001363EC" w:rsidRDefault="00340399" w:rsidP="001558E6">
      <w:pPr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340399">
        <w:rPr>
          <w:rFonts w:ascii="Times New Roman" w:eastAsia="Times New Roman" w:hAnsi="Times New Roman" w:cs="Times New Roman"/>
          <w:b/>
          <w:lang w:eastAsia="pl-PL"/>
        </w:rPr>
        <w:t>Przeprowadzenie szkolenia kadry uczelni w zakresie doradztwa edukacyjno-zawodowego pn. „Szkolenie brokerów</w:t>
      </w:r>
      <w:r w:rsidR="001558E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340399">
        <w:rPr>
          <w:rFonts w:ascii="Times New Roman" w:eastAsia="Times New Roman" w:hAnsi="Times New Roman" w:cs="Times New Roman"/>
          <w:b/>
          <w:lang w:eastAsia="pl-PL"/>
        </w:rPr>
        <w:t>edukacyjnych w Uniwersytecie Pomorskim w Słupsku”</w:t>
      </w:r>
    </w:p>
    <w:tbl>
      <w:tblPr>
        <w:tblStyle w:val="Tabela-Siatka"/>
        <w:tblpPr w:leftFromText="141" w:rightFromText="141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1838"/>
        <w:gridCol w:w="5954"/>
        <w:gridCol w:w="1270"/>
      </w:tblGrid>
      <w:tr w:rsidR="000F3B19" w14:paraId="067A3372" w14:textId="77777777" w:rsidTr="000F3B19">
        <w:tc>
          <w:tcPr>
            <w:tcW w:w="1838" w:type="dxa"/>
          </w:tcPr>
          <w:p w14:paraId="70959BDE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Moduł</w:t>
            </w:r>
          </w:p>
        </w:tc>
        <w:tc>
          <w:tcPr>
            <w:tcW w:w="5954" w:type="dxa"/>
          </w:tcPr>
          <w:p w14:paraId="36898611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Zakres</w:t>
            </w:r>
          </w:p>
        </w:tc>
        <w:tc>
          <w:tcPr>
            <w:tcW w:w="1270" w:type="dxa"/>
          </w:tcPr>
          <w:p w14:paraId="54E8FBBD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Spełnia/</w:t>
            </w:r>
          </w:p>
          <w:p w14:paraId="090E5908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nie spełnia</w:t>
            </w:r>
          </w:p>
        </w:tc>
      </w:tr>
      <w:tr w:rsidR="000F3B19" w14:paraId="26AA0A98" w14:textId="77777777" w:rsidTr="000F3B19">
        <w:tc>
          <w:tcPr>
            <w:tcW w:w="1838" w:type="dxa"/>
            <w:vMerge w:val="restart"/>
            <w:vAlign w:val="center"/>
          </w:tcPr>
          <w:p w14:paraId="19143DFC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 – Podstawy roli brokera edukacyjnego</w:t>
            </w:r>
          </w:p>
        </w:tc>
        <w:tc>
          <w:tcPr>
            <w:tcW w:w="5954" w:type="dxa"/>
          </w:tcPr>
          <w:p w14:paraId="389AAE69" w14:textId="77777777" w:rsidR="000F3B19" w:rsidRPr="001558E6" w:rsidRDefault="000F3B19" w:rsidP="000F3B1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558E6">
              <w:rPr>
                <w:rFonts w:ascii="Times New Roman" w:eastAsia="Times New Roman" w:hAnsi="Times New Roman" w:cs="Times New Roman"/>
                <w:lang w:eastAsia="pl-PL"/>
              </w:rPr>
              <w:t>Misja brokera jako ogniwa łączącego naukę, rynek pracy i studenta</w:t>
            </w:r>
          </w:p>
        </w:tc>
        <w:tc>
          <w:tcPr>
            <w:tcW w:w="1270" w:type="dxa"/>
          </w:tcPr>
          <w:p w14:paraId="2121BF06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F3B19" w14:paraId="0F9FA67E" w14:textId="77777777" w:rsidTr="000F3B19">
        <w:tc>
          <w:tcPr>
            <w:tcW w:w="1838" w:type="dxa"/>
            <w:vMerge/>
          </w:tcPr>
          <w:p w14:paraId="646532A6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954" w:type="dxa"/>
          </w:tcPr>
          <w:p w14:paraId="1954E472" w14:textId="77777777" w:rsidR="000F3B19" w:rsidRPr="001558E6" w:rsidRDefault="000F3B19" w:rsidP="000F3B1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558E6">
              <w:rPr>
                <w:rFonts w:ascii="Times New Roman" w:eastAsia="Times New Roman" w:hAnsi="Times New Roman" w:cs="Times New Roman"/>
                <w:lang w:eastAsia="pl-PL"/>
              </w:rPr>
              <w:t>Zadania brokera w strukturze uczelni</w:t>
            </w:r>
          </w:p>
        </w:tc>
        <w:tc>
          <w:tcPr>
            <w:tcW w:w="1270" w:type="dxa"/>
          </w:tcPr>
          <w:p w14:paraId="68CCB098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F3B19" w14:paraId="0E0A405A" w14:textId="77777777" w:rsidTr="000F3B19">
        <w:tc>
          <w:tcPr>
            <w:tcW w:w="1838" w:type="dxa"/>
            <w:vMerge/>
          </w:tcPr>
          <w:p w14:paraId="7AC2D921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954" w:type="dxa"/>
          </w:tcPr>
          <w:p w14:paraId="2010D162" w14:textId="77777777" w:rsidR="000F3B19" w:rsidRPr="001558E6" w:rsidRDefault="000F3B19" w:rsidP="000F3B1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558E6">
              <w:rPr>
                <w:rFonts w:ascii="Times New Roman" w:eastAsia="Times New Roman" w:hAnsi="Times New Roman" w:cs="Times New Roman"/>
                <w:lang w:eastAsia="pl-PL"/>
              </w:rPr>
              <w:t>Identyfikacja luk kompetencyjnych i analiza potrzeb edukacyjnych</w:t>
            </w:r>
          </w:p>
        </w:tc>
        <w:tc>
          <w:tcPr>
            <w:tcW w:w="1270" w:type="dxa"/>
          </w:tcPr>
          <w:p w14:paraId="403D62F6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F3B19" w14:paraId="232FA3F2" w14:textId="77777777" w:rsidTr="000F3B19">
        <w:tc>
          <w:tcPr>
            <w:tcW w:w="1838" w:type="dxa"/>
            <w:vMerge/>
          </w:tcPr>
          <w:p w14:paraId="3A536D06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954" w:type="dxa"/>
          </w:tcPr>
          <w:p w14:paraId="2D8A5F17" w14:textId="77777777" w:rsidR="000F3B19" w:rsidRPr="001558E6" w:rsidRDefault="000F3B19" w:rsidP="000F3B1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558E6">
              <w:rPr>
                <w:rFonts w:ascii="Times New Roman" w:eastAsia="Times New Roman" w:hAnsi="Times New Roman" w:cs="Times New Roman"/>
                <w:lang w:eastAsia="pl-PL"/>
              </w:rPr>
              <w:t>Koncepcje brokerskie, narzędzia możliwe do wdrożenia w środowisku uczelni</w:t>
            </w:r>
          </w:p>
        </w:tc>
        <w:tc>
          <w:tcPr>
            <w:tcW w:w="1270" w:type="dxa"/>
          </w:tcPr>
          <w:p w14:paraId="306EBC04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F3B19" w14:paraId="33D3963F" w14:textId="77777777" w:rsidTr="000F3B19">
        <w:tc>
          <w:tcPr>
            <w:tcW w:w="1838" w:type="dxa"/>
            <w:vMerge w:val="restart"/>
            <w:vAlign w:val="center"/>
          </w:tcPr>
          <w:p w14:paraId="75B1411E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2 – Doradztwo edukacyjno-zawodowe</w:t>
            </w:r>
          </w:p>
        </w:tc>
        <w:tc>
          <w:tcPr>
            <w:tcW w:w="5954" w:type="dxa"/>
          </w:tcPr>
          <w:p w14:paraId="2C1C23AC" w14:textId="77777777" w:rsidR="000F3B19" w:rsidRDefault="000F3B19" w:rsidP="000F3B1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Rozwój kompetencji doradczych uczestników – koncepcje, mechanizmy, techniki</w:t>
            </w:r>
          </w:p>
        </w:tc>
        <w:tc>
          <w:tcPr>
            <w:tcW w:w="1270" w:type="dxa"/>
          </w:tcPr>
          <w:p w14:paraId="4E91360E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F3B19" w14:paraId="3218B663" w14:textId="77777777" w:rsidTr="000F3B19">
        <w:tc>
          <w:tcPr>
            <w:tcW w:w="1838" w:type="dxa"/>
            <w:vMerge/>
          </w:tcPr>
          <w:p w14:paraId="5737BC96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954" w:type="dxa"/>
          </w:tcPr>
          <w:p w14:paraId="104AAE32" w14:textId="77777777" w:rsidR="000F3B19" w:rsidRDefault="000F3B19" w:rsidP="000F3B1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Narzędzia diagnozy kompetencji studenta, predyspozycji, potencjału zawodowego oraz ich praktyczne stosowanie</w:t>
            </w:r>
          </w:p>
        </w:tc>
        <w:tc>
          <w:tcPr>
            <w:tcW w:w="1270" w:type="dxa"/>
          </w:tcPr>
          <w:p w14:paraId="1C0976A1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F3B19" w14:paraId="5F899D32" w14:textId="77777777" w:rsidTr="000F3B19">
        <w:tc>
          <w:tcPr>
            <w:tcW w:w="1838" w:type="dxa"/>
            <w:vMerge/>
          </w:tcPr>
          <w:p w14:paraId="7919BAC5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954" w:type="dxa"/>
          </w:tcPr>
          <w:p w14:paraId="6B1F0A5B" w14:textId="77777777" w:rsidR="000F3B19" w:rsidRDefault="000F3B19" w:rsidP="000F3B1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Trening umiejętności brokera edukacyjnego w symulowanych sytuacjach, nauka pracy ze studentem w różnych sytuacjach</w:t>
            </w:r>
          </w:p>
        </w:tc>
        <w:tc>
          <w:tcPr>
            <w:tcW w:w="1270" w:type="dxa"/>
          </w:tcPr>
          <w:p w14:paraId="20DD2964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F3B19" w14:paraId="31A3E635" w14:textId="77777777" w:rsidTr="000F3B19">
        <w:tc>
          <w:tcPr>
            <w:tcW w:w="1838" w:type="dxa"/>
            <w:vMerge/>
          </w:tcPr>
          <w:p w14:paraId="3D606606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954" w:type="dxa"/>
          </w:tcPr>
          <w:p w14:paraId="3636CC5F" w14:textId="77777777" w:rsidR="000F3B19" w:rsidRDefault="000F3B19" w:rsidP="000F3B1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Rozwój kompetencji komunikacyjnych, w tym aktywnego słuchania i udzielania informacji zwrotnej</w:t>
            </w:r>
          </w:p>
        </w:tc>
        <w:tc>
          <w:tcPr>
            <w:tcW w:w="1270" w:type="dxa"/>
          </w:tcPr>
          <w:p w14:paraId="6F4B2A55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F3B19" w14:paraId="72B3C347" w14:textId="77777777" w:rsidTr="000F3B19">
        <w:tc>
          <w:tcPr>
            <w:tcW w:w="1838" w:type="dxa"/>
            <w:vMerge w:val="restart"/>
            <w:vAlign w:val="center"/>
          </w:tcPr>
          <w:p w14:paraId="77C3454F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3 – System edukacji i rynku pracy</w:t>
            </w:r>
          </w:p>
        </w:tc>
        <w:tc>
          <w:tcPr>
            <w:tcW w:w="5954" w:type="dxa"/>
          </w:tcPr>
          <w:p w14:paraId="1946E189" w14:textId="77777777" w:rsidR="000F3B19" w:rsidRDefault="000F3B19" w:rsidP="000F3B1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bookmarkStart w:id="1" w:name="_Hlk226995222"/>
            <w:r>
              <w:rPr>
                <w:rFonts w:ascii="Times New Roman" w:eastAsia="Times New Roman" w:hAnsi="Times New Roman" w:cs="Times New Roman"/>
                <w:lang w:eastAsia="pl-PL"/>
              </w:rPr>
              <w:t>Rozwój umiejętności analitycznych i mechanizmów współczesnej edukacji i rynku pracy</w:t>
            </w:r>
            <w:bookmarkEnd w:id="1"/>
          </w:p>
        </w:tc>
        <w:tc>
          <w:tcPr>
            <w:tcW w:w="1270" w:type="dxa"/>
          </w:tcPr>
          <w:p w14:paraId="4F4705BB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F3B19" w14:paraId="7060603F" w14:textId="77777777" w:rsidTr="000F3B19">
        <w:tc>
          <w:tcPr>
            <w:tcW w:w="1838" w:type="dxa"/>
            <w:vMerge/>
          </w:tcPr>
          <w:p w14:paraId="75576DA8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954" w:type="dxa"/>
          </w:tcPr>
          <w:p w14:paraId="3616B168" w14:textId="77777777" w:rsidR="000F3B19" w:rsidRDefault="000F3B19" w:rsidP="000F3B1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bookmarkStart w:id="2" w:name="_Hlk226995233"/>
            <w:r>
              <w:rPr>
                <w:rFonts w:ascii="Times New Roman" w:eastAsia="Times New Roman" w:hAnsi="Times New Roman" w:cs="Times New Roman"/>
                <w:lang w:eastAsia="pl-PL"/>
              </w:rPr>
              <w:t>Umiejscowienie szkolnictwa wyższego w ramach prawnych, powiązania z europejskim systemem edukacyjnym oraz aktualnymi trendami rynku pracy (w tym cyfryzacja, globalizacja)</w:t>
            </w:r>
            <w:bookmarkEnd w:id="2"/>
          </w:p>
        </w:tc>
        <w:tc>
          <w:tcPr>
            <w:tcW w:w="1270" w:type="dxa"/>
          </w:tcPr>
          <w:p w14:paraId="1FA0A180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F3B19" w14:paraId="506D25F6" w14:textId="77777777" w:rsidTr="000F3B19">
        <w:tc>
          <w:tcPr>
            <w:tcW w:w="1838" w:type="dxa"/>
            <w:vMerge/>
          </w:tcPr>
          <w:p w14:paraId="3C594C4B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954" w:type="dxa"/>
          </w:tcPr>
          <w:p w14:paraId="48D0B961" w14:textId="77777777" w:rsidR="000F3B19" w:rsidRDefault="000F3B19" w:rsidP="000F3B1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bookmarkStart w:id="3" w:name="_Hlk226995254"/>
            <w:r>
              <w:rPr>
                <w:rFonts w:ascii="Times New Roman" w:eastAsia="Times New Roman" w:hAnsi="Times New Roman" w:cs="Times New Roman"/>
                <w:lang w:eastAsia="pl-PL"/>
              </w:rPr>
              <w:t>Korzystanie z dostępnych danych analitycznych, ich wykorzystywanie, umiejętna analiza, identyfikowanie kluczowych kompetencji przyszłości i ich dopasowania do programów studiów, pracodawców i studentów</w:t>
            </w:r>
            <w:bookmarkEnd w:id="3"/>
          </w:p>
        </w:tc>
        <w:tc>
          <w:tcPr>
            <w:tcW w:w="1270" w:type="dxa"/>
          </w:tcPr>
          <w:p w14:paraId="0A6499CE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F3B19" w14:paraId="4026B53F" w14:textId="77777777" w:rsidTr="000F3B19">
        <w:tc>
          <w:tcPr>
            <w:tcW w:w="1838" w:type="dxa"/>
            <w:vMerge w:val="restart"/>
            <w:vAlign w:val="center"/>
          </w:tcPr>
          <w:p w14:paraId="6C7765C0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4 – Budowanie sieci współpracy i partnerstw</w:t>
            </w:r>
          </w:p>
        </w:tc>
        <w:tc>
          <w:tcPr>
            <w:tcW w:w="5954" w:type="dxa"/>
          </w:tcPr>
          <w:p w14:paraId="3B875C47" w14:textId="77777777" w:rsidR="000F3B19" w:rsidRDefault="000F3B19" w:rsidP="000F3B1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bookmarkStart w:id="4" w:name="_Hlk226995280"/>
            <w:r>
              <w:rPr>
                <w:rFonts w:ascii="Times New Roman" w:eastAsia="Times New Roman" w:hAnsi="Times New Roman" w:cs="Times New Roman"/>
                <w:lang w:eastAsia="pl-PL"/>
              </w:rPr>
              <w:t>Budowanie i utrzymywanie relacji z otoczeniem społeczno-gospodarczym. Modele, zasady, mechanizmy długofalowej współpracy uczelni z otoczeniem.</w:t>
            </w:r>
            <w:bookmarkEnd w:id="4"/>
          </w:p>
        </w:tc>
        <w:tc>
          <w:tcPr>
            <w:tcW w:w="1270" w:type="dxa"/>
          </w:tcPr>
          <w:p w14:paraId="52EBEE6D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F3B19" w14:paraId="6902F1FE" w14:textId="77777777" w:rsidTr="000F3B19">
        <w:tc>
          <w:tcPr>
            <w:tcW w:w="1838" w:type="dxa"/>
            <w:vMerge/>
          </w:tcPr>
          <w:p w14:paraId="28041013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954" w:type="dxa"/>
          </w:tcPr>
          <w:p w14:paraId="3EE968BE" w14:textId="77777777" w:rsidR="000F3B19" w:rsidRDefault="000F3B19" w:rsidP="000F3B1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bookmarkStart w:id="5" w:name="_Hlk226995293"/>
            <w:r>
              <w:rPr>
                <w:rFonts w:ascii="Times New Roman" w:eastAsia="Times New Roman" w:hAnsi="Times New Roman" w:cs="Times New Roman"/>
                <w:lang w:eastAsia="pl-PL"/>
              </w:rPr>
              <w:t>Miejsce programów stażowych, inicjatyw edukacyjnych, wydarzeń branżowych i innych w projektowaniu współpracy</w:t>
            </w:r>
            <w:bookmarkEnd w:id="5"/>
          </w:p>
        </w:tc>
        <w:tc>
          <w:tcPr>
            <w:tcW w:w="1270" w:type="dxa"/>
          </w:tcPr>
          <w:p w14:paraId="1B641193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F3B19" w14:paraId="0A70B748" w14:textId="77777777" w:rsidTr="000F3B19">
        <w:tc>
          <w:tcPr>
            <w:tcW w:w="1838" w:type="dxa"/>
            <w:vMerge/>
          </w:tcPr>
          <w:p w14:paraId="310A82F4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954" w:type="dxa"/>
          </w:tcPr>
          <w:p w14:paraId="7B4E90C5" w14:textId="77777777" w:rsidR="000F3B19" w:rsidRDefault="000F3B19" w:rsidP="000F3B1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bookmarkStart w:id="6" w:name="_Hlk226995305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Rozwój umiejętności z zakresu komunikacji, negocjacji, prowadzenia spotkań,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pl-PL"/>
              </w:rPr>
              <w:t>networkingu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>, przygotowania planu rozwoju sieci współpracy uczelni</w:t>
            </w:r>
            <w:bookmarkEnd w:id="6"/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270" w:type="dxa"/>
          </w:tcPr>
          <w:p w14:paraId="1014D65F" w14:textId="77777777" w:rsidR="000F3B19" w:rsidRDefault="000F3B19" w:rsidP="000F3B19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14:paraId="5669388F" w14:textId="7A21CAFC" w:rsidR="001558E6" w:rsidRDefault="000F3B19" w:rsidP="000F3B19">
      <w:pPr>
        <w:spacing w:after="0"/>
        <w:jc w:val="center"/>
      </w:pPr>
      <w:r w:rsidRPr="000F3B19">
        <w:rPr>
          <w:rFonts w:ascii="Calibri" w:eastAsia="Calibri" w:hAnsi="Calibri" w:cs="Calibri"/>
          <w:b/>
          <w:i/>
          <w:color w:val="FF0000"/>
        </w:rPr>
        <w:t>Dokument należy podpisać kwalifikowanym podpisem elektronicznym, lub podpisem zaufanym, lub podpisem osobistym zgodnie z zapisami IDW.</w:t>
      </w:r>
    </w:p>
    <w:sectPr w:rsidR="001558E6" w:rsidSect="000F3B19">
      <w:headerReference w:type="first" r:id="rId8"/>
      <w:pgSz w:w="11906" w:h="16838"/>
      <w:pgMar w:top="726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C88CCBD" w16cex:dateUtc="2026-04-13T19:56:00Z"/>
  <w16cex:commentExtensible w16cex:durableId="13F30E38" w16cex:dateUtc="2026-04-13T19:54:00Z"/>
  <w16cex:commentExtensible w16cex:durableId="41AAC1F4" w16cex:dateUtc="2026-04-13T19:54:00Z"/>
  <w16cex:commentExtensible w16cex:durableId="29CF9D4F" w16cex:dateUtc="2026-04-13T19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CAD11" w14:textId="77777777" w:rsidR="00830D0F" w:rsidRDefault="00830D0F" w:rsidP="001363EC">
      <w:pPr>
        <w:spacing w:after="0" w:line="240" w:lineRule="auto"/>
      </w:pPr>
      <w:r>
        <w:separator/>
      </w:r>
    </w:p>
  </w:endnote>
  <w:endnote w:type="continuationSeparator" w:id="0">
    <w:p w14:paraId="5B2A6D38" w14:textId="77777777" w:rsidR="00830D0F" w:rsidRDefault="00830D0F" w:rsidP="00136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2EB8E" w14:textId="77777777" w:rsidR="00830D0F" w:rsidRDefault="00830D0F" w:rsidP="001363EC">
      <w:pPr>
        <w:spacing w:after="0" w:line="240" w:lineRule="auto"/>
      </w:pPr>
      <w:r>
        <w:separator/>
      </w:r>
    </w:p>
  </w:footnote>
  <w:footnote w:type="continuationSeparator" w:id="0">
    <w:p w14:paraId="71A3F70B" w14:textId="77777777" w:rsidR="00830D0F" w:rsidRDefault="00830D0F" w:rsidP="00136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115FE" w14:textId="77777777" w:rsidR="000F3B19" w:rsidRDefault="000F3B19" w:rsidP="00B6425E">
    <w:pPr>
      <w:pStyle w:val="Nagwek"/>
      <w:pBdr>
        <w:bottom w:val="single" w:sz="6" w:space="1" w:color="auto"/>
      </w:pBdr>
      <w:ind w:left="284"/>
    </w:pPr>
    <w:r>
      <w:rPr>
        <w:noProof/>
      </w:rPr>
      <w:drawing>
        <wp:inline distT="0" distB="0" distL="0" distR="0" wp14:anchorId="506A30F7" wp14:editId="14E55E35">
          <wp:extent cx="5760720" cy="794385"/>
          <wp:effectExtent l="0" t="0" r="0" b="571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EAFE03" w14:textId="77777777" w:rsidR="000F3B19" w:rsidRDefault="000F3B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817A46"/>
    <w:multiLevelType w:val="hybridMultilevel"/>
    <w:tmpl w:val="581A55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3EC"/>
    <w:rsid w:val="00035BB2"/>
    <w:rsid w:val="000F3B19"/>
    <w:rsid w:val="001363EC"/>
    <w:rsid w:val="001558E6"/>
    <w:rsid w:val="00172298"/>
    <w:rsid w:val="00340399"/>
    <w:rsid w:val="003F59D5"/>
    <w:rsid w:val="004E158C"/>
    <w:rsid w:val="004E39B3"/>
    <w:rsid w:val="00555F42"/>
    <w:rsid w:val="005C526C"/>
    <w:rsid w:val="005F1673"/>
    <w:rsid w:val="006C48F0"/>
    <w:rsid w:val="00830D0F"/>
    <w:rsid w:val="0083597E"/>
    <w:rsid w:val="00900776"/>
    <w:rsid w:val="00A52AE2"/>
    <w:rsid w:val="00A743BE"/>
    <w:rsid w:val="00AF18A1"/>
    <w:rsid w:val="00B427AC"/>
    <w:rsid w:val="00BA54C4"/>
    <w:rsid w:val="00BC1BBF"/>
    <w:rsid w:val="00C9487E"/>
    <w:rsid w:val="00DB7359"/>
    <w:rsid w:val="00DD57E5"/>
    <w:rsid w:val="00DE223D"/>
    <w:rsid w:val="00E05BCF"/>
    <w:rsid w:val="00F40280"/>
    <w:rsid w:val="00FA4590"/>
    <w:rsid w:val="00FC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06E58"/>
  <w15:docId w15:val="{D2D2FE8B-304B-4D34-BF84-FCC289349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63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36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63EC"/>
  </w:style>
  <w:style w:type="paragraph" w:styleId="Stopka">
    <w:name w:val="footer"/>
    <w:basedOn w:val="Normalny"/>
    <w:link w:val="StopkaZnak"/>
    <w:uiPriority w:val="99"/>
    <w:unhideWhenUsed/>
    <w:rsid w:val="00136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63EC"/>
  </w:style>
  <w:style w:type="paragraph" w:styleId="Tekstdymka">
    <w:name w:val="Balloon Text"/>
    <w:basedOn w:val="Normalny"/>
    <w:link w:val="TekstdymkaZnak"/>
    <w:uiPriority w:val="99"/>
    <w:semiHidden/>
    <w:unhideWhenUsed/>
    <w:rsid w:val="00136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63E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55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402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02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02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02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02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0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7AA4A-9B81-4DC9-8A94-22182DADF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342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Jarosław Rzeczkowski</cp:lastModifiedBy>
  <cp:revision>6</cp:revision>
  <dcterms:created xsi:type="dcterms:W3CDTF">2026-04-13T15:20:00Z</dcterms:created>
  <dcterms:modified xsi:type="dcterms:W3CDTF">2026-04-27T06:27:00Z</dcterms:modified>
</cp:coreProperties>
</file>