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agwek1"/>
        <w:spacing w:before="0" w:after="120"/>
        <w:contextualSpacing/>
        <w:jc w:val="center"/>
        <w:rPr/>
      </w:pPr>
      <w:r>
        <w:rPr/>
      </w:r>
    </w:p>
    <w:p>
      <w:pPr>
        <w:pStyle w:val="Nagwek1"/>
        <w:spacing w:before="0" w:after="120"/>
        <w:contextualSpacing/>
        <w:jc w:val="center"/>
        <w:rPr/>
      </w:pPr>
      <w:r>
        <w:rPr>
          <w:b/>
          <w:bCs/>
        </w:rPr>
        <w:t>Wojewódzki Szpital Psychiatryczny</w:t>
      </w:r>
    </w:p>
    <w:p>
      <w:pPr>
        <w:pStyle w:val="Standard"/>
        <w:widowControl w:val="false"/>
        <w:spacing w:before="0" w:after="0"/>
        <w:contextualSpacing/>
        <w:jc w:val="center"/>
        <w:rPr/>
      </w:pPr>
      <w:r>
        <w:rPr>
          <w:b/>
          <w:bCs/>
        </w:rPr>
        <w:t>ul. J. Dąbrowskiego 19</w:t>
      </w:r>
    </w:p>
    <w:p>
      <w:pPr>
        <w:pStyle w:val="Standard"/>
        <w:widowControl w:val="false"/>
        <w:spacing w:before="0" w:after="0"/>
        <w:contextualSpacing/>
        <w:jc w:val="center"/>
        <w:rPr>
          <w:lang w:val="en-US"/>
        </w:rPr>
      </w:pPr>
      <w:r>
        <w:rPr>
          <w:b/>
          <w:bCs/>
          <w:lang w:val="en-US"/>
        </w:rPr>
        <w:t>34-120 Andrychów</w:t>
      </w:r>
    </w:p>
    <w:p>
      <w:pPr>
        <w:pStyle w:val="Standard"/>
        <w:widowControl w:val="false"/>
        <w:spacing w:before="0" w:after="0"/>
        <w:contextualSpacing/>
        <w:jc w:val="center"/>
        <w:rPr>
          <w:lang w:val="en-US"/>
        </w:rPr>
      </w:pPr>
      <w:r>
        <w:rPr>
          <w:b/>
          <w:bCs/>
          <w:lang w:val="en-US"/>
        </w:rPr>
        <w:t>tel. 33/ 875-24-46</w:t>
      </w:r>
    </w:p>
    <w:p>
      <w:pPr>
        <w:pStyle w:val="Standard"/>
        <w:widowControl w:val="false"/>
        <w:spacing w:before="0" w:after="0"/>
        <w:contextualSpacing/>
        <w:jc w:val="center"/>
        <w:rPr>
          <w:lang w:val="en-US"/>
        </w:rPr>
      </w:pPr>
      <w:r>
        <w:rPr>
          <w:b/>
          <w:bCs/>
          <w:lang w:val="en-US"/>
        </w:rPr>
        <w:t>fax. 33/ 875-45-59</w:t>
      </w:r>
    </w:p>
    <w:p>
      <w:pPr>
        <w:pStyle w:val="Standard"/>
        <w:widowControl w:val="false"/>
        <w:spacing w:before="0" w:after="0"/>
        <w:contextualSpacing/>
        <w:jc w:val="center"/>
        <w:rPr>
          <w:lang w:val="en-US"/>
        </w:rPr>
      </w:pPr>
      <w:r>
        <w:rPr>
          <w:b/>
          <w:bCs/>
          <w:lang w:val="en-US"/>
        </w:rPr>
        <w:t>NIP 551-21-23-091</w:t>
      </w:r>
    </w:p>
    <w:p>
      <w:pPr>
        <w:pStyle w:val="Standard"/>
        <w:widowControl w:val="false"/>
        <w:spacing w:before="0" w:after="0"/>
        <w:contextualSpacing/>
        <w:jc w:val="center"/>
        <w:rPr>
          <w:lang w:val="en-US"/>
        </w:rPr>
      </w:pPr>
      <w:r>
        <w:rPr>
          <w:b/>
          <w:bCs/>
          <w:lang w:val="en-US"/>
        </w:rPr>
        <w:t>REGON 000805666</w:t>
      </w:r>
    </w:p>
    <w:p>
      <w:pPr>
        <w:pStyle w:val="Standard"/>
        <w:widowControl w:val="false"/>
        <w:spacing w:before="0" w:after="0"/>
        <w:contextualSpacing/>
        <w:jc w:val="center"/>
        <w:rPr>
          <w:lang w:val="en-US"/>
        </w:rPr>
      </w:pPr>
      <w:r>
        <w:rPr>
          <w:b/>
          <w:bCs/>
          <w:lang w:val="en-US"/>
        </w:rPr>
        <w:t>e-mail: szpital@szpital.info.pl</w:t>
      </w:r>
    </w:p>
    <w:p>
      <w:pPr>
        <w:pStyle w:val="Standard"/>
        <w:widowControl w:val="false"/>
        <w:spacing w:before="0" w:after="0"/>
        <w:contextualSpacing/>
        <w:jc w:val="center"/>
        <w:rPr/>
      </w:pPr>
      <w:r>
        <w:rPr>
          <w:b/>
          <w:bCs/>
        </w:rPr>
        <w:t>www.szpital.info.pl</w:t>
      </w:r>
    </w:p>
    <w:p>
      <w:pPr>
        <w:pStyle w:val="Standard"/>
        <w:widowControl w:val="false"/>
        <w:spacing w:before="0" w:after="0"/>
        <w:contextualSpacing/>
        <w:jc w:val="center"/>
        <w:rPr>
          <w:b/>
          <w:bCs/>
          <w:sz w:val="72"/>
          <w:szCs w:val="72"/>
        </w:rPr>
      </w:pPr>
      <w:r>
        <w:rPr>
          <w:b/>
          <w:bCs/>
          <w:sz w:val="72"/>
          <w:szCs w:val="72"/>
        </w:rPr>
      </w:r>
    </w:p>
    <w:p>
      <w:pPr>
        <w:pStyle w:val="Standard"/>
        <w:widowControl w:val="false"/>
        <w:spacing w:before="0" w:after="0"/>
        <w:contextualSpacing/>
        <w:jc w:val="center"/>
        <w:rPr/>
      </w:pPr>
      <w:r>
        <w:rPr>
          <w:b/>
          <w:bCs/>
          <w:sz w:val="72"/>
          <w:szCs w:val="72"/>
        </w:rPr>
        <w:t>SPECYFIKACJA WARUNKÓW ZAMÓWIENIA</w:t>
      </w:r>
    </w:p>
    <w:p>
      <w:pPr>
        <w:pStyle w:val="Standard"/>
        <w:widowControl w:val="false"/>
        <w:spacing w:before="0" w:after="0"/>
        <w:contextualSpacing/>
        <w:jc w:val="center"/>
        <w:rPr>
          <w:b/>
          <w:bCs/>
          <w:color w:val="FF0000"/>
          <w:sz w:val="72"/>
          <w:szCs w:val="72"/>
        </w:rPr>
      </w:pPr>
      <w:r>
        <w:rPr>
          <w:b/>
          <w:bCs/>
          <w:color w:val="FF0000"/>
          <w:sz w:val="72"/>
          <w:szCs w:val="72"/>
        </w:rPr>
      </w:r>
    </w:p>
    <w:p>
      <w:pPr>
        <w:pStyle w:val="Standard"/>
        <w:widowControl w:val="false"/>
        <w:spacing w:before="0" w:after="0"/>
        <w:contextualSpacing/>
        <w:rPr>
          <w:b/>
          <w:bCs/>
          <w:sz w:val="72"/>
          <w:szCs w:val="72"/>
        </w:rPr>
      </w:pPr>
      <w:r>
        <w:rPr>
          <w:b/>
          <w:bCs/>
          <w:sz w:val="72"/>
          <w:szCs w:val="72"/>
        </w:rPr>
      </w:r>
    </w:p>
    <w:p>
      <w:pPr>
        <w:pStyle w:val="Standard"/>
        <w:spacing w:before="0" w:after="0"/>
        <w:contextualSpacing/>
        <w:jc w:val="center"/>
        <w:rPr/>
      </w:pPr>
      <w:r>
        <w:rPr>
          <w:b/>
          <w:bCs/>
          <w:i/>
          <w:iCs/>
          <w:sz w:val="28"/>
          <w:szCs w:val="28"/>
        </w:rPr>
        <w:t xml:space="preserve">Postępowanie o udzielenie zamówienia publicznego prowadzonego w </w:t>
      </w:r>
      <w:bookmarkStart w:id="0" w:name="_Hlk116336809"/>
      <w:r>
        <w:rPr>
          <w:b/>
          <w:bCs/>
          <w:i/>
          <w:iCs/>
          <w:sz w:val="28"/>
          <w:szCs w:val="28"/>
        </w:rPr>
        <w:t xml:space="preserve">trybie podstawowym bez negocjacji </w:t>
      </w:r>
      <w:bookmarkEnd w:id="0"/>
      <w:r>
        <w:rPr>
          <w:b/>
          <w:bCs/>
          <w:i/>
          <w:iCs/>
          <w:sz w:val="28"/>
          <w:szCs w:val="28"/>
        </w:rPr>
        <w:t xml:space="preserve">na przedmiot zamówienia </w:t>
      </w:r>
      <w:bookmarkStart w:id="1" w:name="_Hlk119346448"/>
      <w:r>
        <w:rPr>
          <w:b/>
          <w:bCs/>
          <w:i/>
          <w:iCs/>
          <w:sz w:val="28"/>
          <w:szCs w:val="28"/>
        </w:rPr>
        <w:t>pn.: „</w:t>
      </w:r>
      <w:bookmarkStart w:id="2" w:name="_Hlk119346384"/>
      <w:r>
        <w:rPr>
          <w:b/>
          <w:bCs/>
          <w:i/>
          <w:iCs/>
          <w:sz w:val="28"/>
          <w:szCs w:val="28"/>
        </w:rPr>
        <w:t>Przebudowa, rozbudowa i kompleksowa transformacja energetyczna budynku OTUA Wojewódzkiego Szpitala Psychiatrycznego w Andrychowie - w formule zaprojektuj i wybuduj ”</w:t>
      </w:r>
      <w:bookmarkEnd w:id="1"/>
      <w:bookmarkEnd w:id="2"/>
    </w:p>
    <w:p>
      <w:pPr>
        <w:pStyle w:val="Standard"/>
        <w:widowControl w:val="false"/>
        <w:spacing w:before="0" w:after="0"/>
        <w:contextualSpacing/>
        <w:rPr>
          <w:i/>
          <w:iCs/>
          <w:color w:val="FF0000"/>
        </w:rPr>
      </w:pPr>
      <w:r>
        <w:rPr>
          <w:i/>
          <w:iCs/>
          <w:color w:val="FF0000"/>
        </w:rPr>
      </w:r>
    </w:p>
    <w:p>
      <w:pPr>
        <w:pStyle w:val="Standard"/>
        <w:widowControl w:val="false"/>
        <w:spacing w:before="0" w:after="0"/>
        <w:contextualSpacing/>
        <w:rPr>
          <w:i/>
          <w:iCs/>
          <w:color w:val="FF0000"/>
        </w:rPr>
      </w:pPr>
      <w:r>
        <w:rPr>
          <w:i/>
          <w:iCs/>
          <w:color w:val="FF0000"/>
        </w:rPr>
      </w:r>
    </w:p>
    <w:p>
      <w:pPr>
        <w:pStyle w:val="Standard"/>
        <w:widowControl w:val="false"/>
        <w:spacing w:before="0" w:after="0"/>
        <w:contextualSpacing/>
        <w:rPr>
          <w:i/>
          <w:iCs/>
          <w:color w:val="FF0000"/>
        </w:rPr>
      </w:pPr>
      <w:r>
        <w:rPr>
          <w:i/>
          <w:iCs/>
          <w:color w:val="FF0000"/>
        </w:rPr>
      </w:r>
    </w:p>
    <w:p>
      <w:pPr>
        <w:pStyle w:val="Standard"/>
        <w:widowControl w:val="false"/>
        <w:spacing w:before="0" w:after="0"/>
        <w:contextualSpacing/>
        <w:rPr>
          <w:i/>
          <w:iCs/>
          <w:color w:val="FF0000"/>
        </w:rPr>
      </w:pPr>
      <w:r>
        <w:rPr>
          <w:i/>
          <w:iCs/>
          <w:color w:val="FF0000"/>
        </w:rPr>
      </w:r>
    </w:p>
    <w:p>
      <w:pPr>
        <w:pStyle w:val="Standard"/>
        <w:widowControl w:val="false"/>
        <w:spacing w:before="0" w:after="0"/>
        <w:contextualSpacing/>
        <w:rPr>
          <w:i/>
          <w:iCs/>
          <w:color w:val="FF0000"/>
        </w:rPr>
      </w:pPr>
      <w:r>
        <w:rPr>
          <w:i/>
          <w:iCs/>
          <w:color w:val="FF0000"/>
        </w:rPr>
      </w:r>
    </w:p>
    <w:p>
      <w:pPr>
        <w:pStyle w:val="Standard"/>
        <w:widowControl w:val="false"/>
        <w:spacing w:before="0" w:after="0"/>
        <w:contextualSpacing/>
        <w:jc w:val="center"/>
        <w:rPr/>
      </w:pPr>
      <w:r>
        <w:rPr>
          <w:i/>
          <w:iCs/>
        </w:rPr>
        <w:t>Przedmiotowe postępowanie prowadzone jest przy użyciu środków komunikacji elektronicznej. Składanie ofert następuje za pośrednictwem platformy zakupowej dostępnej pod adresem internetowym:</w:t>
      </w:r>
      <w:r>
        <w:rPr>
          <w:i/>
          <w:iCs/>
          <w:u w:val="single"/>
        </w:rPr>
        <w:t xml:space="preserve"> </w:t>
      </w:r>
      <w:hyperlink r:id="rId2">
        <w:r>
          <w:rPr>
            <w:rStyle w:val="Style1"/>
            <w:i/>
            <w:iCs/>
            <w:u w:val="single"/>
          </w:rPr>
          <w:t>https://platformazakupowa.pl/pn/szpital_andrychow</w:t>
        </w:r>
      </w:hyperlink>
    </w:p>
    <w:p>
      <w:pPr>
        <w:pStyle w:val="Standard"/>
        <w:spacing w:before="0" w:after="120"/>
        <w:contextualSpacing/>
        <w:rPr>
          <w:i/>
          <w:iCs/>
        </w:rPr>
      </w:pPr>
      <w:r>
        <w:rPr>
          <w:i/>
          <w:iCs/>
        </w:rPr>
      </w:r>
    </w:p>
    <w:p>
      <w:pPr>
        <w:pStyle w:val="Standard"/>
        <w:spacing w:before="0" w:after="120"/>
        <w:contextualSpacing/>
        <w:rPr>
          <w:i/>
          <w:iCs/>
        </w:rPr>
      </w:pPr>
      <w:r>
        <w:rPr>
          <w:i/>
          <w:iCs/>
        </w:rPr>
      </w:r>
    </w:p>
    <w:p>
      <w:pPr>
        <w:pStyle w:val="Standard"/>
        <w:spacing w:before="0" w:after="120"/>
        <w:contextualSpacing/>
        <w:rPr>
          <w:i/>
          <w:iCs/>
        </w:rPr>
      </w:pPr>
      <w:r>
        <w:rPr>
          <w:i/>
          <w:iCs/>
        </w:rPr>
      </w:r>
    </w:p>
    <w:p>
      <w:pPr>
        <w:pStyle w:val="Standard"/>
        <w:spacing w:before="0" w:after="120"/>
        <w:contextualSpacing/>
        <w:rPr>
          <w:i/>
          <w:iCs/>
        </w:rPr>
      </w:pPr>
      <w:r>
        <w:rPr>
          <w:i/>
          <w:iCs/>
        </w:rPr>
      </w:r>
    </w:p>
    <w:p>
      <w:pPr>
        <w:pStyle w:val="Standard"/>
        <w:spacing w:before="0" w:after="120"/>
        <w:contextualSpacing/>
        <w:rPr>
          <w:i/>
          <w:iCs/>
        </w:rPr>
      </w:pPr>
      <w:r>
        <w:rPr>
          <w:i/>
          <w:iCs/>
        </w:rPr>
      </w:r>
    </w:p>
    <w:p>
      <w:pPr>
        <w:pStyle w:val="Standard"/>
        <w:spacing w:before="0" w:after="120"/>
        <w:contextualSpacing/>
        <w:rPr>
          <w:i/>
          <w:iCs/>
          <w:color w:val="FF0000"/>
        </w:rPr>
      </w:pPr>
      <w:r>
        <w:rPr>
          <w:i/>
          <w:iCs/>
          <w:color w:val="FF0000"/>
        </w:rPr>
      </w:r>
    </w:p>
    <w:p>
      <w:pPr>
        <w:pStyle w:val="Standard"/>
        <w:shd w:val="clear" w:color="auto" w:fill="E5E5E5"/>
        <w:spacing w:before="0" w:after="0"/>
        <w:contextualSpacing/>
        <w:rPr/>
      </w:pPr>
      <w:r>
        <w:rPr>
          <w:b/>
        </w:rPr>
        <w:t>I. NAZWA ORAZ ADRES ZAMAWIAJĄCEGO:</w:t>
      </w:r>
    </w:p>
    <w:p>
      <w:pPr>
        <w:pStyle w:val="Standard"/>
        <w:spacing w:before="0" w:after="0"/>
        <w:contextualSpacing/>
        <w:jc w:val="both"/>
        <w:rPr/>
      </w:pPr>
      <w:r>
        <w:rPr/>
        <w:t>Wojewódzki Szpital Psychiatryczny w Andrychowie</w:t>
      </w:r>
    </w:p>
    <w:p>
      <w:pPr>
        <w:pStyle w:val="Standard"/>
        <w:spacing w:before="0" w:after="0"/>
        <w:contextualSpacing/>
        <w:jc w:val="both"/>
        <w:rPr/>
      </w:pPr>
      <w:r>
        <w:rPr/>
        <w:t>ul. J. Dąbrowskiego 19</w:t>
      </w:r>
    </w:p>
    <w:p>
      <w:pPr>
        <w:pStyle w:val="Standard"/>
        <w:spacing w:before="0" w:after="0"/>
        <w:contextualSpacing/>
        <w:jc w:val="both"/>
        <w:rPr>
          <w:lang w:val="en-US"/>
        </w:rPr>
      </w:pPr>
      <w:r>
        <w:rPr>
          <w:lang w:val="en-US"/>
        </w:rPr>
        <w:t>34-120 Andrychów</w:t>
      </w:r>
    </w:p>
    <w:p>
      <w:pPr>
        <w:pStyle w:val="Standard"/>
        <w:spacing w:before="0" w:after="0"/>
        <w:contextualSpacing/>
        <w:jc w:val="both"/>
        <w:rPr>
          <w:lang w:val="en-US"/>
        </w:rPr>
      </w:pPr>
      <w:r>
        <w:rPr>
          <w:lang w:val="en-US"/>
        </w:rPr>
        <w:t>tel. 33/875 24-46, fax. 33/875 45-59</w:t>
      </w:r>
    </w:p>
    <w:p>
      <w:pPr>
        <w:pStyle w:val="Standard"/>
        <w:spacing w:before="0" w:after="0"/>
        <w:contextualSpacing/>
        <w:jc w:val="both"/>
        <w:rPr>
          <w:lang w:val="en-US"/>
        </w:rPr>
      </w:pPr>
      <w:r>
        <w:rPr>
          <w:lang w:val="en-US"/>
        </w:rPr>
        <w:t xml:space="preserve">e-mail: </w:t>
      </w:r>
      <w:hyperlink r:id="rId3">
        <w:r>
          <w:rPr>
            <w:rStyle w:val="Style1"/>
            <w:u w:val="single"/>
            <w:lang w:val="en-US"/>
          </w:rPr>
          <w:t>szpital@szpital.info.pl</w:t>
        </w:r>
      </w:hyperlink>
    </w:p>
    <w:p>
      <w:pPr>
        <w:pStyle w:val="Standard"/>
        <w:spacing w:before="0" w:after="120"/>
        <w:contextualSpacing/>
        <w:jc w:val="both"/>
        <w:rPr/>
      </w:pPr>
      <w:r>
        <w:rPr/>
        <w:t xml:space="preserve">adres strony internetowej: </w:t>
      </w:r>
      <w:hyperlink r:id="rId4">
        <w:r>
          <w:rPr>
            <w:rStyle w:val="Style1"/>
          </w:rPr>
          <w:t>www.szpital.info.pl</w:t>
        </w:r>
      </w:hyperlink>
    </w:p>
    <w:p>
      <w:pPr>
        <w:pStyle w:val="Standard"/>
        <w:spacing w:before="0" w:after="120"/>
        <w:contextualSpacing/>
        <w:jc w:val="both"/>
        <w:rPr/>
      </w:pPr>
      <w:r>
        <w:rPr/>
        <w:t>Godziny urzędowania: 7.00 – 14.35</w:t>
      </w:r>
    </w:p>
    <w:p>
      <w:pPr>
        <w:pStyle w:val="Standard"/>
        <w:spacing w:before="0" w:after="120"/>
        <w:contextualSpacing/>
        <w:jc w:val="both"/>
        <w:rPr/>
      </w:pPr>
      <w:r>
        <w:rPr/>
        <w:t xml:space="preserve">Adres strony internetowej, na której prowadzone jest postępowanie i na której będą dostępne wszelkie dokumenty związane z postępowaniem o udzielenie zamówienia publicznego: </w:t>
      </w:r>
      <w:hyperlink r:id="rId5">
        <w:r>
          <w:rPr>
            <w:rStyle w:val="Style1"/>
            <w:i/>
            <w:iCs/>
            <w:u w:val="single"/>
          </w:rPr>
          <w:t>https://platformazakupowa.pl/pn/szpital_andrychow</w:t>
        </w:r>
      </w:hyperlink>
    </w:p>
    <w:p>
      <w:pPr>
        <w:pStyle w:val="Standard"/>
        <w:spacing w:before="0" w:after="120"/>
        <w:contextualSpacing/>
        <w:rPr>
          <w:color w:val="FF0000"/>
        </w:rPr>
      </w:pPr>
      <w:r>
        <w:rPr>
          <w:color w:val="FF0000"/>
        </w:rPr>
      </w:r>
    </w:p>
    <w:p>
      <w:pPr>
        <w:pStyle w:val="Standard"/>
        <w:shd w:val="clear" w:color="auto" w:fill="E5E5E5"/>
        <w:spacing w:before="0" w:after="120"/>
        <w:contextualSpacing/>
        <w:rPr/>
      </w:pPr>
      <w:r>
        <w:rPr>
          <w:b/>
        </w:rPr>
        <w:t>II. TRYB UDZIELENIA ZAMÓWIENIA:</w:t>
      </w:r>
    </w:p>
    <w:p>
      <w:pPr>
        <w:pStyle w:val="Standard"/>
        <w:spacing w:before="0" w:after="120"/>
        <w:contextualSpacing/>
        <w:jc w:val="both"/>
        <w:rPr/>
      </w:pPr>
      <w:r>
        <w:rPr/>
        <w:t xml:space="preserve">1. Postępowanie prowadzone jest </w:t>
      </w:r>
      <w:r>
        <w:rPr>
          <w:u w:val="single"/>
        </w:rPr>
        <w:t>w trybie podstawowym bez negocjacji</w:t>
      </w:r>
      <w:r>
        <w:rPr/>
        <w:t xml:space="preserve"> na podstawie art. 275 pkt. 1 Ustawy z dnia 11 września 2019 r. Prawo Zamówień Publicznych (tj. Dz. U. z 2024 r. poz. 1320 ze zm.), dalej „ustawa Pzp”, w którym w odpowiedzi na ogłoszenie o zamówieniu oferty mogą składać wszyscy zainteresowani Wykonawcy, a następnie Zamawiający wybiera najkorzystniejszą ofertę bez przeprowadzenia negocjacji. </w:t>
      </w:r>
    </w:p>
    <w:p>
      <w:pPr>
        <w:pStyle w:val="Standard"/>
        <w:spacing w:before="0" w:after="0"/>
        <w:contextualSpacing/>
        <w:jc w:val="both"/>
        <w:rPr/>
      </w:pPr>
      <w:r>
        <w:rPr/>
        <w:t>2. Szacunkowa wartość zamówienia nie przekracza kwoty określonej w obwieszczeniu Prezesa Urzędu Zamówień Publicznych wydanym na podstawie art. 3 ust. 2 ustawy Pzp. (Postępowanie prowadzone jest dla wartości zamówienia mniejszej niż próg unijny.)</w:t>
      </w:r>
    </w:p>
    <w:p>
      <w:pPr>
        <w:pStyle w:val="Standard"/>
        <w:spacing w:before="0" w:after="120"/>
        <w:contextualSpacing/>
        <w:jc w:val="both"/>
        <w:rPr/>
      </w:pPr>
      <w:r>
        <w:rPr/>
        <w:t>3. Zamawiający nie przewiduje wyboru najkorzystniejszej oferty z zastosowaniem aukcji elektronicznej.</w:t>
      </w:r>
    </w:p>
    <w:p>
      <w:pPr>
        <w:pStyle w:val="Standard"/>
        <w:spacing w:before="0" w:after="120"/>
        <w:contextualSpacing/>
        <w:jc w:val="both"/>
        <w:rPr/>
      </w:pPr>
      <w:r>
        <w:rPr/>
        <w:t>4. Zamawiający nie dopuszcza składania ofert wariantowych.</w:t>
      </w:r>
    </w:p>
    <w:p>
      <w:pPr>
        <w:pStyle w:val="Standard"/>
        <w:spacing w:before="0" w:after="120"/>
        <w:contextualSpacing/>
        <w:jc w:val="both"/>
        <w:rPr/>
      </w:pPr>
      <w:r>
        <w:rPr/>
        <w:t>5. Zamawiający nie dopuszcza rozliczeń w walutach obcych.</w:t>
      </w:r>
    </w:p>
    <w:p>
      <w:pPr>
        <w:pStyle w:val="Standard"/>
        <w:spacing w:before="0" w:after="120"/>
        <w:contextualSpacing/>
        <w:jc w:val="both"/>
        <w:rPr/>
      </w:pPr>
      <w:r>
        <w:rPr/>
        <w:t>6. Zamawiający nie prowadzi postępowania w celu zawarcia umowy ramowej.</w:t>
      </w:r>
    </w:p>
    <w:p>
      <w:pPr>
        <w:pStyle w:val="Standard"/>
        <w:spacing w:before="0" w:after="120"/>
        <w:contextualSpacing/>
        <w:jc w:val="both"/>
        <w:rPr/>
      </w:pPr>
      <w:r>
        <w:rPr/>
        <w:t>7. Zamawiający nie przewiduje zwrotu kosztów udziału w postępowaniu.</w:t>
      </w:r>
    </w:p>
    <w:p>
      <w:pPr>
        <w:pStyle w:val="Standard"/>
        <w:spacing w:before="0" w:after="120"/>
        <w:contextualSpacing/>
        <w:jc w:val="both"/>
        <w:rPr/>
      </w:pPr>
      <w:r>
        <w:rPr/>
        <w:t xml:space="preserve">8. Zamawiający nie przewiduje możliwości udzielenia zamówień podobnych, o których mowa w art. 214 ust. 1 pkt. 7 ustawy Pzp w związku z art. 305 pkt. 1 ustawy Pzp. </w:t>
      </w:r>
    </w:p>
    <w:p>
      <w:pPr>
        <w:pStyle w:val="Standard"/>
        <w:spacing w:before="0" w:after="120"/>
        <w:contextualSpacing/>
        <w:jc w:val="both"/>
        <w:rPr/>
      </w:pPr>
      <w:r>
        <w:rPr/>
        <w:t>9. Zamawiający nie przewiduje możliwości ani nie wymaga złożenia oferty po odbyciu przez Wykonawcę wizji lokalnej lub sprawdzenia przez niego dokumentów niezbędnych do realizacji zamówienia dostępnych na miejscu u Zamawiającego.</w:t>
      </w:r>
    </w:p>
    <w:p>
      <w:pPr>
        <w:pStyle w:val="Standard"/>
        <w:spacing w:before="0" w:after="120"/>
        <w:contextualSpacing/>
        <w:jc w:val="both"/>
        <w:rPr/>
      </w:pPr>
      <w:r>
        <w:rPr/>
        <w:t xml:space="preserve">9.1 Zamawiający nie wymaga ale zaleca aby Wykonawca przed złożeniem oferty dokonał wizji lokalnej terenu objętego niniejszym przedmiotem zamówienia (wizja fakultatywna). Zamawiający umożliwi przeprowadzenie wizji lokalnej w dni robocze, w godz.: 08:00-13:00. Wniosek o przeprowadzenie wizji należy przesłać za pośrednictwem strony internetowej prowadzonego postępowania. </w:t>
      </w:r>
    </w:p>
    <w:p>
      <w:pPr>
        <w:pStyle w:val="Standard"/>
        <w:spacing w:before="0" w:after="120"/>
        <w:contextualSpacing/>
        <w:jc w:val="both"/>
        <w:rPr/>
      </w:pPr>
      <w:r>
        <w:rPr/>
        <w:t xml:space="preserve">10. Zamawiający </w:t>
      </w:r>
      <w:r>
        <w:rPr>
          <w:u w:val="single"/>
        </w:rPr>
        <w:t>nie zastrzeg</w:t>
      </w:r>
      <w:r>
        <w:rPr/>
        <w:t xml:space="preserve">a możliwości ubiegania się o udzielenie zamówienia wyłącznie przez Wykonawców, o których mowa w art. 94 ustawy Pzp. </w:t>
      </w:r>
    </w:p>
    <w:p>
      <w:pPr>
        <w:pStyle w:val="Standard"/>
        <w:spacing w:before="0" w:after="120"/>
        <w:contextualSpacing/>
        <w:jc w:val="both"/>
        <w:rPr/>
      </w:pPr>
      <w:r>
        <w:rPr>
          <w:lang w:eastAsia="pl-PL"/>
        </w:rPr>
        <w:t>11. Zamawiający nie określa dodatkowych wymagań związanych z zatrudnieniem osób,</w:t>
        <w:br/>
        <w:t>o których mowa w art.</w:t>
      </w:r>
      <w:r>
        <w:rPr/>
        <w:t xml:space="preserve"> 96 ust. 2 pkt. 2 ustawy Pzp.  </w:t>
      </w:r>
    </w:p>
    <w:p>
      <w:pPr>
        <w:pStyle w:val="Standard"/>
        <w:spacing w:before="0" w:after="120"/>
        <w:contextualSpacing/>
        <w:jc w:val="both"/>
        <w:rPr>
          <w:kern w:val="0"/>
        </w:rPr>
      </w:pPr>
      <w:r>
        <w:rPr/>
        <w:t xml:space="preserve">12. </w:t>
      </w:r>
      <w:r>
        <w:rPr>
          <w:kern w:val="0"/>
        </w:rPr>
        <w:t xml:space="preserve">W zakresie nieuregulowanym niniejszą SWZ zastosowanie mają przepisy ustawy Pzp oraz akty wykonawcze wydane na jej podstawie a w sprawach nieuregulowanych zastosowanie mają przepisy Ustawy z dnia 23 kwietnia 1964 r. – Kodeks Cywilny (Dz. U. z 2020 r., poz. 1740 ze zm.), dalej „kodeks cywilny” oraz Ustawy z dnia 7 lipca 1994 r. – Prawo Budowlane (Dz. U. z 2024 r., poz. 725 ze zm .), dalej „prawo budowlane”. </w:t>
      </w:r>
    </w:p>
    <w:p>
      <w:pPr>
        <w:pStyle w:val="Standard"/>
        <w:spacing w:before="0" w:after="120"/>
        <w:contextualSpacing/>
        <w:jc w:val="both"/>
        <w:rPr>
          <w:kern w:val="0"/>
        </w:rPr>
      </w:pPr>
      <w:r>
        <w:rPr>
          <w:kern w:val="0"/>
        </w:rPr>
        <w:t>13. Zamawiający przewiduje możliwość unieważnienia postępowania o udzielenie zamówienia publicznego zgodnie z art. 310 ustawy Pzp, jeżeli środki publiczne, które Zamawiający zamierza przeznaczyć na sfinansowanie całości lub części zamówienia nie zostaną mu przyznane, w tym środków pochodzących z FEM 2021–2027.</w:t>
      </w:r>
    </w:p>
    <w:p>
      <w:pPr>
        <w:pStyle w:val="Standard"/>
        <w:spacing w:before="0" w:after="120"/>
        <w:contextualSpacing/>
        <w:jc w:val="both"/>
        <w:rPr>
          <w:kern w:val="0"/>
        </w:rPr>
      </w:pPr>
      <w:r>
        <w:rPr>
          <w:kern w:val="0"/>
        </w:rPr>
        <w:t>14. Zamówienie współfinansowane ze środków Unii Europejskiej. W ramach Programu Fundusze Europejskie dla Małopolski 2021 – 2027, Priorytet 8 Fundusze europejskie  dla sprawiedliwej transformacji infrastrukturę społeczną. Działanie 5.13 Środowiskowa opieka psychiatryczna dla dzieci, młodzieży i dorosłych. Typ projektu A. Wsparcie opieki psychiatrycznej dla dzieci, młodzieży i dorosłych.</w:t>
      </w:r>
    </w:p>
    <w:p>
      <w:pPr>
        <w:pStyle w:val="Standard"/>
        <w:spacing w:before="0" w:after="120"/>
        <w:contextualSpacing/>
        <w:jc w:val="both"/>
        <w:rPr>
          <w:kern w:val="0"/>
        </w:rPr>
      </w:pPr>
      <w:r>
        <w:rPr>
          <w:kern w:val="0"/>
        </w:rPr>
        <w:t>14.1. Zamówienie realizowane jest zgodnie z ustawą wdrożeniową oraz Wytycznymi kwalifikowalności MFiPR, w szczególności w zakresie zapewnienia efektywności wydatków, konkurencyjności oraz osiągnięcia wskaźników projektu.</w:t>
      </w:r>
    </w:p>
    <w:p>
      <w:pPr>
        <w:pStyle w:val="Standard"/>
        <w:shd w:val="clear" w:color="auto" w:fill="E5E5E5"/>
        <w:spacing w:before="0" w:after="120"/>
        <w:contextualSpacing/>
        <w:rPr>
          <w:b/>
        </w:rPr>
      </w:pPr>
      <w:r>
        <w:rPr>
          <w:b/>
        </w:rPr>
      </w:r>
    </w:p>
    <w:p>
      <w:pPr>
        <w:pStyle w:val="Standard"/>
        <w:shd w:val="clear" w:color="auto" w:fill="E5E5E5"/>
        <w:spacing w:before="0" w:after="120"/>
        <w:contextualSpacing/>
        <w:rPr>
          <w:b/>
        </w:rPr>
      </w:pPr>
      <w:r>
        <w:rPr>
          <w:b/>
        </w:rPr>
        <w:t>III. OPIS PRZEDMIOTU ZAMÓWIENIA:</w:t>
      </w:r>
    </w:p>
    <w:p>
      <w:pPr>
        <w:pStyle w:val="Standard"/>
        <w:spacing w:before="0" w:after="120"/>
        <w:contextualSpacing/>
        <w:jc w:val="both"/>
        <w:rPr/>
      </w:pPr>
      <w:r>
        <w:rPr/>
        <w:t>Kod wspólnego słownika zamówień CPV:</w:t>
      </w:r>
    </w:p>
    <w:p>
      <w:pPr>
        <w:pStyle w:val="Standard"/>
        <w:spacing w:before="0" w:after="120"/>
        <w:contextualSpacing/>
        <w:jc w:val="both"/>
        <w:rPr>
          <w:color w:val="FF0000"/>
        </w:rPr>
      </w:pPr>
      <w:r>
        <w:rPr>
          <w:color w:val="FF0000"/>
        </w:rPr>
      </w:r>
    </w:p>
    <w:p>
      <w:pPr>
        <w:pStyle w:val="Standard"/>
        <w:spacing w:before="0" w:after="120"/>
        <w:contextualSpacing/>
        <w:jc w:val="both"/>
        <w:rPr/>
      </w:pPr>
      <w:r>
        <w:rPr/>
        <w:t xml:space="preserve">Główny kod CPV: </w:t>
        <w:tab/>
        <w:tab/>
        <w:t>45000000-7</w:t>
        <w:tab/>
        <w:tab/>
        <w:t>Roboty budowlane</w:t>
      </w:r>
    </w:p>
    <w:p>
      <w:pPr>
        <w:pStyle w:val="Standard"/>
        <w:spacing w:before="0" w:after="120"/>
        <w:contextualSpacing/>
        <w:jc w:val="both"/>
        <w:rPr/>
      </w:pPr>
      <w:r>
        <w:rPr/>
      </w:r>
    </w:p>
    <w:p>
      <w:pPr>
        <w:pStyle w:val="Standard"/>
        <w:spacing w:before="0" w:after="120"/>
        <w:contextualSpacing/>
        <w:jc w:val="both"/>
        <w:rPr/>
      </w:pPr>
      <w:r>
        <w:rPr/>
        <w:t>Dodatkowe kody CPV:</w:t>
        <w:tab/>
        <w:t>45000000-0</w:t>
        <w:tab/>
        <w:tab/>
        <w:t>Roboty instalacyjne w budynkach</w:t>
      </w:r>
    </w:p>
    <w:p>
      <w:pPr>
        <w:pStyle w:val="Standard"/>
        <w:spacing w:before="0" w:after="120"/>
        <w:ind w:hanging="2160" w:left="5040"/>
        <w:contextualSpacing/>
        <w:jc w:val="both"/>
        <w:rPr/>
      </w:pPr>
      <w:r>
        <w:rPr/>
        <w:t>45200000-9</w:t>
        <w:tab/>
        <w:t>Roboty budowlane w zakresie wznoszenia kompletnych obiektów budowlanych lub ich części oraz roboty w zakresie inżynierii lądowej i wodnej</w:t>
      </w:r>
    </w:p>
    <w:p>
      <w:pPr>
        <w:pStyle w:val="Standard"/>
        <w:spacing w:before="0" w:after="120"/>
        <w:ind w:hanging="2160" w:left="5040"/>
        <w:contextualSpacing/>
        <w:jc w:val="both"/>
        <w:rPr/>
      </w:pPr>
      <w:r>
        <w:rPr/>
        <w:t>45260000-7</w:t>
        <w:tab/>
        <w:t>Roboty w zakresie wykonywania pokryć i konstrukcji dachowych i inne podobne roboty specjalistyczne</w:t>
      </w:r>
    </w:p>
    <w:p>
      <w:pPr>
        <w:pStyle w:val="Standard"/>
        <w:spacing w:before="0" w:after="120"/>
        <w:ind w:hanging="2160" w:left="5040"/>
        <w:contextualSpacing/>
        <w:jc w:val="both"/>
        <w:rPr/>
      </w:pPr>
      <w:r>
        <w:rPr/>
        <w:t>45421000-4</w:t>
        <w:tab/>
        <w:t>Roboty w zakresie stolarki budowlanej</w:t>
      </w:r>
    </w:p>
    <w:p>
      <w:pPr>
        <w:pStyle w:val="Standard"/>
        <w:spacing w:before="0" w:after="120"/>
        <w:ind w:hanging="2160" w:left="5040"/>
        <w:contextualSpacing/>
        <w:jc w:val="both"/>
        <w:rPr/>
      </w:pPr>
      <w:r>
        <w:rPr/>
        <w:t>45343000-3</w:t>
        <w:tab/>
        <w:t>Roboty instalacyjne przeciwpożarowe</w:t>
      </w:r>
    </w:p>
    <w:p>
      <w:pPr>
        <w:pStyle w:val="Standard"/>
        <w:spacing w:before="0" w:after="120"/>
        <w:ind w:hanging="2160" w:left="5040"/>
        <w:contextualSpacing/>
        <w:jc w:val="both"/>
        <w:rPr/>
      </w:pPr>
      <w:r>
        <w:rPr/>
        <w:t>45331000-6</w:t>
        <w:tab/>
        <w:t>Instalowanie urządzeń grzewczych, wentylacyjnych i klimatyzacyjnych</w:t>
      </w:r>
    </w:p>
    <w:p>
      <w:pPr>
        <w:pStyle w:val="Standard"/>
        <w:spacing w:before="0" w:after="120"/>
        <w:ind w:hanging="2160" w:left="5040"/>
        <w:contextualSpacing/>
        <w:jc w:val="both"/>
        <w:rPr/>
      </w:pPr>
      <w:r>
        <w:rPr/>
        <w:t>45321000-3</w:t>
        <w:tab/>
        <w:t>Izolacja cieplna</w:t>
      </w:r>
    </w:p>
    <w:p>
      <w:pPr>
        <w:pStyle w:val="Standard"/>
        <w:spacing w:before="0" w:after="120"/>
        <w:ind w:hanging="2160" w:left="5040"/>
        <w:contextualSpacing/>
        <w:jc w:val="both"/>
        <w:rPr/>
      </w:pPr>
      <w:r>
        <w:rPr/>
        <w:t>45400000-1</w:t>
        <w:tab/>
        <w:t>Roboty wykończeniowe w zakresie obiektów budowlanych</w:t>
      </w:r>
    </w:p>
    <w:p>
      <w:pPr>
        <w:pStyle w:val="Standard"/>
        <w:spacing w:before="0" w:after="120"/>
        <w:ind w:hanging="2160" w:left="5040"/>
        <w:contextualSpacing/>
        <w:jc w:val="both"/>
        <w:rPr/>
      </w:pPr>
      <w:r>
        <w:rPr/>
        <w:t>45450000-6</w:t>
        <w:tab/>
        <w:t>Roboty budowlane wykończeniowe, pozostałe</w:t>
      </w:r>
    </w:p>
    <w:p>
      <w:pPr>
        <w:pStyle w:val="Standard"/>
        <w:spacing w:before="0" w:after="120"/>
        <w:ind w:hanging="2160" w:left="5040"/>
        <w:contextualSpacing/>
        <w:jc w:val="both"/>
        <w:rPr/>
      </w:pPr>
      <w:r>
        <w:rPr/>
        <w:t>45440000-3</w:t>
        <w:tab/>
        <w:t>Roboty malarskie i szklarskie</w:t>
      </w:r>
    </w:p>
    <w:p>
      <w:pPr>
        <w:pStyle w:val="Standard"/>
        <w:spacing w:before="0" w:after="120"/>
        <w:ind w:hanging="2160" w:left="5040"/>
        <w:contextualSpacing/>
        <w:jc w:val="both"/>
        <w:rPr/>
      </w:pPr>
      <w:r>
        <w:rPr/>
        <w:t>45430000-0</w:t>
        <w:tab/>
        <w:t>Pokrywanie podłóg i ścian</w:t>
      </w:r>
    </w:p>
    <w:p>
      <w:pPr>
        <w:pStyle w:val="Standard"/>
        <w:spacing w:before="0" w:after="120"/>
        <w:ind w:hanging="2160" w:left="5040"/>
        <w:contextualSpacing/>
        <w:jc w:val="both"/>
        <w:rPr/>
      </w:pPr>
      <w:r>
        <w:rPr/>
        <w:t>45420000-7</w:t>
        <w:tab/>
        <w:t>Roboty w zakresie zakładania stolarki budowlanej oraz roboty ciesielskie</w:t>
      </w:r>
    </w:p>
    <w:p>
      <w:pPr>
        <w:pStyle w:val="Standard"/>
        <w:spacing w:before="0" w:after="120"/>
        <w:ind w:hanging="2160" w:left="5040"/>
        <w:contextualSpacing/>
        <w:jc w:val="both"/>
        <w:rPr/>
      </w:pPr>
      <w:r>
        <w:rPr/>
        <w:t>45410000-4</w:t>
        <w:tab/>
        <w:t>Tynkowanie</w:t>
      </w:r>
    </w:p>
    <w:p>
      <w:pPr>
        <w:pStyle w:val="Standard"/>
        <w:spacing w:before="0" w:after="120"/>
        <w:ind w:hanging="2160" w:left="5040"/>
        <w:contextualSpacing/>
        <w:jc w:val="both"/>
        <w:rPr/>
      </w:pPr>
      <w:r>
        <w:rPr/>
        <w:t>45330000-9</w:t>
        <w:tab/>
        <w:t>Roboty instalacyjne wodno – kanalizacyjne i sanitarne</w:t>
        <w:tab/>
      </w:r>
    </w:p>
    <w:p>
      <w:pPr>
        <w:pStyle w:val="Standard"/>
        <w:spacing w:before="0" w:after="120"/>
        <w:ind w:hanging="2160" w:left="5040"/>
        <w:contextualSpacing/>
        <w:jc w:val="both"/>
        <w:rPr/>
      </w:pPr>
      <w:r>
        <w:rPr/>
        <w:t>45350000-5</w:t>
        <w:tab/>
        <w:t>Instalacje mechaniczne</w:t>
      </w:r>
    </w:p>
    <w:p>
      <w:pPr>
        <w:pStyle w:val="Standard"/>
        <w:spacing w:before="0" w:after="120"/>
        <w:ind w:hanging="2160" w:left="5040"/>
        <w:contextualSpacing/>
        <w:jc w:val="both"/>
        <w:rPr/>
      </w:pPr>
      <w:r>
        <w:rPr/>
        <w:t>45320000-6</w:t>
        <w:tab/>
        <w:t>Roboty izolacyjne</w:t>
        <w:tab/>
      </w:r>
    </w:p>
    <w:p>
      <w:pPr>
        <w:pStyle w:val="Standard"/>
        <w:spacing w:before="0" w:after="120"/>
        <w:contextualSpacing/>
        <w:jc w:val="both"/>
        <w:rPr/>
      </w:pPr>
      <w:r>
        <w:rPr/>
        <w:tab/>
        <w:tab/>
        <w:tab/>
        <w:tab/>
        <w:t>45310000-3</w:t>
        <w:tab/>
        <w:tab/>
        <w:t>Roboty instalacyjne elektryczne</w:t>
      </w:r>
    </w:p>
    <w:p>
      <w:pPr>
        <w:pStyle w:val="Standard"/>
        <w:spacing w:before="0" w:after="120"/>
        <w:ind w:firstLine="720" w:left="2160"/>
        <w:contextualSpacing/>
        <w:jc w:val="both"/>
        <w:rPr/>
      </w:pPr>
      <w:r>
        <w:rPr/>
        <w:t>45311000-0</w:t>
        <w:tab/>
        <w:tab/>
        <w:t>Roboty w zakresie okablowania oraz</w:t>
      </w:r>
    </w:p>
    <w:p>
      <w:pPr>
        <w:pStyle w:val="Standard"/>
        <w:spacing w:before="0" w:after="120"/>
        <w:ind w:firstLine="709" w:left="4254"/>
        <w:contextualSpacing/>
        <w:jc w:val="both"/>
        <w:rPr/>
      </w:pPr>
      <w:r>
        <w:rPr/>
        <w:t xml:space="preserve"> </w:t>
      </w:r>
      <w:r>
        <w:rPr/>
        <w:t>instalacji elektrycznych</w:t>
      </w:r>
    </w:p>
    <w:p>
      <w:pPr>
        <w:pStyle w:val="Standard"/>
        <w:spacing w:before="0" w:after="120"/>
        <w:ind w:hanging="2160" w:left="5040"/>
        <w:contextualSpacing/>
        <w:jc w:val="both"/>
        <w:rPr/>
      </w:pPr>
      <w:r>
        <w:rPr/>
        <w:t>45316000-5</w:t>
        <w:tab/>
        <w:t>Instalowanie systemów oświetleniowych i sygnalizacyjnych</w:t>
      </w:r>
    </w:p>
    <w:p>
      <w:pPr>
        <w:pStyle w:val="Standard"/>
        <w:spacing w:before="0" w:after="120"/>
        <w:contextualSpacing/>
        <w:jc w:val="both"/>
        <w:rPr/>
      </w:pPr>
      <w:r>
        <w:rPr/>
        <w:tab/>
        <w:tab/>
        <w:tab/>
        <w:tab/>
        <w:t>45331220-4</w:t>
        <w:tab/>
        <w:tab/>
        <w:t>Instalowanie urządzeń klimatyzacyjnych</w:t>
      </w:r>
    </w:p>
    <w:p>
      <w:pPr>
        <w:pStyle w:val="Standard"/>
        <w:spacing w:before="0" w:after="120"/>
        <w:ind w:hanging="2160" w:left="5040"/>
        <w:contextualSpacing/>
        <w:jc w:val="both"/>
        <w:rPr/>
      </w:pPr>
      <w:r>
        <w:rPr/>
        <w:t>45312000-7</w:t>
        <w:tab/>
        <w:t>Instalowanie systemów alarmowych                  i anten</w:t>
      </w:r>
    </w:p>
    <w:p>
      <w:pPr>
        <w:pStyle w:val="Standard"/>
        <w:spacing w:before="0" w:after="120"/>
        <w:ind w:hanging="2160" w:left="5040"/>
        <w:contextualSpacing/>
        <w:jc w:val="both"/>
        <w:rPr/>
      </w:pPr>
      <w:r>
        <w:rPr/>
        <w:t>42416100-6</w:t>
        <w:tab/>
        <w:t>Windy</w:t>
      </w:r>
    </w:p>
    <w:p>
      <w:pPr>
        <w:pStyle w:val="Standard"/>
        <w:spacing w:before="0" w:after="120"/>
        <w:ind w:hanging="2160" w:left="5040"/>
        <w:contextualSpacing/>
        <w:jc w:val="both"/>
        <w:rPr/>
      </w:pPr>
      <w:r>
        <w:rPr/>
        <w:t>45313100-5</w:t>
        <w:tab/>
        <w:t>Instalowanie wind</w:t>
      </w:r>
    </w:p>
    <w:p>
      <w:pPr>
        <w:pStyle w:val="Standard"/>
        <w:spacing w:before="0" w:after="120"/>
        <w:contextualSpacing/>
        <w:jc w:val="both"/>
        <w:rPr/>
      </w:pPr>
      <w:r>
        <w:rPr>
          <w:color w:val="00B050"/>
        </w:rPr>
        <w:tab/>
        <w:tab/>
        <w:tab/>
      </w:r>
      <w:r>
        <w:rPr/>
        <w:tab/>
        <w:t>71200000-0</w:t>
        <w:tab/>
        <w:tab/>
        <w:t>Usługi architektoniczne i podobne</w:t>
      </w:r>
    </w:p>
    <w:p>
      <w:pPr>
        <w:pStyle w:val="Standard"/>
        <w:spacing w:before="0" w:after="120"/>
        <w:contextualSpacing/>
        <w:jc w:val="both"/>
        <w:rPr/>
      </w:pPr>
      <w:r>
        <w:rPr/>
        <w:tab/>
        <w:tab/>
        <w:tab/>
        <w:tab/>
        <w:t>71220000-6</w:t>
        <w:tab/>
        <w:tab/>
        <w:t>Usługi projektowania architektonicznego</w:t>
      </w:r>
    </w:p>
    <w:p>
      <w:pPr>
        <w:pStyle w:val="Standard"/>
        <w:spacing w:before="0" w:after="120"/>
        <w:ind w:hanging="2160" w:left="5040"/>
        <w:contextualSpacing/>
        <w:jc w:val="both"/>
        <w:rPr/>
      </w:pPr>
      <w:r>
        <w:rPr/>
        <w:t>71320000-7</w:t>
        <w:tab/>
        <w:t>Usługi inżynieryjne w zakresie projektowania</w:t>
      </w:r>
    </w:p>
    <w:p>
      <w:pPr>
        <w:pStyle w:val="Standard"/>
        <w:spacing w:before="0" w:after="120"/>
        <w:contextualSpacing/>
        <w:jc w:val="both"/>
        <w:rPr>
          <w:b/>
          <w:color w:val="FF0000"/>
        </w:rPr>
      </w:pPr>
      <w:r>
        <w:rPr>
          <w:b/>
          <w:color w:val="FF0000"/>
        </w:rPr>
      </w:r>
    </w:p>
    <w:p>
      <w:pPr>
        <w:pStyle w:val="Standard"/>
        <w:spacing w:before="0" w:after="120"/>
        <w:contextualSpacing/>
        <w:jc w:val="both"/>
        <w:rPr/>
      </w:pPr>
      <w:r>
        <w:rPr>
          <w:b/>
          <w:bCs/>
          <w:u w:val="single"/>
        </w:rPr>
        <w:t xml:space="preserve">1. Przedmiot zamówienia: </w:t>
      </w:r>
    </w:p>
    <w:p>
      <w:pPr>
        <w:pStyle w:val="Standard"/>
        <w:numPr>
          <w:ilvl w:val="0"/>
          <w:numId w:val="7"/>
        </w:numPr>
        <w:spacing w:before="0" w:after="120"/>
        <w:ind w:hanging="340" w:left="340"/>
        <w:contextualSpacing/>
        <w:jc w:val="both"/>
        <w:rPr/>
      </w:pPr>
      <w:r>
        <w:rPr/>
        <w:t xml:space="preserve">Przedmiotem zamówienia jest wykonanie w formule zaprojektuj i wybuduj (, o której mowa w art. 103 ustawy Pzp), robót budowlanych związanych z realizacją przedmiotu zamówienia pn.: „Przebudowa, rozbudowa i kompleksowa transformacja energetyczna budynku OTUA Wojewódzkiego Szpitala Psychiatrycznego w Andrychowie”.  </w:t>
      </w:r>
    </w:p>
    <w:p>
      <w:pPr>
        <w:pStyle w:val="Standard"/>
        <w:spacing w:before="0" w:after="120"/>
        <w:ind w:left="340"/>
        <w:contextualSpacing/>
        <w:jc w:val="both"/>
        <w:rPr/>
      </w:pPr>
      <w:r>
        <w:rPr/>
        <w:t xml:space="preserve">Wykonawca zobowiązany jest do wykonania: </w:t>
      </w:r>
    </w:p>
    <w:p>
      <w:pPr>
        <w:pStyle w:val="Standard"/>
        <w:numPr>
          <w:ilvl w:val="0"/>
          <w:numId w:val="8"/>
        </w:numPr>
        <w:spacing w:before="0" w:after="120"/>
        <w:contextualSpacing/>
        <w:jc w:val="both"/>
        <w:rPr/>
      </w:pPr>
      <w:r>
        <w:rPr/>
        <w:t xml:space="preserve">Kompletnej dokumentacji projektowej, </w:t>
      </w:r>
    </w:p>
    <w:p>
      <w:pPr>
        <w:pStyle w:val="Standard"/>
        <w:numPr>
          <w:ilvl w:val="0"/>
          <w:numId w:val="8"/>
        </w:numPr>
        <w:spacing w:before="0" w:after="120"/>
        <w:contextualSpacing/>
        <w:jc w:val="both"/>
        <w:rPr/>
      </w:pPr>
      <w:r>
        <w:rPr/>
        <w:t>Uzyskania wszelkich uzgodnień, decyzji i pozwoleń,</w:t>
      </w:r>
    </w:p>
    <w:p>
      <w:pPr>
        <w:pStyle w:val="Standard"/>
        <w:numPr>
          <w:ilvl w:val="0"/>
          <w:numId w:val="8"/>
        </w:numPr>
        <w:spacing w:before="0" w:after="120"/>
        <w:contextualSpacing/>
        <w:jc w:val="both"/>
        <w:rPr/>
      </w:pPr>
      <w:r>
        <w:rPr/>
        <w:t>Realizacji robót budowlanych,</w:t>
      </w:r>
    </w:p>
    <w:p>
      <w:pPr>
        <w:pStyle w:val="Standard"/>
        <w:numPr>
          <w:ilvl w:val="0"/>
          <w:numId w:val="8"/>
        </w:numPr>
        <w:spacing w:before="0" w:after="120"/>
        <w:contextualSpacing/>
        <w:jc w:val="both"/>
        <w:rPr/>
      </w:pPr>
      <w:r>
        <w:rPr/>
        <w:t>Uzyskania pozwolenia na użytkowanie całego zakresu inwestycji.</w:t>
      </w:r>
    </w:p>
    <w:p>
      <w:pPr>
        <w:pStyle w:val="Standard"/>
        <w:numPr>
          <w:ilvl w:val="0"/>
          <w:numId w:val="8"/>
        </w:numPr>
        <w:spacing w:before="0" w:after="120"/>
        <w:contextualSpacing/>
        <w:jc w:val="both"/>
        <w:rPr/>
      </w:pPr>
      <w:r>
        <w:rPr/>
        <w:t>Wszystkie opracowania i roboty muszą być zgodne z PFU, obowiązującymi przepisami i normami.</w:t>
      </w:r>
    </w:p>
    <w:p>
      <w:pPr>
        <w:pStyle w:val="Standard"/>
        <w:numPr>
          <w:ilvl w:val="0"/>
          <w:numId w:val="7"/>
        </w:numPr>
        <w:spacing w:before="0" w:after="120"/>
        <w:ind w:hanging="340" w:left="340"/>
        <w:contextualSpacing/>
        <w:jc w:val="both"/>
        <w:rPr/>
      </w:pPr>
      <w:r>
        <w:rPr/>
        <w:t xml:space="preserve">Szczegółowy opis przedmiotu zamówienia określa </w:t>
      </w:r>
      <w:r>
        <w:rPr>
          <w:b/>
          <w:bCs/>
          <w:i/>
          <w:iCs/>
        </w:rPr>
        <w:t>Załącznik nr 1 do SWZ</w:t>
      </w:r>
      <w:r>
        <w:rPr/>
        <w:t xml:space="preserve"> – Opis przedmiotu zamówienia wraz z Załącznikiem nr 1a do SWZ – Program funkcjonalno – użytkowy, audyt energetyczny załącznik nr 1b, a także pozostałe załączniki będące integralną częścią niniejszej SWZ. </w:t>
      </w:r>
      <w:r>
        <w:rPr>
          <w:b/>
          <w:bCs/>
          <w:i/>
          <w:iCs/>
        </w:rPr>
        <w:t xml:space="preserve"> </w:t>
      </w:r>
    </w:p>
    <w:p>
      <w:pPr>
        <w:pStyle w:val="Standard"/>
        <w:numPr>
          <w:ilvl w:val="1"/>
          <w:numId w:val="7"/>
        </w:numPr>
        <w:spacing w:before="0" w:after="120"/>
        <w:ind w:hanging="340" w:left="340"/>
        <w:contextualSpacing/>
        <w:jc w:val="both"/>
        <w:rPr>
          <w:b w:val="false"/>
          <w:bCs w:val="false"/>
          <w:i w:val="false"/>
          <w:iCs w:val="false"/>
        </w:rPr>
      </w:pPr>
      <w:r>
        <w:rPr>
          <w:b w:val="false"/>
          <w:bCs w:val="false"/>
          <w:i w:val="false"/>
          <w:iCs w:val="false"/>
        </w:rPr>
        <w:t>Wykonawca zobowiązany jest do osiągnięcia efektu energetycznego zgodnego z audytem energetycznym i wnioskiem o dofinansowanie. Uwaga: Moduły fotowoltaiczne oraz inwertery muszą mieć gwarancje wydajności wynoszącą nie mniej niż 20 lat, a inwertery – nie mniej niż 10 lat.</w:t>
      </w:r>
    </w:p>
    <w:p>
      <w:pPr>
        <w:pStyle w:val="Standard"/>
        <w:numPr>
          <w:ilvl w:val="0"/>
          <w:numId w:val="7"/>
        </w:numPr>
        <w:spacing w:before="0" w:after="120"/>
        <w:ind w:hanging="340" w:left="340"/>
        <w:contextualSpacing/>
        <w:jc w:val="both"/>
        <w:rPr/>
      </w:pPr>
      <w:r>
        <w:rPr/>
        <w:t>Podana cena ofertowa musi zawierać wszystkie koszty związane z realizacją zamówienia. Cena ofertowa jest ceną ryczałtową.</w:t>
      </w:r>
    </w:p>
    <w:p>
      <w:pPr>
        <w:pStyle w:val="Standard"/>
        <w:numPr>
          <w:ilvl w:val="0"/>
          <w:numId w:val="7"/>
        </w:numPr>
        <w:spacing w:before="0" w:after="120"/>
        <w:ind w:hanging="340" w:left="340"/>
        <w:contextualSpacing/>
        <w:jc w:val="both"/>
        <w:rPr/>
      </w:pPr>
      <w:r>
        <w:rPr/>
        <w:t>Wszystkie prace winny być zrealizowane zgodnie z aktualnie obowiązującymi w tym zakresie przepisami prawa, normami, warunkami technicznymi, sztuką budowlaną, przepisami bhp, ppoż. oraz zgodnie z wymogami zawartymi w niniejszej SWZ, a także załącznikach będących jej integralną częścią.</w:t>
      </w:r>
    </w:p>
    <w:p>
      <w:pPr>
        <w:pStyle w:val="Standard"/>
        <w:numPr>
          <w:ilvl w:val="0"/>
          <w:numId w:val="7"/>
        </w:numPr>
        <w:spacing w:before="0" w:after="120"/>
        <w:ind w:hanging="340" w:left="340"/>
        <w:contextualSpacing/>
        <w:jc w:val="both"/>
        <w:rPr/>
      </w:pPr>
      <w:r>
        <w:rPr/>
        <w:t>Zamawiający nie przewiduje podziału zamówienia na części.</w:t>
      </w:r>
    </w:p>
    <w:p>
      <w:pPr>
        <w:pStyle w:val="Standard"/>
        <w:numPr>
          <w:ilvl w:val="1"/>
          <w:numId w:val="7"/>
        </w:numPr>
        <w:spacing w:before="0" w:after="120"/>
        <w:ind w:hanging="340" w:left="340"/>
        <w:contextualSpacing/>
        <w:jc w:val="both"/>
        <w:rPr/>
      </w:pPr>
      <w:r>
        <w:rPr/>
        <w:t>Przedmiot zamówienia obejmuje kompleksową realizację inwestycji w formule „zaprojektuj i wybuduj”, polegającej na przebudowie, rozbudowie oraz kompleksowej transformacji energetycznej budynku Oddziału Terapii Uzależnienia od Alkoholu Wojewódzkiego Szpitala Psychiatrycznego w Andrychowie. Zakres zamówienia obejmuje jednocześnie opracowanie dokumentacji projektowej, uzyskanie wymaganych decyzji administracyjnych oraz wykonanie robót budowlanych, instalacyjnych i montażowych, w tym robót wynikających z audytu energetycznego oraz montażu instalacji OZE. Podział zamówienia na części byłby niecelowy i nieuzasadniony technicznie, organizacyjnie oraz ekonomicznie, z następujących powodów:</w:t>
      </w:r>
    </w:p>
    <w:p>
      <w:pPr>
        <w:pStyle w:val="Standard"/>
        <w:numPr>
          <w:ilvl w:val="2"/>
          <w:numId w:val="7"/>
        </w:numPr>
        <w:spacing w:before="0" w:after="120"/>
        <w:ind w:hanging="340" w:left="340"/>
        <w:contextualSpacing/>
        <w:jc w:val="both"/>
        <w:rPr/>
      </w:pPr>
      <w:r>
        <w:rPr/>
        <w:t>Jednolity i nierozerwalny charakter przedmiotu zamówienia. Zakres robót objętych zamówieniem stanowi funkcjonalnie i technologicznie spójną całość. Przebudowa, rozbudowa budynku oraz działania z zakresu termomodernizacji i transformacji energetycznej są ze sobą ściśle powiązane i wzajemnie zależne. Ich rozdzielenie pomiędzy różnych wykonawców mogłoby doprowadzić do kolizji projektowych, technicznych i harmonogramowych oraz utrudnić osiągnięcie zakładanych efektów energetycznych wynikających z audytu energetycznego.</w:t>
      </w:r>
    </w:p>
    <w:p>
      <w:pPr>
        <w:pStyle w:val="Standard"/>
        <w:numPr>
          <w:ilvl w:val="2"/>
          <w:numId w:val="7"/>
        </w:numPr>
        <w:spacing w:before="0" w:after="120"/>
        <w:ind w:hanging="340" w:left="340"/>
        <w:contextualSpacing/>
        <w:jc w:val="both"/>
        <w:rPr/>
      </w:pPr>
      <w:r>
        <w:rPr/>
        <w:t xml:space="preserve">Zamówienie realizowane jest w trybie, o którym mowa w art. 103 ust. 1 Pzp, co wymaga ścisłej koordynacji etapu projektowania z etapem realizacji robót budowlanych. Podział zamówienia na części uniemożliwiłby zachowanie odpowiedzialności jednego wykonawcy za kompletność rozwiązań projektowych, ich zgodność z Programem Funkcjonalno-Użytkowym, audytem energetycznym oraz przepisami prawa, a także za końcowy efekt inwestycji. </w:t>
      </w:r>
    </w:p>
    <w:p>
      <w:pPr>
        <w:pStyle w:val="Standard"/>
        <w:numPr>
          <w:ilvl w:val="2"/>
          <w:numId w:val="7"/>
        </w:numPr>
        <w:spacing w:before="0" w:after="120"/>
        <w:ind w:hanging="340" w:left="340"/>
        <w:contextualSpacing/>
        <w:jc w:val="both"/>
        <w:rPr/>
      </w:pPr>
      <w:r>
        <w:rPr/>
        <w:t>Ryzyko zagrożenia prawidłowej realizacji projektu i osiągnięcia efektów energetycznych. Projekt jest współfinansowany ze środków publicznych i obejmuje obowiązek osiągnięcia określonych wskaźników efektywności energetycznej. Podział zamówienia na części mógłby skutkować trudnościami w jednoznacznym przypisaniu odpowiedzialności za spełnienie wymagań audytu energetycznego.</w:t>
      </w:r>
    </w:p>
    <w:p>
      <w:pPr>
        <w:pStyle w:val="Standard"/>
        <w:numPr>
          <w:ilvl w:val="2"/>
          <w:numId w:val="7"/>
        </w:numPr>
        <w:tabs>
          <w:tab w:val="clear" w:pos="720"/>
          <w:tab w:val="left" w:pos="225" w:leader="none"/>
        </w:tabs>
        <w:spacing w:before="0" w:after="120"/>
        <w:ind w:hanging="340" w:left="340"/>
        <w:contextualSpacing/>
        <w:jc w:val="both"/>
        <w:rPr/>
      </w:pPr>
      <w:r>
        <w:rPr/>
        <w:t>Utrudnienia organizacyjne związane z realizacją robót w czynnym obiekcie szpitalnym. Inwestycja realizowana będzie na terenie funkcjonującego szpitala. Prowadzenie robót przez wielu wykonawców zwiększałoby ryzyko zakłóceń pracy placówki, zagrożeń dla pacjentów i personelu oraz utrudniałoby skuteczną koordynację robót, bezpieczeństwo i nadzór nad realizacją inwestycji.</w:t>
      </w:r>
    </w:p>
    <w:p>
      <w:pPr>
        <w:pStyle w:val="Standard"/>
        <w:numPr>
          <w:ilvl w:val="2"/>
          <w:numId w:val="7"/>
        </w:numPr>
        <w:spacing w:before="0" w:after="120"/>
        <w:ind w:hanging="340" w:left="340"/>
        <w:contextualSpacing/>
        <w:jc w:val="both"/>
        <w:rPr/>
      </w:pPr>
      <w:r>
        <w:rPr/>
        <w:t>Brak negatywnego wpływu na konkurencję. Zakres zamówienia odpowiada standardowym kompetencjom wykonawców działających na rynku robót budowlanych realizowanych w formule „zaprojektuj i wybuduj”, w tym podmiotów posiadających doświadczenie w realizacji obiektów ochrony zdrowia oraz inwestycji termomodernizacyjnych. Brak podziału zamówienia na części nie ogranicza konkurencji ani nie narusza zasady uczciwej konkurencji i równego traktowania wykonawców.</w:t>
      </w:r>
    </w:p>
    <w:p>
      <w:pPr>
        <w:pStyle w:val="Standard"/>
        <w:spacing w:before="0" w:after="0"/>
        <w:contextualSpacing/>
        <w:jc w:val="both"/>
        <w:rPr>
          <w:color w:val="000000"/>
        </w:rPr>
      </w:pPr>
      <w:r>
        <w:rPr>
          <w:color w:val="000000"/>
        </w:rPr>
        <w:t>7. Rozwiązania równoważne.</w:t>
      </w:r>
    </w:p>
    <w:p>
      <w:pPr>
        <w:pStyle w:val="Standard"/>
        <w:spacing w:before="0" w:after="0"/>
        <w:contextualSpacing/>
        <w:jc w:val="both"/>
        <w:rPr>
          <w:bCs/>
          <w:color w:val="000000"/>
          <w:lang w:eastAsia="pl-PL"/>
        </w:rPr>
      </w:pPr>
      <w:r>
        <w:rPr>
          <w:bCs/>
          <w:color w:val="000000"/>
          <w:lang w:eastAsia="pl-PL"/>
        </w:rPr>
        <w:t>Jeżeli Programie Funkcjonalno-Użytkowym, audycie energetycznym, specyfikacjach technicznych lub w innych dokumentach opisujących przedmiot zamówienia wskazano: nazwy własne materiałów, urządzeń lub systemów, konkretne typy, modele, producentów lub znaki towarowe, określone normy, aprobaty techniczne, certyfikaty lub specyfikacje, należy je traktować wyłącznie jako przykładowe, służące określeniu pożądanego standardu jakościowego, funkcjonalnego, technicznego i parametrów eksploatacyjnych.</w:t>
      </w:r>
    </w:p>
    <w:p>
      <w:pPr>
        <w:pStyle w:val="Standard"/>
        <w:spacing w:before="0" w:after="0"/>
        <w:contextualSpacing/>
        <w:jc w:val="both"/>
        <w:rPr>
          <w:bCs/>
          <w:color w:val="000000"/>
          <w:lang w:eastAsia="pl-PL"/>
        </w:rPr>
      </w:pPr>
      <w:r>
        <w:rPr>
          <w:bCs/>
          <w:color w:val="000000"/>
          <w:lang w:eastAsia="pl-PL"/>
        </w:rPr>
        <w:t>Zgodnie z ustawą Pzp, w przypadku zastosowania materiałów, urządzeń, wyrobów lub rozwiązań równoważnych w rozumieniu art. 99 ust. 5 lub art. 101 ust. 4 ustawy Wykonawca zobowiązany jest wykazać, iż oferowane rozwiązania: spełniają minimalne wymagania określone w dokumentacji, zapewniają parametry techniczne, funkcjonalne, jakościowe i energetyczne nie gorsze niż wymagane, są kompatybilne z całością projektowanych i istniejących instalacji, w szczególności z systemami HVAC, BMS, instalacją PV oraz instalacjami niskoprądowymi.</w:t>
      </w:r>
    </w:p>
    <w:p>
      <w:pPr>
        <w:pStyle w:val="Standard"/>
        <w:spacing w:before="0" w:after="0"/>
        <w:contextualSpacing/>
        <w:jc w:val="both"/>
        <w:rPr>
          <w:bCs/>
          <w:color w:val="000000"/>
          <w:lang w:eastAsia="pl-PL"/>
        </w:rPr>
      </w:pPr>
      <w:r>
        <w:rPr>
          <w:bCs/>
          <w:color w:val="000000"/>
          <w:lang w:eastAsia="pl-PL"/>
        </w:rPr>
        <w:t>Wykonawca, proponując rozwiązanie równoważne, zobowiązany jest przed jego zastosowaniem przedstawić Zamawiającemu: karty katalogowe lub dokumenty techniczne, deklaracje właściwości użytkowych, certyfikaty lub aprobaty, porównanie parametrów oferowanego rozwiązania z rozwiązaniem referencyjnym.  Zastosowanie rozwiązania równoważnego wymaga pisemnej akceptacji Zamawiającego. Brak akceptacji oznacza obowiązek zastosowania rozwiązania referencyjnego. Rozwiązania równoważne muszą umożliwiać osiągnięcie wszystkich celów projektu, w tym wymaganych efektów energetycznych, konstrukcyjnych i funkcjonalnych wynikających z dokumentów udostępnionych przez Zamawiającego.</w:t>
      </w:r>
    </w:p>
    <w:p>
      <w:pPr>
        <w:pStyle w:val="Standard"/>
        <w:spacing w:before="0" w:after="0"/>
        <w:contextualSpacing/>
        <w:jc w:val="both"/>
        <w:rPr>
          <w:bCs/>
          <w:color w:val="000000"/>
          <w:lang w:eastAsia="pl-PL"/>
        </w:rPr>
      </w:pPr>
      <w:r>
        <w:rPr>
          <w:bCs/>
          <w:color w:val="000000"/>
          <w:lang w:eastAsia="pl-PL"/>
        </w:rPr>
      </w:r>
    </w:p>
    <w:p>
      <w:pPr>
        <w:pStyle w:val="Standard"/>
        <w:spacing w:before="0" w:after="0"/>
        <w:contextualSpacing/>
        <w:jc w:val="both"/>
        <w:rPr>
          <w:b/>
          <w:u w:val="single"/>
          <w:lang w:eastAsia="pl-PL"/>
        </w:rPr>
      </w:pPr>
      <w:r>
        <w:rPr>
          <w:b/>
          <w:u w:val="single"/>
          <w:lang w:eastAsia="pl-PL"/>
        </w:rPr>
        <w:t>2. Wymagania Zamawiającego:</w:t>
      </w:r>
    </w:p>
    <w:p>
      <w:pPr>
        <w:pStyle w:val="Standard"/>
        <w:spacing w:before="0" w:after="0"/>
        <w:contextualSpacing/>
        <w:jc w:val="both"/>
        <w:rPr/>
      </w:pPr>
      <w:r>
        <w:rPr>
          <w:bCs/>
          <w:lang w:eastAsia="pl-PL"/>
        </w:rPr>
        <w:t xml:space="preserve">2.1 </w:t>
      </w:r>
      <w:r>
        <w:rPr/>
        <w:t xml:space="preserve">Wymagania zatrudnienia przez Wykonawcę lub podwykonawcę na podstawie umowy o pracę osób wykonujących wskazane przez Zamawiającego czynności w zakresie realizacji zamówienia zostały określone w dalszej części SWZ i załącznikach będących jej integralną częścią i określają w szczególności: </w:t>
      </w:r>
    </w:p>
    <w:p>
      <w:pPr>
        <w:pStyle w:val="Standard"/>
        <w:spacing w:before="0" w:after="120"/>
        <w:contextualSpacing/>
        <w:jc w:val="both"/>
        <w:rPr>
          <w:lang w:eastAsia="pl-PL"/>
        </w:rPr>
      </w:pPr>
      <w:r>
        <w:rPr>
          <w:lang w:eastAsia="pl-PL"/>
        </w:rPr>
        <w:t>2.1.1 rodzaj czynności związanych z realizacją zamówienia, których dotyczą wymagania zatrudnienia na podstawie stosunku pracy przez wykonawcę lub podwykonawcę osób wykonujących czynności w trakcie realizacji zamówienia;</w:t>
      </w:r>
    </w:p>
    <w:p>
      <w:pPr>
        <w:pStyle w:val="Standard"/>
        <w:spacing w:before="0" w:after="120"/>
        <w:contextualSpacing/>
        <w:jc w:val="both"/>
        <w:rPr/>
      </w:pPr>
      <w:r>
        <w:rPr>
          <w:lang w:eastAsia="pl-PL"/>
        </w:rPr>
        <w:t>2.1.2 sposób weryfikacji zatrudnienia tych osób;</w:t>
      </w:r>
    </w:p>
    <w:p>
      <w:pPr>
        <w:pStyle w:val="Standard"/>
        <w:spacing w:before="0" w:after="120"/>
        <w:contextualSpacing/>
        <w:jc w:val="both"/>
        <w:rPr>
          <w:lang w:eastAsia="pl-PL"/>
        </w:rPr>
      </w:pPr>
      <w:r>
        <w:rPr>
          <w:lang w:eastAsia="pl-PL"/>
        </w:rPr>
        <w:t xml:space="preserve">2.1.3 uprawnienia Zamawiającego w zakresie kontroli spełniania przez Wykonawcę wymagań związanych z zatrudnianiem tych osób oraz sankcji z tytułu niespełnienia tych wymagań. </w:t>
      </w:r>
    </w:p>
    <w:p>
      <w:pPr>
        <w:pStyle w:val="Standard"/>
        <w:spacing w:before="0" w:after="120"/>
        <w:contextualSpacing/>
        <w:jc w:val="both"/>
        <w:rPr>
          <w:lang w:eastAsia="pl-PL"/>
        </w:rPr>
      </w:pPr>
      <w:r>
        <w:rPr>
          <w:lang w:eastAsia="pl-PL"/>
        </w:rPr>
        <w:t>2.2 Zamawiający zgodnie z art. 95 wymaga, aby osoby wykonujące czynności związane z wykonaniem robót budowlanych (np. murarskich, tynkarskich, wykończeniowych), wykonaniem instalacji wodno-kanalizacyjnych oraz instalacji elektronicznych, wykonywaniu prac fizycznych bezpośrednio związanych z realizacją robót budowlanych były zatrudnione na podstawie stosunku pracy, jeżeli wykonanie tych czynności polega na wykonywaniu pracy w sposób określony w art. 22 § 1 ustawy z dnia 26 czerwca 1974 – Kodeks Pracy (Dz. U. z 2025 r. poz. 277 ze zm.).</w:t>
      </w:r>
    </w:p>
    <w:p>
      <w:pPr>
        <w:pStyle w:val="Standard"/>
        <w:spacing w:before="0" w:after="120"/>
        <w:contextualSpacing/>
        <w:jc w:val="both"/>
        <w:rPr>
          <w:b/>
          <w:bCs/>
          <w:i/>
          <w:iCs/>
          <w:color w:val="00B050"/>
          <w:lang w:eastAsia="pl-PL"/>
        </w:rPr>
      </w:pPr>
      <w:r>
        <w:rPr>
          <w:lang w:eastAsia="pl-PL"/>
        </w:rPr>
        <w:t xml:space="preserve">2.2.1 Zamawiający wymaga aby Wykonawca, którego oferta została wybrana jako najkorzystniejsza, złożył przed podpisaniem umowy, oświadczenie, zgodnie z treścią stanowiącą </w:t>
      </w:r>
      <w:r>
        <w:rPr>
          <w:b/>
          <w:bCs/>
          <w:i/>
          <w:iCs/>
          <w:lang w:eastAsia="pl-PL"/>
        </w:rPr>
        <w:t>Załącznik nr 9 do SWZ.</w:t>
      </w:r>
    </w:p>
    <w:p>
      <w:pPr>
        <w:pStyle w:val="Standard"/>
        <w:spacing w:before="0" w:after="120"/>
        <w:contextualSpacing/>
        <w:jc w:val="both"/>
        <w:rPr>
          <w:color w:val="00B050"/>
          <w:lang w:eastAsia="pl-PL"/>
        </w:rPr>
      </w:pPr>
      <w:r>
        <w:rPr>
          <w:lang w:eastAsia="pl-PL"/>
        </w:rPr>
        <w:t xml:space="preserve">2.2.2 Wymóg zatrudnienia na podstawie stosunku pracy nie dotyczy osób pełniących samodzielne funkcje techniczne w budownictwie w rozumieniu przepisów ustawy                              z dnia 7 lipca 1994 r. Prawo budowlane (tj. Dz. U. z 2025 r., poz. 418 ze zm.), a także innych czynności polegających na nadzorze nad wykonywanymi robotami.  </w:t>
      </w:r>
    </w:p>
    <w:p>
      <w:pPr>
        <w:pStyle w:val="Standard"/>
        <w:spacing w:before="0" w:after="120"/>
        <w:contextualSpacing/>
        <w:jc w:val="both"/>
        <w:rPr>
          <w:color w:val="FF0000"/>
        </w:rPr>
      </w:pPr>
      <w:r>
        <w:rPr>
          <w:color w:val="FF0000"/>
        </w:rPr>
      </w:r>
    </w:p>
    <w:p>
      <w:pPr>
        <w:pStyle w:val="Standard"/>
        <w:shd w:val="clear" w:color="auto" w:fill="E5E5E5"/>
        <w:spacing w:before="0" w:after="120"/>
        <w:contextualSpacing/>
        <w:rPr/>
      </w:pPr>
      <w:r>
        <w:rPr>
          <w:b/>
        </w:rPr>
        <w:t>IV. TERMIN REALIZACJI ZAMÓWIENIA:</w:t>
      </w:r>
    </w:p>
    <w:p>
      <w:pPr>
        <w:pStyle w:val="Standard"/>
        <w:spacing w:before="0" w:after="120"/>
        <w:contextualSpacing/>
        <w:jc w:val="both"/>
        <w:rPr>
          <w:color w:val="000000"/>
        </w:rPr>
      </w:pPr>
      <w:r>
        <w:rPr>
          <w:color w:val="000000"/>
        </w:rPr>
      </w:r>
    </w:p>
    <w:p>
      <w:pPr>
        <w:pStyle w:val="Standard"/>
        <w:widowControl/>
        <w:numPr>
          <w:ilvl w:val="0"/>
          <w:numId w:val="11"/>
        </w:numPr>
        <w:suppressAutoHyphens w:val="true"/>
        <w:bidi w:val="0"/>
        <w:spacing w:before="0" w:after="120"/>
        <w:ind w:hanging="340" w:left="340" w:right="0"/>
        <w:contextualSpacing/>
        <w:jc w:val="both"/>
        <w:textAlignment w:val="baseline"/>
        <w:rPr>
          <w:i w:val="false"/>
          <w:iCs w:val="false"/>
          <w:color w:val="000000"/>
        </w:rPr>
      </w:pPr>
      <w:r>
        <w:rPr>
          <w:i w:val="false"/>
          <w:iCs w:val="false"/>
          <w:color w:val="000000"/>
        </w:rPr>
        <w:t xml:space="preserve">Termin realizacji zamówienia: </w:t>
      </w:r>
      <w:r>
        <w:rPr>
          <w:rFonts w:cs="Calibri Light"/>
          <w:i w:val="false"/>
          <w:iCs w:val="false"/>
          <w:color w:val="000000"/>
        </w:rPr>
        <w:t xml:space="preserve">Wykonawca zobowiązuje się wykonać przedmiot </w:t>
      </w:r>
      <w:r>
        <w:rPr>
          <w:rFonts w:cs="Calibri Light"/>
          <w:i w:val="false"/>
          <w:iCs w:val="false"/>
          <w:color w:val="000000"/>
        </w:rPr>
        <w:t>zamówienia</w:t>
      </w:r>
      <w:r>
        <w:rPr>
          <w:rFonts w:cs="Calibri Light"/>
          <w:i w:val="false"/>
          <w:iCs w:val="false"/>
          <w:color w:val="000000"/>
        </w:rPr>
        <w:t xml:space="preserve"> w terminie do dnia 30.08.2027r. </w:t>
      </w:r>
    </w:p>
    <w:p>
      <w:pPr>
        <w:pStyle w:val="Normal"/>
        <w:numPr>
          <w:ilvl w:val="0"/>
          <w:numId w:val="0"/>
        </w:numPr>
        <w:tabs>
          <w:tab w:val="clear" w:pos="720"/>
          <w:tab w:val="left" w:pos="993" w:leader="none"/>
        </w:tabs>
        <w:ind w:hanging="0" w:left="340" w:right="49"/>
        <w:jc w:val="both"/>
        <w:rPr>
          <w:rFonts w:ascii="Times New Roman" w:hAnsi="Times New Roman" w:cs="Calibri Light"/>
        </w:rPr>
      </w:pPr>
      <w:r>
        <w:rPr>
          <w:rFonts w:cs="Calibri Light"/>
        </w:rPr>
        <w:t>1.1 Wykonanie dokumentacji projektowej oraz uzyskanie niezbędnych decyzji administracyjnych i pozwolenia na budowę – do 7 miesięcy od dnia zawarcia Umowy,</w:t>
      </w:r>
    </w:p>
    <w:p>
      <w:pPr>
        <w:pStyle w:val="Standard"/>
        <w:widowControl/>
        <w:numPr>
          <w:ilvl w:val="0"/>
          <w:numId w:val="0"/>
        </w:numPr>
        <w:suppressAutoHyphens w:val="true"/>
        <w:bidi w:val="0"/>
        <w:spacing w:before="0" w:after="120"/>
        <w:ind w:hanging="0" w:left="340" w:right="0"/>
        <w:contextualSpacing/>
        <w:jc w:val="both"/>
        <w:textAlignment w:val="baseline"/>
        <w:rPr>
          <w:i w:val="false"/>
          <w:iCs w:val="false"/>
          <w:color w:val="000000"/>
        </w:rPr>
      </w:pPr>
      <w:r>
        <w:rPr>
          <w:rFonts w:cs="Calibri Light"/>
          <w:i w:val="false"/>
          <w:iCs w:val="false"/>
          <w:color w:val="000000"/>
        </w:rPr>
        <w:t xml:space="preserve">1.2 wykonie robót  budowlach – do 10 miesięcy od dnia przekazania terenu budowy, jednak nie później niż do dnia 30.08.2027r. </w:t>
      </w:r>
    </w:p>
    <w:p>
      <w:pPr>
        <w:pStyle w:val="Standard"/>
        <w:widowControl/>
        <w:numPr>
          <w:ilvl w:val="0"/>
          <w:numId w:val="11"/>
        </w:numPr>
        <w:tabs>
          <w:tab w:val="clear" w:pos="720"/>
          <w:tab w:val="left" w:pos="400" w:leader="none"/>
          <w:tab w:val="left" w:pos="413" w:leader="none"/>
        </w:tabs>
        <w:suppressAutoHyphens w:val="true"/>
        <w:bidi w:val="0"/>
        <w:spacing w:before="0" w:after="120"/>
        <w:ind w:hanging="340" w:left="340" w:right="0"/>
        <w:contextualSpacing/>
        <w:jc w:val="both"/>
        <w:textAlignment w:val="baseline"/>
        <w:rPr>
          <w:i w:val="false"/>
          <w:iCs w:val="false"/>
          <w:color w:val="000000"/>
        </w:rPr>
      </w:pPr>
      <w:r>
        <w:rPr>
          <w:i w:val="false"/>
          <w:iCs w:val="false"/>
          <w:color w:val="000000"/>
        </w:rPr>
        <w:t>Zamówienie realizowane jest w ramach projektu współfinansowanego ze środków Unii Europejskiej w ramach programu Fundusze Europejskie dla Małopolski 2021–2027, wobec czego wykonanie zamówienia musi nastąpić w sposób zapewniający kwalifikowalność wydatków zgodnie z przepisami oraz wytycznymi, w szczególności zgodnie z Ustawa wdrożeniowa 2021–2027 oraz Wytycznymi dotyczącymi kwalifikowalności wydatków.</w:t>
      </w:r>
    </w:p>
    <w:p>
      <w:pPr>
        <w:pStyle w:val="Standard"/>
        <w:widowControl/>
        <w:numPr>
          <w:ilvl w:val="0"/>
          <w:numId w:val="11"/>
        </w:numPr>
        <w:tabs>
          <w:tab w:val="clear" w:pos="720"/>
          <w:tab w:val="left" w:pos="400" w:leader="none"/>
          <w:tab w:val="left" w:pos="413" w:leader="none"/>
        </w:tabs>
        <w:suppressAutoHyphens w:val="true"/>
        <w:bidi w:val="0"/>
        <w:spacing w:before="0" w:after="120"/>
        <w:ind w:hanging="340" w:left="340" w:right="0"/>
        <w:contextualSpacing/>
        <w:jc w:val="both"/>
        <w:textAlignment w:val="baseline"/>
        <w:rPr>
          <w:i w:val="false"/>
          <w:iCs w:val="false"/>
          <w:color w:val="000000"/>
        </w:rPr>
      </w:pPr>
      <w:r>
        <w:rPr>
          <w:i w:val="false"/>
          <w:iCs w:val="false"/>
          <w:color w:val="000000"/>
        </w:rPr>
        <w:t>Wykonawca zobowiązany jest do realizacji zamówienia zgodnie z harmonogramem rzeczowo–finansowym projektu, stanowiącym załącznik do umowy o dofinansowanie oraz dokumentacją aplikacyjną projektu.</w:t>
      </w:r>
    </w:p>
    <w:p>
      <w:pPr>
        <w:pStyle w:val="Standard"/>
        <w:widowControl/>
        <w:numPr>
          <w:ilvl w:val="0"/>
          <w:numId w:val="11"/>
        </w:numPr>
        <w:suppressAutoHyphens w:val="true"/>
        <w:bidi w:val="0"/>
        <w:spacing w:before="0" w:after="120"/>
        <w:ind w:hanging="340" w:left="340" w:right="0"/>
        <w:contextualSpacing/>
        <w:jc w:val="both"/>
        <w:textAlignment w:val="baseline"/>
        <w:rPr>
          <w:i w:val="false"/>
          <w:iCs w:val="false"/>
          <w:color w:val="000000"/>
        </w:rPr>
      </w:pPr>
      <w:r>
        <w:rPr>
          <w:i w:val="false"/>
          <w:iCs w:val="false"/>
          <w:color w:val="000000"/>
        </w:rPr>
        <w:t>Wykonawca zobowiązany jest do takiej organizacji realizacji zamówienia, aby wszystkie wydatki mogły zostać uznane za kwalifikowalne, w szczególności poprzez dotrzymanie terminów realizacji poszczególnych etapów projektu.</w:t>
      </w:r>
    </w:p>
    <w:p>
      <w:pPr>
        <w:pStyle w:val="Standard"/>
        <w:shd w:val="clear" w:color="auto" w:fill="E5E5E5"/>
        <w:spacing w:before="0" w:after="120"/>
        <w:contextualSpacing/>
        <w:rPr/>
      </w:pPr>
      <w:r>
        <w:rPr>
          <w:b/>
        </w:rPr>
        <w:t>V. WARUNKI UDZIAŁU W POSTĘPOWANIU:</w:t>
      </w:r>
    </w:p>
    <w:p>
      <w:pPr>
        <w:pStyle w:val="Standard"/>
        <w:spacing w:before="0" w:after="120"/>
        <w:contextualSpacing/>
        <w:jc w:val="both"/>
        <w:rPr/>
      </w:pPr>
      <w:r>
        <w:rPr/>
        <w:t>1. O udzielenie zamówienia mogą ubiegać się Wykonawcy, którzy spełniają warunki dotyczące:</w:t>
      </w:r>
    </w:p>
    <w:p>
      <w:pPr>
        <w:pStyle w:val="Standard"/>
        <w:spacing w:before="0" w:after="120"/>
        <w:contextualSpacing/>
        <w:jc w:val="both"/>
        <w:rPr/>
      </w:pPr>
      <w:r>
        <w:rPr/>
        <w:t>1.1. zdolności do występowania w obrocie gospodarczym:</w:t>
      </w:r>
    </w:p>
    <w:p>
      <w:pPr>
        <w:pStyle w:val="Standard"/>
        <w:spacing w:before="0" w:after="120"/>
        <w:contextualSpacing/>
        <w:jc w:val="both"/>
        <w:rPr>
          <w:i/>
          <w:iCs/>
        </w:rPr>
      </w:pPr>
      <w:r>
        <w:rPr>
          <w:i/>
          <w:iCs/>
        </w:rPr>
        <w:t>Zamawiający nie stawia warunku w tym zakresie.</w:t>
      </w:r>
    </w:p>
    <w:p>
      <w:pPr>
        <w:pStyle w:val="Standard"/>
        <w:spacing w:before="0" w:after="120"/>
        <w:contextualSpacing/>
        <w:jc w:val="both"/>
        <w:rPr/>
      </w:pPr>
      <w:r>
        <w:rPr/>
        <w:t>1.2. uprawnień do prowadzenia określonej działalności gospodarczej lub zawodowej,                             o ile wynika to z odrębnych przepisów:</w:t>
      </w:r>
    </w:p>
    <w:p>
      <w:pPr>
        <w:pStyle w:val="Standard"/>
        <w:spacing w:before="0" w:after="120"/>
        <w:contextualSpacing/>
        <w:jc w:val="both"/>
        <w:rPr>
          <w:i/>
          <w:iCs/>
        </w:rPr>
      </w:pPr>
      <w:r>
        <w:rPr>
          <w:i/>
          <w:iCs/>
        </w:rPr>
        <w:t>Zamawiający nie stawia warunku w tym zakresie.</w:t>
      </w:r>
    </w:p>
    <w:p>
      <w:pPr>
        <w:pStyle w:val="Standard"/>
        <w:spacing w:before="0" w:after="120"/>
        <w:contextualSpacing/>
        <w:jc w:val="both"/>
        <w:rPr/>
      </w:pPr>
      <w:r>
        <w:rPr/>
        <w:t>1.3. sytuacji ekonomicznej lub finansowej:</w:t>
      </w:r>
    </w:p>
    <w:p>
      <w:pPr>
        <w:pStyle w:val="Standard"/>
        <w:spacing w:before="0" w:after="120"/>
        <w:contextualSpacing/>
        <w:jc w:val="both"/>
        <w:rPr>
          <w:i/>
          <w:iCs/>
        </w:rPr>
      </w:pPr>
      <w:r>
        <w:rPr>
          <w:i/>
          <w:iCs/>
        </w:rPr>
        <w:t>Zamawiający nie stawia warunku w tym zakresie.</w:t>
      </w:r>
    </w:p>
    <w:p>
      <w:pPr>
        <w:pStyle w:val="Standard"/>
        <w:spacing w:before="0" w:after="120"/>
        <w:contextualSpacing/>
        <w:jc w:val="both"/>
        <w:rPr>
          <w:color w:val="000000"/>
        </w:rPr>
      </w:pPr>
      <w:r>
        <w:rPr>
          <w:color w:val="000000"/>
        </w:rPr>
        <w:t>1.4. zdolności technicznej lub zawodowej:</w:t>
      </w:r>
    </w:p>
    <w:p>
      <w:pPr>
        <w:pStyle w:val="Normal"/>
        <w:spacing w:before="0" w:after="0"/>
        <w:contextualSpacing/>
        <w:jc w:val="both"/>
        <w:rPr>
          <w:color w:val="000000"/>
        </w:rPr>
      </w:pPr>
      <w:r>
        <w:rPr>
          <w:b/>
          <w:bCs/>
          <w:i/>
          <w:iCs/>
          <w:color w:val="000000"/>
        </w:rPr>
        <w:t>1.4.1. Wykonawca na potwierdzenie spełnienia warunku udziału w postępowaniu w zakresie zdolności technicznej lub zawodowej winien  wykazać, że wykonał należycie oraz zgodnie z obowiązującymi przepisami prawa budowlanego i prawidłowo ukończył nie wcześniej niż w okresie ostatnich 5 lat przed upływem terminu składania ofert, a jeżeli okres prowadzenia działalności jest krótszy – w tym okresie:</w:t>
      </w:r>
    </w:p>
    <w:p>
      <w:pPr>
        <w:pStyle w:val="ListParagraph"/>
        <w:numPr>
          <w:ilvl w:val="0"/>
          <w:numId w:val="1"/>
        </w:numPr>
        <w:spacing w:before="0" w:after="200"/>
        <w:contextualSpacing/>
        <w:jc w:val="both"/>
        <w:rPr>
          <w:color w:val="000000"/>
        </w:rPr>
      </w:pPr>
      <w:r>
        <w:rPr>
          <w:b/>
          <w:bCs/>
          <w:i/>
          <w:iCs/>
          <w:color w:val="000000"/>
        </w:rPr>
        <w:t xml:space="preserve">co najmniej dwie (2) roboty polegające na wykonaniu robót budowlanych związanych z przebudową lub/i rozbudową lub/i termomodernizacją lub/i modernizacją budynków kubaturowych o powierzchni użytkowej </w:t>
      </w:r>
      <w:r>
        <w:rPr>
          <w:b/>
          <w:bCs/>
          <w:i/>
          <w:iCs/>
          <w:color w:val="000000"/>
          <w:u w:val="single"/>
        </w:rPr>
        <w:t>nie mniejszej niż 1000m</w:t>
      </w:r>
      <w:r>
        <w:rPr>
          <w:b/>
          <w:bCs/>
          <w:i/>
          <w:iCs/>
          <w:color w:val="000000"/>
          <w:u w:val="single"/>
          <w:vertAlign w:val="superscript"/>
        </w:rPr>
        <w:t>2</w:t>
      </w:r>
      <w:r>
        <w:rPr>
          <w:b/>
          <w:bCs/>
          <w:i/>
          <w:iCs/>
          <w:color w:val="000000"/>
          <w:u w:val="single"/>
        </w:rPr>
        <w:t xml:space="preserve"> każda</w:t>
      </w:r>
    </w:p>
    <w:p>
      <w:pPr>
        <w:pStyle w:val="Standard"/>
        <w:spacing w:before="0" w:after="120"/>
        <w:contextualSpacing/>
        <w:jc w:val="both"/>
        <w:rPr>
          <w:color w:val="000000"/>
        </w:rPr>
      </w:pPr>
      <w:r>
        <w:rPr>
          <w:b/>
          <w:bCs/>
          <w:i/>
          <w:iCs/>
          <w:color w:val="000000"/>
          <w:u w:val="single"/>
        </w:rPr>
        <w:t>W przypadku Wykonawców wspólnie ubiegających się o udzielenie zamówienia, spełnienie warunku Wykonawcy wykazują łącznie.</w:t>
      </w:r>
    </w:p>
    <w:p>
      <w:pPr>
        <w:pStyle w:val="Standard"/>
        <w:spacing w:before="0" w:after="120"/>
        <w:contextualSpacing/>
        <w:jc w:val="both"/>
        <w:rPr>
          <w:color w:val="000000"/>
        </w:rPr>
      </w:pPr>
      <w:r>
        <w:rPr>
          <w:color w:val="000000"/>
        </w:rPr>
      </w:r>
    </w:p>
    <w:p>
      <w:pPr>
        <w:pStyle w:val="Standard"/>
        <w:spacing w:before="0" w:after="120"/>
        <w:contextualSpacing/>
        <w:jc w:val="both"/>
        <w:rPr>
          <w:color w:val="000000"/>
        </w:rPr>
      </w:pPr>
      <w:r>
        <w:rPr>
          <w:color w:val="000000"/>
        </w:rPr>
        <w:t>1.4.2.</w:t>
      </w:r>
      <w:r>
        <w:rPr/>
        <w:t xml:space="preserve"> </w:t>
      </w:r>
      <w:r>
        <w:rPr>
          <w:color w:val="000000"/>
        </w:rPr>
        <w:t xml:space="preserve">Wykonawca musi wykazać dysponowanie (dysponuje lub będzie dysponował) osobami zdolnymi do wykonania przedmiotu zamówienia tj. zaangażuje kadrę posiadającą następujące kwalifikacje/doświadczenie: </w:t>
      </w:r>
    </w:p>
    <w:p>
      <w:pPr>
        <w:pStyle w:val="Standard1"/>
        <w:numPr>
          <w:ilvl w:val="3"/>
          <w:numId w:val="9"/>
        </w:numPr>
        <w:spacing w:before="0" w:after="120"/>
        <w:contextualSpacing/>
        <w:jc w:val="both"/>
        <w:rPr>
          <w:color w:val="000000"/>
        </w:rPr>
      </w:pPr>
      <w:r>
        <w:rPr>
          <w:i/>
          <w:iCs/>
          <w:color w:val="000000"/>
        </w:rPr>
        <w:t xml:space="preserve">w zakresie projektowania </w:t>
      </w:r>
    </w:p>
    <w:tbl>
      <w:tblPr>
        <w:tblW w:w="7653" w:type="dxa"/>
        <w:jc w:val="left"/>
        <w:tblInd w:w="726" w:type="dxa"/>
        <w:tblLayout w:type="fixed"/>
        <w:tblCellMar>
          <w:top w:w="0" w:type="dxa"/>
          <w:left w:w="108" w:type="dxa"/>
          <w:bottom w:w="0" w:type="dxa"/>
          <w:right w:w="108" w:type="dxa"/>
        </w:tblCellMar>
        <w:tblLook w:firstRow="1" w:noVBand="1" w:lastRow="0" w:firstColumn="1" w:lastColumn="0" w:noHBand="0" w:val="04a0"/>
      </w:tblPr>
      <w:tblGrid>
        <w:gridCol w:w="674"/>
        <w:gridCol w:w="1705"/>
        <w:gridCol w:w="5274"/>
      </w:tblGrid>
      <w:tr>
        <w:trPr>
          <w:trHeight w:val="702" w:hRule="atLeast"/>
        </w:trPr>
        <w:tc>
          <w:tcPr>
            <w:tcW w:w="67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right" w:pos="-4680" w:leader="none"/>
              </w:tabs>
              <w:jc w:val="center"/>
              <w:rPr>
                <w:color w:val="000000"/>
              </w:rPr>
            </w:pPr>
            <w:r>
              <w:rPr>
                <w:color w:val="000000"/>
                <w:sz w:val="20"/>
                <w:szCs w:val="20"/>
              </w:rPr>
              <w:t>1</w:t>
            </w:r>
          </w:p>
          <w:p>
            <w:pPr>
              <w:pStyle w:val="Normal"/>
              <w:tabs>
                <w:tab w:val="clear" w:pos="720"/>
                <w:tab w:val="right" w:pos="-4680" w:leader="none"/>
              </w:tabs>
              <w:jc w:val="center"/>
              <w:rPr>
                <w:color w:val="000000"/>
                <w:sz w:val="20"/>
                <w:szCs w:val="20"/>
              </w:rPr>
            </w:pPr>
            <w:r>
              <w:rPr>
                <w:color w:val="000000"/>
                <w:sz w:val="20"/>
                <w:szCs w:val="20"/>
              </w:rPr>
            </w:r>
          </w:p>
        </w:tc>
        <w:tc>
          <w:tcPr>
            <w:tcW w:w="1705"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outlineLvl w:val="0"/>
              <w:rPr>
                <w:color w:val="000000"/>
              </w:rPr>
            </w:pPr>
            <w:r>
              <w:rPr>
                <w:rFonts w:eastAsia="Arial Unicode MS"/>
                <w:color w:val="000000"/>
                <w:sz w:val="20"/>
                <w:szCs w:val="20"/>
              </w:rPr>
              <w:t>Projektant w specjalności konstrukcyjno - budowlanej</w:t>
            </w:r>
          </w:p>
        </w:tc>
        <w:tc>
          <w:tcPr>
            <w:tcW w:w="5274" w:type="dxa"/>
            <w:tcBorders>
              <w:top w:val="single" w:sz="4" w:space="0" w:color="000000"/>
              <w:left w:val="single" w:sz="4" w:space="0" w:color="000000"/>
              <w:bottom w:val="single" w:sz="4" w:space="0" w:color="000000"/>
              <w:right w:val="single" w:sz="4" w:space="0" w:color="000000"/>
            </w:tcBorders>
          </w:tcPr>
          <w:p>
            <w:pPr>
              <w:pStyle w:val="Normal"/>
              <w:keepNext w:val="true"/>
              <w:jc w:val="both"/>
              <w:rPr>
                <w:rFonts w:eastAsia="Arial Unicode MS"/>
                <w:sz w:val="20"/>
                <w:szCs w:val="20"/>
              </w:rPr>
            </w:pPr>
            <w:r>
              <w:rPr>
                <w:rFonts w:eastAsia="Arial Unicode MS"/>
                <w:color w:val="000000"/>
                <w:sz w:val="20"/>
                <w:szCs w:val="20"/>
              </w:rPr>
              <w:t xml:space="preserve">Uprawnienia branży konstrukcyjno budowlanej bez ograniczeń lub odpowiadające im uprawnienia w specjalności konstrukcyjno – budowlane bez ograniczeń wydane przed 11.07.2003 r (lub równoważne), posiadającego doświadczenie przy projektowaniu min. 2  obiektów kubaturowym o powierzchni użytkowej min. 1000 m </w:t>
            </w:r>
            <w:r>
              <w:rPr>
                <w:rFonts w:eastAsia="Arial Unicode MS"/>
                <w:color w:val="000000"/>
                <w:sz w:val="20"/>
                <w:szCs w:val="20"/>
                <w:vertAlign w:val="superscript"/>
              </w:rPr>
              <w:t>2</w:t>
            </w:r>
            <w:r>
              <w:rPr>
                <w:rFonts w:eastAsia="Arial Unicode MS"/>
                <w:color w:val="000000"/>
                <w:sz w:val="20"/>
                <w:szCs w:val="20"/>
              </w:rPr>
              <w:t xml:space="preserve"> w okresie ostatnich 3 lat</w:t>
            </w:r>
          </w:p>
          <w:p>
            <w:pPr>
              <w:pStyle w:val="Normal"/>
              <w:keepNext w:val="true"/>
              <w:rPr>
                <w:color w:val="000000"/>
                <w:sz w:val="20"/>
                <w:szCs w:val="20"/>
              </w:rPr>
            </w:pPr>
            <w:r>
              <w:rPr>
                <w:color w:val="000000"/>
                <w:sz w:val="20"/>
                <w:szCs w:val="20"/>
              </w:rPr>
            </w:r>
          </w:p>
        </w:tc>
      </w:tr>
      <w:tr>
        <w:trPr>
          <w:trHeight w:val="702" w:hRule="atLeast"/>
        </w:trPr>
        <w:tc>
          <w:tcPr>
            <w:tcW w:w="674" w:type="dxa"/>
            <w:tcBorders>
              <w:left w:val="single" w:sz="4" w:space="0" w:color="000000"/>
              <w:bottom w:val="single" w:sz="4" w:space="0" w:color="000000"/>
              <w:right w:val="single" w:sz="4" w:space="0" w:color="000000"/>
            </w:tcBorders>
            <w:vAlign w:val="center"/>
          </w:tcPr>
          <w:p>
            <w:pPr>
              <w:pStyle w:val="Normal"/>
              <w:tabs>
                <w:tab w:val="clear" w:pos="720"/>
                <w:tab w:val="right" w:pos="-4680" w:leader="none"/>
              </w:tabs>
              <w:jc w:val="center"/>
              <w:rPr>
                <w:color w:val="000000"/>
              </w:rPr>
            </w:pPr>
            <w:r>
              <w:rPr>
                <w:color w:val="000000"/>
              </w:rPr>
              <w:t>2</w:t>
            </w:r>
          </w:p>
        </w:tc>
        <w:tc>
          <w:tcPr>
            <w:tcW w:w="1705" w:type="dxa"/>
            <w:tcBorders>
              <w:left w:val="single" w:sz="4" w:space="0" w:color="000000"/>
              <w:bottom w:val="single" w:sz="4" w:space="0" w:color="000000"/>
              <w:right w:val="single" w:sz="4" w:space="0" w:color="000000"/>
            </w:tcBorders>
          </w:tcPr>
          <w:p>
            <w:pPr>
              <w:pStyle w:val="Normal"/>
              <w:keepNext w:val="true"/>
              <w:numPr>
                <w:ilvl w:val="0"/>
                <w:numId w:val="0"/>
              </w:numPr>
              <w:ind w:hanging="0" w:left="0"/>
              <w:outlineLvl w:val="0"/>
              <w:rPr>
                <w:color w:val="000000"/>
                <w:sz w:val="20"/>
                <w:szCs w:val="20"/>
              </w:rPr>
            </w:pPr>
            <w:r>
              <w:rPr>
                <w:color w:val="000000"/>
                <w:sz w:val="20"/>
                <w:szCs w:val="20"/>
              </w:rPr>
              <w:t>Projektant w specjalności Architektonicznej</w:t>
            </w:r>
          </w:p>
          <w:p>
            <w:pPr>
              <w:pStyle w:val="Normal"/>
              <w:numPr>
                <w:ilvl w:val="0"/>
                <w:numId w:val="0"/>
              </w:numPr>
              <w:ind w:hanging="0" w:left="0"/>
              <w:outlineLvl w:val="0"/>
              <w:rPr>
                <w:color w:val="000000"/>
                <w:sz w:val="20"/>
                <w:szCs w:val="20"/>
              </w:rPr>
            </w:pPr>
            <w:r>
              <w:rPr>
                <w:color w:val="000000"/>
                <w:sz w:val="20"/>
                <w:szCs w:val="20"/>
              </w:rPr>
            </w:r>
          </w:p>
        </w:tc>
        <w:tc>
          <w:tcPr>
            <w:tcW w:w="5274" w:type="dxa"/>
            <w:tcBorders>
              <w:left w:val="single" w:sz="4" w:space="0" w:color="000000"/>
              <w:bottom w:val="single" w:sz="4" w:space="0" w:color="000000"/>
              <w:right w:val="single" w:sz="4" w:space="0" w:color="000000"/>
            </w:tcBorders>
          </w:tcPr>
          <w:p>
            <w:pPr>
              <w:pStyle w:val="Normal"/>
              <w:keepNext w:val="true"/>
              <w:jc w:val="both"/>
              <w:rPr>
                <w:rFonts w:eastAsia="Arial Unicode MS"/>
                <w:sz w:val="20"/>
                <w:szCs w:val="20"/>
              </w:rPr>
            </w:pPr>
            <w:r>
              <w:rPr>
                <w:rFonts w:eastAsia="Arial Unicode MS"/>
                <w:sz w:val="20"/>
                <w:szCs w:val="20"/>
              </w:rPr>
              <w:t>Uprawnienia w specjalności architektonicznej bez ograniczeń (lub równoważnej)</w:t>
            </w:r>
          </w:p>
          <w:p>
            <w:pPr>
              <w:pStyle w:val="Normal"/>
              <w:jc w:val="both"/>
              <w:rPr>
                <w:rFonts w:eastAsia="Arial Unicode MS"/>
                <w:sz w:val="20"/>
                <w:szCs w:val="20"/>
              </w:rPr>
            </w:pPr>
            <w:r>
              <w:rPr>
                <w:rFonts w:eastAsia="Arial Unicode MS"/>
                <w:sz w:val="20"/>
                <w:szCs w:val="20"/>
              </w:rPr>
            </w:r>
          </w:p>
        </w:tc>
      </w:tr>
      <w:tr>
        <w:trPr>
          <w:trHeight w:val="584" w:hRule="atLeast"/>
        </w:trPr>
        <w:tc>
          <w:tcPr>
            <w:tcW w:w="67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right" w:pos="-4680" w:leader="none"/>
              </w:tabs>
              <w:jc w:val="center"/>
              <w:rPr>
                <w:color w:val="000000"/>
              </w:rPr>
            </w:pPr>
            <w:r>
              <w:rPr>
                <w:color w:val="000000"/>
                <w:sz w:val="20"/>
                <w:szCs w:val="20"/>
              </w:rPr>
              <w:t>3</w:t>
            </w:r>
          </w:p>
        </w:tc>
        <w:tc>
          <w:tcPr>
            <w:tcW w:w="1705"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outlineLvl w:val="0"/>
              <w:rPr>
                <w:color w:val="000000"/>
              </w:rPr>
            </w:pPr>
            <w:r>
              <w:rPr>
                <w:rFonts w:eastAsia="Arial Unicode MS"/>
                <w:color w:val="000000"/>
                <w:sz w:val="20"/>
                <w:szCs w:val="20"/>
              </w:rPr>
              <w:t>Projektant w specjalności elektrycznej</w:t>
            </w:r>
          </w:p>
        </w:tc>
        <w:tc>
          <w:tcPr>
            <w:tcW w:w="5274" w:type="dxa"/>
            <w:tcBorders>
              <w:top w:val="single" w:sz="4" w:space="0" w:color="000000"/>
              <w:left w:val="single" w:sz="4" w:space="0" w:color="000000"/>
              <w:bottom w:val="single" w:sz="4" w:space="0" w:color="000000"/>
              <w:right w:val="single" w:sz="4" w:space="0" w:color="000000"/>
            </w:tcBorders>
          </w:tcPr>
          <w:p>
            <w:pPr>
              <w:pStyle w:val="Normal"/>
              <w:keepNext w:val="true"/>
              <w:rPr>
                <w:color w:val="000000"/>
              </w:rPr>
            </w:pPr>
            <w:r>
              <w:rPr>
                <w:rFonts w:eastAsia="Arial Unicode MS"/>
                <w:color w:val="000000"/>
                <w:sz w:val="20"/>
                <w:szCs w:val="20"/>
              </w:rPr>
              <w:t>Uprawnienia w zakresie sieci, instalacji i urządzeń elektrycznych i elektroenergetycznych bez ograniczeń (lub równoważne)</w:t>
            </w:r>
          </w:p>
        </w:tc>
      </w:tr>
      <w:tr>
        <w:trPr>
          <w:trHeight w:val="584" w:hRule="atLeast"/>
        </w:trPr>
        <w:tc>
          <w:tcPr>
            <w:tcW w:w="67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right" w:pos="-4680" w:leader="none"/>
              </w:tabs>
              <w:jc w:val="center"/>
              <w:rPr>
                <w:color w:val="000000"/>
              </w:rPr>
            </w:pPr>
            <w:r>
              <w:rPr>
                <w:color w:val="000000"/>
                <w:sz w:val="20"/>
                <w:szCs w:val="20"/>
              </w:rPr>
              <w:t>4</w:t>
            </w:r>
          </w:p>
        </w:tc>
        <w:tc>
          <w:tcPr>
            <w:tcW w:w="1705"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outlineLvl w:val="0"/>
              <w:rPr>
                <w:color w:val="000000"/>
              </w:rPr>
            </w:pPr>
            <w:r>
              <w:rPr>
                <w:rFonts w:eastAsia="Arial Unicode MS"/>
                <w:color w:val="000000"/>
                <w:sz w:val="20"/>
                <w:szCs w:val="20"/>
              </w:rPr>
              <w:t>Projektant w specjalności instalacyjnej</w:t>
            </w:r>
          </w:p>
        </w:tc>
        <w:tc>
          <w:tcPr>
            <w:tcW w:w="5274" w:type="dxa"/>
            <w:tcBorders>
              <w:top w:val="single" w:sz="4" w:space="0" w:color="000000"/>
              <w:left w:val="single" w:sz="4" w:space="0" w:color="000000"/>
              <w:bottom w:val="single" w:sz="4" w:space="0" w:color="000000"/>
              <w:right w:val="single" w:sz="4" w:space="0" w:color="000000"/>
            </w:tcBorders>
          </w:tcPr>
          <w:p>
            <w:pPr>
              <w:pStyle w:val="Normal"/>
              <w:keepNext w:val="true"/>
              <w:rPr>
                <w:color w:val="000000"/>
              </w:rPr>
            </w:pPr>
            <w:r>
              <w:rPr>
                <w:rFonts w:eastAsia="Arial Unicode MS"/>
                <w:color w:val="000000"/>
                <w:sz w:val="20"/>
                <w:szCs w:val="20"/>
              </w:rPr>
              <w:t>Uprawnienia w zakresie sieci, instalacji i urządzeń cieplnych, wentylacyjnych, gazowych, wodociągowych i kanalizacyjnych bez ograniczeń (lub równoważne)</w:t>
            </w:r>
          </w:p>
        </w:tc>
      </w:tr>
    </w:tbl>
    <w:p>
      <w:pPr>
        <w:pStyle w:val="Standard1"/>
        <w:spacing w:before="0" w:after="120"/>
        <w:contextualSpacing/>
        <w:jc w:val="both"/>
        <w:rPr>
          <w:rFonts w:ascii="Calibri Light" w:hAnsi="Calibri Light" w:cs="Calibri Light" w:asciiTheme="majorHAnsi" w:cstheme="majorHAnsi" w:hAnsiTheme="majorHAnsi"/>
          <w:color w:val="000000"/>
        </w:rPr>
      </w:pPr>
      <w:r>
        <w:rPr>
          <w:rFonts w:cs="Calibri Light" w:cstheme="majorHAnsi" w:ascii="Calibri Light" w:hAnsi="Calibri Light"/>
          <w:color w:val="000000"/>
        </w:rPr>
      </w:r>
    </w:p>
    <w:p>
      <w:pPr>
        <w:pStyle w:val="Textbody1"/>
        <w:keepLines/>
        <w:suppressAutoHyphens w:val="true"/>
        <w:spacing w:lineRule="auto" w:line="276"/>
        <w:textAlignment w:val="baseline"/>
        <w:rPr>
          <w:color w:val="auto"/>
          <w:highlight w:val="none"/>
          <w:shd w:fill="auto" w:val="clear"/>
        </w:rPr>
      </w:pPr>
      <w:r>
        <w:rPr>
          <w:b/>
          <w:bCs/>
          <w:color w:val="000000"/>
          <w:u w:val="single"/>
          <w:shd w:fill="auto" w:val="clear"/>
        </w:rPr>
        <w:t>Uwaga:</w:t>
      </w:r>
    </w:p>
    <w:p>
      <w:pPr>
        <w:pStyle w:val="Normal"/>
        <w:numPr>
          <w:ilvl w:val="0"/>
          <w:numId w:val="14"/>
        </w:numPr>
        <w:spacing w:lineRule="auto" w:line="276" w:before="0" w:after="0"/>
        <w:ind w:hanging="284" w:left="284"/>
        <w:contextualSpacing/>
        <w:jc w:val="both"/>
        <w:rPr>
          <w:color w:val="auto"/>
          <w:highlight w:val="none"/>
          <w:shd w:fill="auto" w:val="clear"/>
        </w:rPr>
      </w:pPr>
      <w:r>
        <w:rPr>
          <w:rFonts w:eastAsia="Calibri"/>
          <w:color w:val="000000"/>
          <w:shd w:fill="auto" w:val="clear"/>
        </w:rPr>
        <w:t>Dotyczy Projektanta w specjalności konstrukcyjno – budowlanej  - wykazane doświadczenie osoby musi dotyczyć usług zrealizowanych w okresie ostatnich 3 lat</w:t>
      </w:r>
      <w:r>
        <w:rPr>
          <w:color w:val="000000"/>
          <w:shd w:fill="auto" w:val="clear"/>
        </w:rPr>
        <w:t xml:space="preserve"> </w:t>
      </w:r>
      <w:r>
        <w:rPr>
          <w:rFonts w:eastAsia="Calibri"/>
          <w:color w:val="000000"/>
          <w:shd w:fill="auto" w:val="clear"/>
        </w:rPr>
        <w:t>(</w:t>
      </w:r>
      <w:r>
        <w:rPr>
          <w:color w:val="000000"/>
          <w:shd w:fill="auto" w:val="clear"/>
        </w:rPr>
        <w:t xml:space="preserve">okres ten liczy się wstecz od dnia, w którym upływa termin składania ofert). Osoba wskazana musi </w:t>
      </w:r>
      <w:r>
        <w:rPr>
          <w:rFonts w:eastAsia="Arial Unicode MS"/>
          <w:color w:val="000000"/>
          <w:sz w:val="24"/>
          <w:szCs w:val="24"/>
          <w:shd w:fill="auto" w:val="clear"/>
        </w:rPr>
        <w:t xml:space="preserve">posiadać doświadczenie przy projektowaniu min. 2  obiektów kubaturowym o powierzchni użytkowej min. 1000 m </w:t>
      </w:r>
      <w:r>
        <w:rPr>
          <w:rFonts w:eastAsia="Arial Unicode MS"/>
          <w:color w:val="000000"/>
          <w:sz w:val="24"/>
          <w:szCs w:val="24"/>
          <w:shd w:fill="auto" w:val="clear"/>
          <w:vertAlign w:val="superscript"/>
        </w:rPr>
        <w:t>2</w:t>
      </w:r>
      <w:r>
        <w:rPr>
          <w:rFonts w:eastAsia="Arial Unicode MS"/>
          <w:color w:val="000000"/>
          <w:sz w:val="24"/>
          <w:szCs w:val="24"/>
          <w:shd w:fill="auto" w:val="clear"/>
        </w:rPr>
        <w:t xml:space="preserve"> w okresie ostatnich 3 lat</w:t>
      </w:r>
    </w:p>
    <w:p>
      <w:pPr>
        <w:pStyle w:val="Normal"/>
        <w:numPr>
          <w:ilvl w:val="0"/>
          <w:numId w:val="0"/>
        </w:numPr>
        <w:spacing w:lineRule="auto" w:line="276" w:before="0" w:after="0"/>
        <w:ind w:hanging="0" w:left="284"/>
        <w:contextualSpacing/>
        <w:jc w:val="both"/>
        <w:rPr>
          <w:rFonts w:eastAsia="Arial Unicode MS"/>
          <w:color w:val="000000"/>
          <w:sz w:val="24"/>
          <w:szCs w:val="24"/>
          <w:highlight w:val="none"/>
          <w:shd w:fill="auto" w:val="clear"/>
        </w:rPr>
      </w:pPr>
      <w:r>
        <w:rPr>
          <w:rFonts w:eastAsia="Arial Unicode MS"/>
          <w:color w:val="000000"/>
          <w:sz w:val="24"/>
          <w:szCs w:val="24"/>
          <w:shd w:fill="auto" w:val="clear"/>
        </w:rPr>
      </w:r>
    </w:p>
    <w:p>
      <w:pPr>
        <w:pStyle w:val="Standard1"/>
        <w:numPr>
          <w:ilvl w:val="3"/>
          <w:numId w:val="10"/>
        </w:numPr>
        <w:spacing w:before="0" w:after="120"/>
        <w:contextualSpacing/>
        <w:jc w:val="both"/>
        <w:rPr>
          <w:color w:val="000000"/>
        </w:rPr>
      </w:pPr>
      <w:r>
        <w:rPr>
          <w:i/>
          <w:iCs/>
          <w:color w:val="000000"/>
        </w:rPr>
        <w:t xml:space="preserve">w zakresie wykonawstwa </w:t>
      </w:r>
    </w:p>
    <w:tbl>
      <w:tblPr>
        <w:tblW w:w="7683" w:type="dxa"/>
        <w:jc w:val="left"/>
        <w:tblInd w:w="696" w:type="dxa"/>
        <w:tblLayout w:type="fixed"/>
        <w:tblCellMar>
          <w:top w:w="0" w:type="dxa"/>
          <w:left w:w="108" w:type="dxa"/>
          <w:bottom w:w="0" w:type="dxa"/>
          <w:right w:w="108" w:type="dxa"/>
        </w:tblCellMar>
        <w:tblLook w:firstRow="1" w:noVBand="1" w:lastRow="0" w:firstColumn="1" w:lastColumn="0" w:noHBand="0" w:val="04a0"/>
      </w:tblPr>
      <w:tblGrid>
        <w:gridCol w:w="708"/>
        <w:gridCol w:w="1699"/>
        <w:gridCol w:w="5276"/>
      </w:tblGrid>
      <w:tr>
        <w:trPr>
          <w:trHeight w:val="702" w:hRule="atLeast"/>
        </w:trPr>
        <w:tc>
          <w:tcPr>
            <w:tcW w:w="70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right" w:pos="-4680" w:leader="none"/>
              </w:tabs>
              <w:jc w:val="center"/>
              <w:rPr>
                <w:color w:val="000000"/>
              </w:rPr>
            </w:pPr>
            <w:r>
              <w:rPr>
                <w:color w:val="000000"/>
                <w:sz w:val="20"/>
                <w:szCs w:val="20"/>
              </w:rPr>
              <w:t>1</w:t>
            </w:r>
          </w:p>
          <w:p>
            <w:pPr>
              <w:pStyle w:val="Normal"/>
              <w:tabs>
                <w:tab w:val="clear" w:pos="720"/>
                <w:tab w:val="right" w:pos="-4680" w:leader="none"/>
              </w:tabs>
              <w:jc w:val="center"/>
              <w:rPr>
                <w:color w:val="000000"/>
                <w:sz w:val="20"/>
                <w:szCs w:val="20"/>
              </w:rPr>
            </w:pPr>
            <w:r>
              <w:rPr>
                <w:color w:val="000000"/>
                <w:sz w:val="20"/>
                <w:szCs w:val="20"/>
              </w:rPr>
            </w:r>
          </w:p>
        </w:tc>
        <w:tc>
          <w:tcPr>
            <w:tcW w:w="169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outlineLvl w:val="0"/>
              <w:rPr>
                <w:color w:val="000000"/>
              </w:rPr>
            </w:pPr>
            <w:r>
              <w:rPr>
                <w:rFonts w:eastAsia="Arial Unicode MS"/>
                <w:color w:val="000000"/>
                <w:sz w:val="20"/>
                <w:szCs w:val="20"/>
              </w:rPr>
              <w:t>Kierownik budowy</w:t>
            </w:r>
          </w:p>
        </w:tc>
        <w:tc>
          <w:tcPr>
            <w:tcW w:w="5276" w:type="dxa"/>
            <w:tcBorders>
              <w:top w:val="single" w:sz="4" w:space="0" w:color="000000"/>
              <w:left w:val="single" w:sz="4" w:space="0" w:color="000000"/>
              <w:bottom w:val="single" w:sz="4" w:space="0" w:color="000000"/>
              <w:right w:val="single" w:sz="4" w:space="0" w:color="000000"/>
            </w:tcBorders>
          </w:tcPr>
          <w:p>
            <w:pPr>
              <w:pStyle w:val="Normal"/>
              <w:keepNext w:val="true"/>
              <w:jc w:val="both"/>
              <w:rPr>
                <w:color w:val="auto"/>
              </w:rPr>
            </w:pPr>
            <w:r>
              <w:rPr>
                <w:rFonts w:eastAsia="Arial Unicode MS"/>
                <w:color w:val="auto"/>
                <w:sz w:val="20"/>
                <w:szCs w:val="20"/>
              </w:rPr>
              <w:t>Kierownik budowy - uprawnienia do kierowania robotami budowlanymi w specjalności konstrukcyjno– budowlanej bez ograniczeń (lub równoważne).</w:t>
            </w:r>
          </w:p>
          <w:p>
            <w:pPr>
              <w:pStyle w:val="Normal"/>
              <w:keepNext w:val="true"/>
              <w:jc w:val="both"/>
              <w:rPr>
                <w:color w:val="auto"/>
              </w:rPr>
            </w:pPr>
            <w:r>
              <w:rPr>
                <w:color w:val="auto"/>
                <w:sz w:val="20"/>
                <w:szCs w:val="20"/>
              </w:rPr>
              <w:t>Wskazana osoba Kierownika budowy  musi posiadać doświadczenie niezbędne do realizacji zamówienia, w okresie ostatnich 3 lat (okres, o którym mowa liczy się wstecz od dnia, w którym upływa składania ofert), legitymując się należycie wykonanymi 2 (dwoma) usługami, związanymi z kierowaniem robót polegających na przebudowie lub/i rozbudowie lub/i termomodernizacji lub/i modernizacji budynków kubaturowych o powierzchni użytkowej nie mniejszej niż 1000m2 każda</w:t>
            </w:r>
          </w:p>
        </w:tc>
      </w:tr>
      <w:tr>
        <w:trPr>
          <w:trHeight w:val="702" w:hRule="atLeast"/>
        </w:trPr>
        <w:tc>
          <w:tcPr>
            <w:tcW w:w="70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right" w:pos="-4680" w:leader="none"/>
              </w:tabs>
              <w:jc w:val="center"/>
              <w:rPr>
                <w:color w:val="000000"/>
              </w:rPr>
            </w:pPr>
            <w:r>
              <w:rPr>
                <w:color w:val="000000"/>
                <w:sz w:val="20"/>
                <w:szCs w:val="20"/>
              </w:rPr>
              <w:t>2</w:t>
            </w:r>
          </w:p>
          <w:p>
            <w:pPr>
              <w:pStyle w:val="Normal"/>
              <w:tabs>
                <w:tab w:val="clear" w:pos="720"/>
                <w:tab w:val="right" w:pos="-4680" w:leader="none"/>
              </w:tabs>
              <w:jc w:val="center"/>
              <w:rPr>
                <w:color w:val="000000"/>
                <w:sz w:val="20"/>
                <w:szCs w:val="20"/>
              </w:rPr>
            </w:pPr>
            <w:r>
              <w:rPr>
                <w:color w:val="000000"/>
                <w:sz w:val="20"/>
                <w:szCs w:val="20"/>
              </w:rPr>
            </w:r>
          </w:p>
        </w:tc>
        <w:tc>
          <w:tcPr>
            <w:tcW w:w="169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outlineLvl w:val="0"/>
              <w:rPr>
                <w:color w:val="000000"/>
              </w:rPr>
            </w:pPr>
            <w:r>
              <w:rPr>
                <w:rFonts w:eastAsia="Arial Unicode MS"/>
                <w:color w:val="000000"/>
                <w:sz w:val="20"/>
                <w:szCs w:val="20"/>
              </w:rPr>
              <w:t>Kierownik robót elektrycznych</w:t>
            </w:r>
          </w:p>
        </w:tc>
        <w:tc>
          <w:tcPr>
            <w:tcW w:w="5276" w:type="dxa"/>
            <w:tcBorders>
              <w:top w:val="single" w:sz="4" w:space="0" w:color="000000"/>
              <w:left w:val="single" w:sz="4" w:space="0" w:color="000000"/>
              <w:bottom w:val="single" w:sz="4" w:space="0" w:color="000000"/>
              <w:right w:val="single" w:sz="4" w:space="0" w:color="000000"/>
            </w:tcBorders>
          </w:tcPr>
          <w:p>
            <w:pPr>
              <w:pStyle w:val="Normal"/>
              <w:keepNext w:val="true"/>
              <w:jc w:val="both"/>
              <w:rPr>
                <w:color w:val="000000"/>
              </w:rPr>
            </w:pPr>
            <w:r>
              <w:rPr>
                <w:rFonts w:eastAsia="Arial Unicode MS"/>
                <w:color w:val="000000"/>
                <w:sz w:val="20"/>
                <w:szCs w:val="20"/>
              </w:rPr>
              <w:t>Uprawnienia do kierowania w specjalności instalacyjnej                          w zakresie sieci, instalacji i urządzeń elektrycznych                                      i elektroenergetycznych (lub równoważne)</w:t>
            </w:r>
          </w:p>
        </w:tc>
      </w:tr>
      <w:tr>
        <w:trPr>
          <w:trHeight w:val="702" w:hRule="atLeast"/>
        </w:trPr>
        <w:tc>
          <w:tcPr>
            <w:tcW w:w="70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right" w:pos="-4680" w:leader="none"/>
              </w:tabs>
              <w:jc w:val="center"/>
              <w:rPr>
                <w:color w:val="000000"/>
              </w:rPr>
            </w:pPr>
            <w:r>
              <w:rPr>
                <w:color w:val="000000"/>
                <w:sz w:val="20"/>
                <w:szCs w:val="20"/>
              </w:rPr>
              <w:t>3</w:t>
            </w:r>
          </w:p>
        </w:tc>
        <w:tc>
          <w:tcPr>
            <w:tcW w:w="169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outlineLvl w:val="0"/>
              <w:rPr>
                <w:color w:val="000000"/>
              </w:rPr>
            </w:pPr>
            <w:r>
              <w:rPr>
                <w:rFonts w:eastAsia="Arial Unicode MS"/>
                <w:color w:val="000000"/>
                <w:sz w:val="20"/>
                <w:szCs w:val="20"/>
              </w:rPr>
              <w:t>Kierownik robót sanitarnych</w:t>
            </w:r>
          </w:p>
        </w:tc>
        <w:tc>
          <w:tcPr>
            <w:tcW w:w="5276" w:type="dxa"/>
            <w:tcBorders>
              <w:top w:val="single" w:sz="4" w:space="0" w:color="000000"/>
              <w:left w:val="single" w:sz="4" w:space="0" w:color="000000"/>
              <w:bottom w:val="single" w:sz="4" w:space="0" w:color="000000"/>
              <w:right w:val="single" w:sz="4" w:space="0" w:color="000000"/>
            </w:tcBorders>
          </w:tcPr>
          <w:p>
            <w:pPr>
              <w:pStyle w:val="Normal"/>
              <w:keepNext w:val="true"/>
              <w:jc w:val="both"/>
              <w:rPr>
                <w:color w:val="000000"/>
              </w:rPr>
            </w:pPr>
            <w:r>
              <w:rPr>
                <w:rFonts w:eastAsia="Arial Unicode MS"/>
                <w:color w:val="000000"/>
                <w:sz w:val="20"/>
                <w:szCs w:val="20"/>
              </w:rPr>
              <w:t>Kierownik robót Uprawnienia do kierowania w specjalności instalacyjnej w zakresie sieci i instalacji wodociągowych, kanalizacyjnych, wentylacyjnych (lub równoważne)</w:t>
            </w:r>
          </w:p>
        </w:tc>
      </w:tr>
    </w:tbl>
    <w:p>
      <w:pPr>
        <w:pStyle w:val="Standard1"/>
        <w:spacing w:before="0" w:after="120"/>
        <w:contextualSpacing/>
        <w:jc w:val="both"/>
        <w:rPr>
          <w:rFonts w:ascii="Calibri Light" w:hAnsi="Calibri Light" w:cs="Calibri Light" w:asciiTheme="majorHAnsi" w:cstheme="majorHAnsi" w:hAnsiTheme="majorHAnsi"/>
          <w:color w:val="000000"/>
        </w:rPr>
      </w:pPr>
      <w:r>
        <w:rPr>
          <w:rFonts w:cs="Calibri Light" w:cstheme="majorHAnsi" w:ascii="Calibri Light" w:hAnsi="Calibri Light"/>
          <w:color w:val="000000"/>
        </w:rPr>
      </w:r>
    </w:p>
    <w:p>
      <w:pPr>
        <w:pStyle w:val="Standard1"/>
        <w:spacing w:before="0" w:after="120"/>
        <w:contextualSpacing/>
        <w:jc w:val="both"/>
        <w:rPr>
          <w:color w:val="000000"/>
        </w:rPr>
      </w:pPr>
      <w:r>
        <w:rPr>
          <w:b/>
          <w:bCs/>
          <w:i/>
          <w:iCs/>
          <w:color w:val="000000"/>
          <w:u w:val="single"/>
        </w:rPr>
        <w:t>W przypadku Wykonawców wspólnie ubiegających się o udzielenie zamówienia, spełnienie warunku w pkt 1.4.2 SWZ Wykonawcy wykazują łącznie.</w:t>
      </w:r>
    </w:p>
    <w:p>
      <w:pPr>
        <w:pStyle w:val="Textbody1"/>
        <w:keepLines/>
        <w:rPr>
          <w:b/>
          <w:bCs/>
          <w:i/>
          <w:iCs/>
          <w:color w:val="000000"/>
          <w:u w:val="single"/>
        </w:rPr>
      </w:pPr>
      <w:r>
        <w:rPr>
          <w:b/>
          <w:bCs/>
          <w:i/>
          <w:iCs/>
          <w:color w:val="000000"/>
          <w:u w:val="single"/>
        </w:rPr>
        <w:t>Zamawiający dopuszcza możliwość łączenia funkcji projektantów. Zamawiający dopuszcza możliwość łączenia funkcji Kierowników Budowy.</w:t>
      </w:r>
    </w:p>
    <w:p>
      <w:pPr>
        <w:pStyle w:val="Textbody1"/>
        <w:rPr>
          <w:b/>
          <w:bCs/>
          <w:i/>
          <w:iCs/>
          <w:color w:val="000000"/>
          <w:u w:val="single"/>
        </w:rPr>
      </w:pPr>
      <w:r>
        <w:rPr>
          <w:b/>
          <w:bCs/>
          <w:i/>
          <w:iCs/>
          <w:color w:val="000000"/>
          <w:u w:val="single"/>
        </w:rPr>
      </w:r>
    </w:p>
    <w:p>
      <w:pPr>
        <w:pStyle w:val="Textbody1"/>
        <w:keepLines/>
        <w:rPr>
          <w:b/>
          <w:bCs/>
          <w:i/>
          <w:iCs/>
          <w:color w:val="000000"/>
          <w:u w:val="single"/>
        </w:rPr>
      </w:pPr>
      <w:r>
        <w:rPr>
          <w:b/>
          <w:bCs/>
          <w:i/>
          <w:iCs/>
          <w:color w:val="000000"/>
          <w:u w:val="single"/>
        </w:rPr>
        <w:t>Dotyczy osoby, o której mowa rozdz. V w pkt 1.4. ppkt. 1.4.2.2 ppkt. 1 Kierownik budowy.</w:t>
      </w:r>
    </w:p>
    <w:p>
      <w:pPr>
        <w:pStyle w:val="Textbody1"/>
        <w:rPr>
          <w:b w:val="false"/>
          <w:bCs w:val="false"/>
          <w:i w:val="false"/>
          <w:iCs w:val="false"/>
          <w:color w:val="000000"/>
          <w:u w:val="none"/>
        </w:rPr>
      </w:pPr>
      <w:r>
        <w:rPr>
          <w:b w:val="false"/>
          <w:bCs w:val="false"/>
          <w:i w:val="false"/>
          <w:iCs w:val="false"/>
          <w:color w:val="000000"/>
          <w:u w:val="none"/>
        </w:rPr>
        <w:t>Mając na uwadze zapewnienie odpowiedniego przebiegu postępowania (rzetelną ocenę Wykonawcy w zakresie kryterium „doświadczenie personelu”, tj. punktowanie doświadczenia osoby powyżej wymaganego warunku udziału w postępowaniu, w celu wykazania spełniania warunku udziału w postępowaniu, o którym mowa powyżej, Zamawiający wymaga, aby Wykonawca wraz z ofertą złożył dane kierownika budowy wskazane w formularzu ofertowym - Załącznik nr 2 , dla osoby skierowanej przez Wykonawcę do realizacji zamówienia publicznego - dotyczy wyłącznie osoby KIEROWNIK BUDOWY wraz z informacjami na temat jej doświadczenia niezbędnego do wykonania zamówienia publicznego, a także zakresu wykonywanych przez nią czynności oraz informacją o podstawie do dysponowania tą osobą.</w:t>
      </w:r>
    </w:p>
    <w:p>
      <w:pPr>
        <w:pStyle w:val="Textbody1"/>
        <w:rPr>
          <w:b/>
          <w:bCs/>
          <w:i/>
          <w:iCs/>
          <w:color w:val="000000"/>
          <w:u w:val="single"/>
        </w:rPr>
      </w:pPr>
      <w:r>
        <w:rPr>
          <w:b/>
          <w:bCs/>
          <w:i/>
          <w:iCs/>
          <w:color w:val="000000"/>
          <w:u w:val="single"/>
        </w:rPr>
      </w:r>
    </w:p>
    <w:p>
      <w:pPr>
        <w:pStyle w:val="Textbody1"/>
        <w:rPr>
          <w:b/>
          <w:bCs/>
          <w:i w:val="false"/>
          <w:iCs w:val="false"/>
          <w:color w:val="000000"/>
          <w:u w:val="none"/>
        </w:rPr>
      </w:pPr>
      <w:r>
        <w:rPr>
          <w:b/>
          <w:bCs/>
          <w:i w:val="false"/>
          <w:iCs w:val="false"/>
          <w:color w:val="000000"/>
          <w:u w:val="none"/>
        </w:rPr>
        <w:t>Uwaga:</w:t>
      </w:r>
    </w:p>
    <w:p>
      <w:pPr>
        <w:pStyle w:val="Textbody1"/>
        <w:rPr>
          <w:b w:val="false"/>
          <w:bCs w:val="false"/>
          <w:i w:val="false"/>
          <w:iCs w:val="false"/>
          <w:color w:val="000000"/>
          <w:u w:val="none"/>
        </w:rPr>
      </w:pPr>
      <w:r>
        <w:rPr>
          <w:b w:val="false"/>
          <w:bCs w:val="false"/>
          <w:i w:val="false"/>
          <w:iCs w:val="false"/>
          <w:color w:val="000000"/>
          <w:u w:val="none"/>
        </w:rPr>
        <w:t>1) Dotyczy Kierownika budowy - wykazane doświadczenie osoby musi dotyczyć usług zrealizowanych w okresie ostatnich 3 lat (okres ten liczy się wstecz od dnia, w którym upływa termin składania ofert).</w:t>
      </w:r>
    </w:p>
    <w:p>
      <w:pPr>
        <w:pStyle w:val="Textbody1"/>
        <w:rPr>
          <w:b w:val="false"/>
          <w:bCs w:val="false"/>
          <w:i w:val="false"/>
          <w:iCs w:val="false"/>
          <w:color w:val="000000"/>
          <w:u w:val="none"/>
        </w:rPr>
      </w:pPr>
      <w:r>
        <w:rPr>
          <w:b w:val="false"/>
          <w:bCs w:val="false"/>
          <w:i w:val="false"/>
          <w:iCs w:val="false"/>
          <w:color w:val="000000"/>
          <w:u w:val="none"/>
        </w:rPr>
        <w:t>2) Dodatkowe doświadczenie osoby skierowanej do realizacji zamówienia, o których mowa tj. Kierownik budowy, będzie punktowane w ramach przyjętego przez Zamawiającego kryterium oceny ofert p.n. „Doświadczenie personelu”  (rozdział XXVIII pkt. 4) SWZ).</w:t>
      </w:r>
    </w:p>
    <w:p>
      <w:pPr>
        <w:pStyle w:val="Textbody1"/>
        <w:rPr>
          <w:b w:val="false"/>
          <w:bCs w:val="false"/>
          <w:i w:val="false"/>
          <w:iCs w:val="false"/>
          <w:color w:val="000000"/>
          <w:u w:val="none"/>
        </w:rPr>
      </w:pPr>
      <w:r>
        <w:rPr>
          <w:b w:val="false"/>
          <w:bCs w:val="false"/>
          <w:i w:val="false"/>
          <w:iCs w:val="false"/>
          <w:color w:val="000000"/>
          <w:u w:val="none"/>
        </w:rPr>
        <w:t>3) Jeżeli Wykonawca nie wykaże dodatkowego doświadczenia osoby skierowanej do realizacji zamówienia (nie wypełni tabeli w załączniku nr 2 – formularz oferty), Zamawiający w  ramach kryterium oceny ofert Doświadczenie personelu przyzna Wykonawcy 0 punktów. W przypadku gdy taka oferta zostanie najwyżej oceniona Zamawiający  wezwie Wykonawcę do złożenia Wykazu  zgodnie z pkt. 7.1.2 rozdz. VII SWZ.</w:t>
      </w:r>
    </w:p>
    <w:p>
      <w:pPr>
        <w:pStyle w:val="Textbody1"/>
        <w:rPr>
          <w:b/>
          <w:bCs/>
          <w:i/>
          <w:iCs/>
          <w:color w:val="000000"/>
          <w:u w:val="single"/>
        </w:rPr>
      </w:pPr>
      <w:r>
        <w:rPr>
          <w:b/>
          <w:bCs/>
          <w:i/>
          <w:iCs/>
          <w:color w:val="000000"/>
          <w:u w:val="single"/>
        </w:rPr>
      </w:r>
    </w:p>
    <w:p>
      <w:pPr>
        <w:pStyle w:val="Standard"/>
        <w:spacing w:before="0" w:after="120"/>
        <w:contextualSpacing/>
        <w:jc w:val="both"/>
        <w:rPr/>
      </w:pPr>
      <w:r>
        <w:rPr/>
        <w:t xml:space="preserve">2. Ocena spełnienia w/w warunków zostanie dokonana zgodnie z formułą „spełnia –                           nie spełnia” w oparciu o przedłożone przez Wykonawcę oświadczenia i dokumenty, o których mowa w SWZ. </w:t>
      </w:r>
    </w:p>
    <w:p>
      <w:pPr>
        <w:pStyle w:val="Standard"/>
        <w:spacing w:before="0" w:after="120"/>
        <w:contextualSpacing/>
        <w:jc w:val="both"/>
        <w:rPr/>
      </w:pPr>
      <w:r>
        <w:rPr/>
        <w:t>3. Oceniając zdolność techniczną lub zawodową Zamawiający może na każdym etapie postępowania uznać, że Wykonawca nie posiada wymaganych zdolności, jeżeli zaangażowanie zasobów technicznych Wykonawcy w inne przedsięwzięcia gospodarcze mogłoby mieć negatywny wpływ na realizację zamówienia.</w:t>
      </w:r>
    </w:p>
    <w:p>
      <w:pPr>
        <w:pStyle w:val="Standard"/>
        <w:spacing w:before="0" w:after="120"/>
        <w:contextualSpacing/>
        <w:jc w:val="both"/>
        <w:rPr/>
      </w:pPr>
      <w:r>
        <w:rPr/>
        <w:t xml:space="preserve">4. W odniesieniu do warunków dotyczących wykształcenia, kwalifikacji zawodowych lub doświadczenia Wykonawcy wspólnie ubiegający się o udzielenie zamówienia mogą polegać na zdolnościach tych Wykonawców, którzy wykonają usługi, do realizacji których te zdolności są wymagane. </w:t>
      </w:r>
    </w:p>
    <w:p>
      <w:pPr>
        <w:pStyle w:val="Standard"/>
        <w:spacing w:before="0" w:after="120"/>
        <w:contextualSpacing/>
        <w:jc w:val="both"/>
        <w:rPr>
          <w:color w:val="FF0000"/>
        </w:rPr>
      </w:pPr>
      <w:r>
        <w:rPr>
          <w:color w:val="FF0000"/>
        </w:rPr>
      </w:r>
    </w:p>
    <w:p>
      <w:pPr>
        <w:pStyle w:val="Standard"/>
        <w:shd w:val="clear" w:color="auto" w:fill="E5E5E5"/>
        <w:spacing w:before="0" w:after="120"/>
        <w:contextualSpacing/>
        <w:rPr/>
      </w:pPr>
      <w:r>
        <w:rPr>
          <w:b/>
        </w:rPr>
        <w:t xml:space="preserve">VI. PODSTAWY WYKLUCZENIA Z POSTĘPOWANIA: </w:t>
      </w:r>
    </w:p>
    <w:p>
      <w:pPr>
        <w:pStyle w:val="Normal"/>
        <w:spacing w:beforeAutospacing="1" w:after="0"/>
        <w:contextualSpacing/>
        <w:jc w:val="both"/>
        <w:rPr/>
      </w:pPr>
      <w:r>
        <w:rPr/>
        <w:t xml:space="preserve">1. Z postępowania o udzielenie zamówienia wyklucza się Wykonawcę, w stosunku do którego zachodzi którakolwiek z okoliczności wskazanych w art. 108 ust. 1 ustawy Pzp.  </w:t>
      </w:r>
    </w:p>
    <w:p>
      <w:pPr>
        <w:pStyle w:val="Normal"/>
        <w:spacing w:beforeAutospacing="1" w:after="0"/>
        <w:contextualSpacing/>
        <w:jc w:val="both"/>
        <w:rPr/>
      </w:pPr>
      <w:r>
        <w:rPr/>
        <w:t xml:space="preserve">1.1 Wykluczenie Wykonawcy następuje zgodnie z art. 111 ustawy Pzp. </w:t>
      </w:r>
    </w:p>
    <w:p>
      <w:pPr>
        <w:pStyle w:val="Normal"/>
        <w:spacing w:beforeAutospacing="1" w:after="0"/>
        <w:contextualSpacing/>
        <w:jc w:val="both"/>
        <w:rPr/>
      </w:pPr>
      <w:r>
        <w:rPr/>
        <w:t xml:space="preserve">2. Z postępowania o udzielenie zamówienia wyklucza się Wykonawcę zgodnie z art. 7 ust. 1 Ustawy z dnia 13 kwietnia 2022 r. o szczególnych rozwiązaniach w zakresie przeciwdziałania wspieraniu agresji na Ukrainę oraz służących ochronie bezpieczeństwa narodowego </w:t>
        <w:br/>
        <w:t xml:space="preserve">(Dz. U. z 2025 r., poz. 514 ze zm.), dalej „ustawa sankcyjna”. </w:t>
      </w:r>
    </w:p>
    <w:p>
      <w:pPr>
        <w:pStyle w:val="Normal"/>
        <w:spacing w:beforeAutospacing="1" w:after="0"/>
        <w:contextualSpacing/>
        <w:jc w:val="both"/>
        <w:rPr/>
      </w:pPr>
      <w:r>
        <w:rPr/>
        <w:t xml:space="preserve">2.1 Wykluczenie następuje zgodnie z art. 7 ust. 3 ustawy sankcyjnej.  </w:t>
      </w:r>
    </w:p>
    <w:p>
      <w:pPr>
        <w:pStyle w:val="Normal"/>
        <w:spacing w:beforeAutospacing="1" w:after="198"/>
        <w:contextualSpacing/>
        <w:jc w:val="both"/>
        <w:rPr/>
      </w:pPr>
      <w:r>
        <w:rPr/>
        <w:t>3. Zamawiający może wykluczyć Wykonawcę na każdym etapie postępowania o udzielenie  zamówienia.</w:t>
      </w:r>
    </w:p>
    <w:p>
      <w:pPr>
        <w:pStyle w:val="Standard"/>
        <w:shd w:val="clear" w:color="auto" w:fill="E5E5E5"/>
        <w:suppressAutoHyphens w:val="false"/>
        <w:spacing w:before="0" w:after="120"/>
        <w:contextualSpacing/>
        <w:jc w:val="both"/>
        <w:textAlignment w:val="auto"/>
        <w:rPr/>
      </w:pPr>
      <w:r>
        <w:rPr>
          <w:rFonts w:eastAsia="Calibri"/>
          <w:b/>
          <w:kern w:val="0"/>
          <w:lang w:eastAsia="en-US"/>
        </w:rPr>
        <w:t>VII. WYKAZ OŚWIADCZEŃ I DOKUMENTÓW POTWIERDZAJĄCYCH                    SPEŁNIENIE WARUNKÓW UDZIAŁU W POSTĘPOWANIU ORAZ BRAK                   PODSTAW DO WYKLUCZENIA Z POSTĘPOWANIA</w:t>
      </w:r>
    </w:p>
    <w:p>
      <w:pPr>
        <w:pStyle w:val="ListParagraph"/>
        <w:spacing w:before="0" w:after="160"/>
        <w:ind w:left="0"/>
        <w:contextualSpacing/>
        <w:jc w:val="both"/>
        <w:rPr/>
      </w:pPr>
      <w:r>
        <w:rPr>
          <w:u w:val="single"/>
          <w:lang w:eastAsia="en-US"/>
        </w:rPr>
        <w:t xml:space="preserve">1. </w:t>
      </w:r>
      <w:r>
        <w:rPr>
          <w:rFonts w:eastAsia="TimesNewRoman"/>
          <w:u w:val="single"/>
        </w:rPr>
        <w:t>W celu wstępnego potwierdzenia spełnienia przez Wykonawcę warunków udziału                                         w postępowaniu, Wykonawca przedkłada:</w:t>
      </w:r>
    </w:p>
    <w:p>
      <w:pPr>
        <w:pStyle w:val="ListParagraph"/>
        <w:spacing w:before="0" w:after="160"/>
        <w:ind w:left="0"/>
        <w:contextualSpacing/>
        <w:jc w:val="both"/>
        <w:rPr/>
      </w:pPr>
      <w:r>
        <w:rPr>
          <w:rFonts w:eastAsia="TimesNewRoman"/>
        </w:rPr>
        <w:t xml:space="preserve">1.1 </w:t>
      </w:r>
      <w:r>
        <w:rPr/>
        <w:t xml:space="preserve">oświadczenie, zgodnie z art. 125 ust. 1 ustawy Pzp o spełnianiu warunków udziału                                w postępowaniu – wypełnione i podpisane przez osobę/osoby upoważnioną/upoważnione do reprezentowania Wykonawcy, zgodnie z treścią stanowiącą </w:t>
      </w:r>
      <w:r>
        <w:rPr>
          <w:i/>
          <w:iCs/>
        </w:rPr>
        <w:t>Załącznik nr 4 do SWZ.</w:t>
      </w:r>
      <w:r>
        <w:rPr/>
        <w:t xml:space="preserve"> </w:t>
      </w:r>
    </w:p>
    <w:p>
      <w:pPr>
        <w:pStyle w:val="ListParagraph"/>
        <w:spacing w:before="0" w:after="160"/>
        <w:ind w:left="0"/>
        <w:contextualSpacing/>
        <w:jc w:val="both"/>
        <w:rPr/>
      </w:pPr>
      <w:r>
        <w:rPr>
          <w:u w:val="single"/>
        </w:rPr>
        <w:t xml:space="preserve">2. </w:t>
      </w:r>
      <w:r>
        <w:rPr>
          <w:u w:val="single"/>
          <w:lang w:eastAsia="en-US"/>
        </w:rPr>
        <w:t>W zakresie potwierdzenia braku podstaw do wykluczenia z postępowania                                                  w okolicznościach, o których mowa w art. 108 ust. 1 ustawy Pzp a także w art. 7 ust. 1 ustawy sankcyjnej, Wykonawca przedkłada:</w:t>
      </w:r>
    </w:p>
    <w:p>
      <w:pPr>
        <w:pStyle w:val="ListParagraph"/>
        <w:spacing w:before="0" w:after="160"/>
        <w:ind w:left="0"/>
        <w:contextualSpacing/>
        <w:jc w:val="both"/>
        <w:rPr/>
      </w:pPr>
      <w:r>
        <w:rPr>
          <w:lang w:eastAsia="en-US"/>
        </w:rPr>
        <w:t xml:space="preserve">2.1 Oświadczenie, zgodnie z art. 125 ust. 1 ustawy Pzp o braku podstaw do wykluczenia z postępowania – wypełnione i podpisane przez osobę/osoby upoważnioną/ upoważnione do reprezentowania Wykonawcy, </w:t>
      </w:r>
      <w:r>
        <w:rPr/>
        <w:t xml:space="preserve">zgodnie z treścią stanowiącą </w:t>
      </w:r>
      <w:r>
        <w:rPr>
          <w:i/>
          <w:iCs/>
        </w:rPr>
        <w:t>Załącznik nr 3 do SWZ.</w:t>
      </w:r>
    </w:p>
    <w:p>
      <w:pPr>
        <w:pStyle w:val="ListParagraph"/>
        <w:spacing w:before="0" w:after="160"/>
        <w:ind w:left="0"/>
        <w:contextualSpacing/>
        <w:jc w:val="both"/>
        <w:rPr/>
      </w:pPr>
      <w:r>
        <w:rPr>
          <w:rFonts w:eastAsia="TimesNewRoman"/>
        </w:rPr>
        <w:t xml:space="preserve">3. </w:t>
      </w:r>
      <w:r>
        <w:rPr/>
        <w:t xml:space="preserve">Oświadczenie, o którym mowa w art. 125 ust. 1 ustawy Pzp nie jest podmiotowym środkiem dowodowym i stanowi dowód potwierdzający spełnienie warunków udziału w postępowaniu oraz brak podstaw wykluczenia z postępowania, aktualne na dzień składania ofert. </w:t>
      </w:r>
      <w:r>
        <w:rPr>
          <w:rFonts w:eastAsia="TimesNewRoman"/>
        </w:rPr>
        <w:t xml:space="preserve"> </w:t>
      </w:r>
    </w:p>
    <w:p>
      <w:pPr>
        <w:pStyle w:val="ListParagraph"/>
        <w:spacing w:before="0" w:after="160"/>
        <w:ind w:left="0"/>
        <w:contextualSpacing/>
        <w:jc w:val="both"/>
        <w:rPr/>
      </w:pPr>
      <w:r>
        <w:rPr>
          <w:rFonts w:eastAsia="TimesNewRoman"/>
        </w:rPr>
        <w:t xml:space="preserve">4. </w:t>
      </w:r>
      <w:r>
        <w:rPr>
          <w:rFonts w:eastAsia="Arial"/>
        </w:rPr>
        <w:t xml:space="preserve">W przypadku składania oferty przez Wykonawców wspólnie ubiegających się </w:t>
        <w:br/>
        <w:t xml:space="preserve">o udzielenie zamówienia, każdy z wykonawców składa wraz z ofertą oświadczenie potwierdzające spełnianie warunków udziału w postępowaniu oraz brak podstaw do wykluczenia z postępowania. </w:t>
      </w:r>
    </w:p>
    <w:p>
      <w:pPr>
        <w:pStyle w:val="ListParagraph"/>
        <w:spacing w:before="0" w:after="160"/>
        <w:ind w:left="0"/>
        <w:contextualSpacing/>
        <w:jc w:val="both"/>
        <w:rPr>
          <w:rFonts w:eastAsia="TimesNewRoman"/>
        </w:rPr>
      </w:pPr>
      <w:r>
        <w:rPr>
          <w:rFonts w:eastAsia="TimesNewRoman"/>
        </w:rPr>
        <w:t xml:space="preserve">5. Oświadczenia, o których mowa w pkt. 1.1 i pkt. 2.1 powyżej, </w:t>
      </w:r>
      <w:r>
        <w:rPr>
          <w:rFonts w:eastAsia="TimesNewRoman"/>
          <w:b/>
          <w:bCs/>
          <w:u w:val="single"/>
        </w:rPr>
        <w:t>Wykonawca składa wraz z ofertą</w:t>
      </w:r>
      <w:r>
        <w:rPr>
          <w:rFonts w:eastAsia="TimesNewRoman"/>
          <w:b/>
          <w:bCs/>
        </w:rPr>
        <w:t>.</w:t>
      </w:r>
    </w:p>
    <w:p>
      <w:pPr>
        <w:pStyle w:val="ListParagraph"/>
        <w:spacing w:before="0" w:after="160"/>
        <w:ind w:left="0"/>
        <w:contextualSpacing/>
        <w:jc w:val="both"/>
        <w:rPr/>
      </w:pPr>
      <w:r>
        <w:rPr>
          <w:rFonts w:eastAsia="TimesNewRoman"/>
        </w:rPr>
        <w:t xml:space="preserve">6. </w:t>
      </w:r>
      <w:r>
        <w:rPr/>
        <w:t xml:space="preserve">Wykonawca, w przypadku polegania na zdolnościach lub sytuacji podmiotów udostępniających zasoby </w:t>
      </w:r>
      <w:r>
        <w:rPr>
          <w:rFonts w:eastAsia="Arial Unicode MS"/>
        </w:rPr>
        <w:t>na zasadach określonych w art. 118 ust. 1 ustawy Pzp</w:t>
      </w:r>
      <w:r>
        <w:rPr/>
        <w:t xml:space="preserve">, przedstawia wraz z ofertą oraz oświadczeniami, o których mowa pkt. 1.1 i pkt. 2.1 powyżej, także oświadczenie podmiotu udostępniającego zasoby, potwierdzające brak podstaw wykluczenia tego podmiotu oraz odpowiednio spełnianie warunków udziału w postępowaniu, w zakresie, w jakim wykonawca powołuje się na jego zasoby. </w:t>
      </w:r>
    </w:p>
    <w:p>
      <w:pPr>
        <w:pStyle w:val="ListParagraph"/>
        <w:spacing w:before="0" w:after="160"/>
        <w:ind w:left="0"/>
        <w:contextualSpacing/>
        <w:jc w:val="both"/>
        <w:rPr/>
      </w:pPr>
      <w:r>
        <w:rPr/>
        <w:t xml:space="preserve">6.1 Wykonawca, który polega na zdolnościach lub sytuacji podmiotów udostępniających zasoby, </w:t>
      </w:r>
      <w:r>
        <w:rPr>
          <w:b/>
          <w:bCs/>
        </w:rPr>
        <w:t>składa wraz z ofertą</w:t>
      </w:r>
      <w:r>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tego podmiotu. Wzór</w:t>
      </w:r>
      <w:r>
        <w:rPr>
          <w:shd w:fill="auto" w:val="clear"/>
        </w:rPr>
        <w:t xml:space="preserve"> treści zobowiązania podmiotu stanowi </w:t>
      </w:r>
      <w:r>
        <w:rPr>
          <w:i/>
          <w:iCs/>
          <w:shd w:fill="auto" w:val="clear"/>
        </w:rPr>
        <w:t>Załącznik nr 5 do SWZ.</w:t>
      </w:r>
      <w:r>
        <w:rPr>
          <w:b/>
          <w:bCs/>
          <w:i/>
          <w:iCs/>
          <w:shd w:fill="auto" w:val="clear"/>
        </w:rPr>
        <w:t xml:space="preserve"> </w:t>
      </w:r>
      <w:r>
        <w:rPr>
          <w:shd w:fill="auto" w:val="clear"/>
        </w:rPr>
        <w:t xml:space="preserve"> </w:t>
      </w:r>
    </w:p>
    <w:p>
      <w:pPr>
        <w:pStyle w:val="ListParagraph"/>
        <w:spacing w:before="0" w:after="160"/>
        <w:ind w:left="0"/>
        <w:contextualSpacing/>
        <w:jc w:val="both"/>
        <w:rPr/>
      </w:pPr>
      <w:r>
        <w:rPr>
          <w:rFonts w:eastAsia="Arial"/>
          <w:b/>
          <w:bCs/>
          <w:u w:val="single"/>
          <w:shd w:fill="auto" w:val="clear"/>
        </w:rPr>
        <w:t xml:space="preserve">7. </w:t>
      </w:r>
      <w:r>
        <w:rPr>
          <w:b/>
          <w:bCs/>
          <w:u w:val="single"/>
          <w:shd w:fill="auto" w:val="clear"/>
        </w:rPr>
        <w:t>Dokumenty, jakie składa Wykonawca na wezwanie Zamaw</w:t>
      </w:r>
      <w:r>
        <w:rPr>
          <w:b/>
          <w:bCs/>
          <w:u w:val="single"/>
        </w:rPr>
        <w:t>iającego:</w:t>
      </w:r>
    </w:p>
    <w:p>
      <w:pPr>
        <w:pStyle w:val="ListParagraph"/>
        <w:spacing w:before="0" w:after="160"/>
        <w:ind w:left="0"/>
        <w:contextualSpacing/>
        <w:jc w:val="both"/>
        <w:rPr/>
      </w:pPr>
      <w:r>
        <w:rPr>
          <w:rFonts w:eastAsia="TimesNewRoman"/>
        </w:rPr>
        <w:t xml:space="preserve">7.1 Zamawiający, zgodnie z art. 274 ust. 1 ustawy Pzp, wzywa Wykonawcę, którego oferta została najwyżej oceniona, do złożenia w wyznaczonym terminie, nie krótszym niż 5 dni od dnia wezwania, aktualnych na dzień złożenia podmiotowych środków dowodowych, tj.: </w:t>
      </w:r>
    </w:p>
    <w:p>
      <w:pPr>
        <w:pStyle w:val="ListParagraph"/>
        <w:spacing w:before="0" w:after="160"/>
        <w:ind w:left="0"/>
        <w:contextualSpacing/>
        <w:jc w:val="both"/>
        <w:rPr/>
      </w:pPr>
      <w:r>
        <w:rPr>
          <w:rFonts w:eastAsia="TimesNewRoman"/>
        </w:rPr>
        <w:t xml:space="preserve">7.1.1 </w:t>
      </w:r>
      <w:r>
        <w:rPr>
          <w:rFonts w:eastAsia="TimesNewRoman"/>
          <w:b/>
          <w:bCs/>
        </w:rPr>
        <w:t>Wykaz robót budowlanych</w:t>
      </w:r>
      <w:r>
        <w:rPr>
          <w:rFonts w:eastAsia="TimesNewRoman"/>
        </w:rPr>
        <w:t xml:space="preserve"> (zgodnie z treścią stanowiącą </w:t>
      </w:r>
      <w:r>
        <w:rPr>
          <w:rFonts w:eastAsia="TimesNewRoman"/>
          <w:i/>
          <w:iCs/>
        </w:rPr>
        <w:t xml:space="preserve">Załącznik </w:t>
      </w:r>
      <w:r>
        <w:rPr>
          <w:rFonts w:eastAsia="TimesNewRoman"/>
          <w:i/>
          <w:iCs/>
          <w:shd w:fill="auto" w:val="clear"/>
        </w:rPr>
        <w:t>nr 7</w:t>
      </w:r>
      <w:r>
        <w:rPr>
          <w:rFonts w:eastAsia="TimesNewRoman"/>
          <w:i/>
          <w:iCs/>
        </w:rPr>
        <w:t xml:space="preserve"> do SWZ</w:t>
      </w:r>
      <w:r>
        <w:rPr>
          <w:rFonts w:eastAsia="TimesNewRoman"/>
        </w:rPr>
        <w:t xml:space="preserve">)  wykonanych nie wcześniej niż w okresie ostatnich pięciu lat przed upływem terminu składania ofert, a jeżeli okres prowadzenia działalności jest krótszy - w tym okresie, wraz z podaniem ich rodzaju, wartości, daty, miejsca wykonania i podmiotów, na rzecz, których roboty te zostały wykonane, z załączeniem dowodów potwierdzających, że te roboty budowlane zostały wykonane należycie, przy czym dowodami, o których mowa mogą być m.in.: </w:t>
      </w:r>
    </w:p>
    <w:p>
      <w:pPr>
        <w:pStyle w:val="ListParagraph"/>
        <w:spacing w:before="0" w:after="160"/>
        <w:ind w:left="0"/>
        <w:contextualSpacing/>
        <w:jc w:val="both"/>
        <w:rPr/>
      </w:pPr>
      <w:r>
        <w:rPr>
          <w:rFonts w:eastAsia="TimesNewRoman"/>
        </w:rPr>
        <w:t xml:space="preserve">• </w:t>
      </w:r>
      <w:r>
        <w:rPr>
          <w:rFonts w:eastAsia="TimesNewRoman"/>
        </w:rPr>
        <w:t>referencje;</w:t>
      </w:r>
    </w:p>
    <w:p>
      <w:pPr>
        <w:pStyle w:val="ListParagraph"/>
        <w:spacing w:before="0" w:after="160"/>
        <w:ind w:left="0"/>
        <w:contextualSpacing/>
        <w:jc w:val="both"/>
        <w:rPr/>
      </w:pPr>
      <w:r>
        <w:rPr>
          <w:rFonts w:eastAsia="TimesNewRoman"/>
        </w:rPr>
        <w:t xml:space="preserve">• </w:t>
      </w:r>
      <w:r>
        <w:rPr>
          <w:rFonts w:eastAsia="TimesNewRoman"/>
        </w:rPr>
        <w:t>inne dokumenty sporządzone przez podmiot, na rzecz, którego roboty budowlane zostały wykonane;</w:t>
      </w:r>
    </w:p>
    <w:p>
      <w:pPr>
        <w:pStyle w:val="ListParagraph"/>
        <w:spacing w:before="0" w:after="160"/>
        <w:ind w:left="0"/>
        <w:contextualSpacing/>
        <w:jc w:val="both"/>
        <w:rPr/>
      </w:pPr>
      <w:r>
        <w:rPr>
          <w:rFonts w:eastAsia="TimesNewRoman"/>
        </w:rPr>
        <w:t xml:space="preserve">• </w:t>
      </w:r>
      <w:r>
        <w:rPr>
          <w:rFonts w:eastAsia="TimesNewRoman"/>
        </w:rPr>
        <w:t>a jeżeli z uzasadnionej przyczyny o obiektywnym charakterze Wykonawca nie jest w stanie uzyskać tych dokumentów – inne dokumenty.</w:t>
      </w:r>
    </w:p>
    <w:p>
      <w:pPr>
        <w:pStyle w:val="ListParagraph"/>
        <w:spacing w:before="0" w:after="160"/>
        <w:ind w:left="0"/>
        <w:contextualSpacing/>
        <w:jc w:val="both"/>
        <w:rPr>
          <w:rFonts w:eastAsia="TimesNewRoman"/>
        </w:rPr>
      </w:pPr>
      <w:r>
        <w:rPr>
          <w:rFonts w:eastAsia="TimesNewRoman"/>
        </w:rPr>
      </w:r>
    </w:p>
    <w:p>
      <w:pPr>
        <w:pStyle w:val="ListParagraph"/>
        <w:spacing w:before="0" w:after="160"/>
        <w:ind w:left="0"/>
        <w:contextualSpacing/>
        <w:jc w:val="both"/>
        <w:rPr>
          <w:b/>
          <w:bCs/>
          <w:u w:val="single"/>
        </w:rPr>
      </w:pPr>
      <w:r>
        <w:rPr>
          <w:rFonts w:eastAsia="TimesNewRoman"/>
          <w:b/>
          <w:bCs/>
          <w:u w:val="single"/>
        </w:rPr>
        <w:t>Uwagi:</w:t>
      </w:r>
    </w:p>
    <w:p>
      <w:pPr>
        <w:pStyle w:val="ListParagraph"/>
        <w:spacing w:before="0" w:after="160"/>
        <w:ind w:left="0"/>
        <w:contextualSpacing/>
        <w:jc w:val="both"/>
        <w:rPr/>
      </w:pPr>
      <w:r>
        <w:rPr>
          <w:rFonts w:eastAsia="TimesNewRoman"/>
        </w:rPr>
        <w:t xml:space="preserve">• </w:t>
      </w:r>
      <w:r>
        <w:rPr>
          <w:rFonts w:eastAsia="TimesNewRoman"/>
        </w:rPr>
        <w:t>Jeżeli Wykonawca powołuje się na doświadczenie w realizacji robót budowlanych,                        wykonywanych wspólnie z innymi Wykonawcami, wykaz o którym mowa w pkt. 7.1.1,                   dotyczy robót budowlanych, w których wykonaniu Wykonawca ten bezpośrednio             uczestniczył.</w:t>
      </w:r>
    </w:p>
    <w:p>
      <w:pPr>
        <w:pStyle w:val="ListParagraph"/>
        <w:spacing w:before="0" w:after="160"/>
        <w:ind w:left="0"/>
        <w:contextualSpacing/>
        <w:jc w:val="both"/>
        <w:rPr/>
      </w:pPr>
      <w:r>
        <w:rPr>
          <w:rFonts w:eastAsia="TimesNewRoman"/>
        </w:rPr>
        <w:t xml:space="preserve">• </w:t>
      </w:r>
      <w:r>
        <w:rPr>
          <w:rFonts w:eastAsia="TimesNewRoman"/>
        </w:rPr>
        <w:t xml:space="preserve">Okres wyrażony w latach, o którym mowa w pkt. 7.1.1 powyżej liczy się wstecz od dnia, którym upłynął termin składania ofert. </w:t>
      </w:r>
    </w:p>
    <w:p>
      <w:pPr>
        <w:pStyle w:val="ListParagraph"/>
        <w:spacing w:before="0" w:after="160"/>
        <w:ind w:left="0"/>
        <w:contextualSpacing/>
        <w:jc w:val="both"/>
        <w:rPr/>
      </w:pPr>
      <w:r>
        <w:rPr>
          <w:rFonts w:eastAsia="TimesNewRoman"/>
        </w:rPr>
        <w:t xml:space="preserve">7.1.2 </w:t>
      </w:r>
      <w:r>
        <w:rPr>
          <w:rFonts w:eastAsia="TimesNewRoman"/>
          <w:b/>
          <w:bCs/>
        </w:rPr>
        <w:t>Wykaz osób</w:t>
      </w:r>
      <w:r>
        <w:rPr>
          <w:rFonts w:eastAsia="TimesNewRoman"/>
        </w:rPr>
        <w:t xml:space="preserve"> skierowanych przez wykonawcę do realizacji zamówienia publicznego,     w szczególności odpowiedzialnych za świadczenie usług, kontrolę jakości lub kierowanie, wraz z informacjami na temat ich kwalifikacji zawodowych, uprawnień, doświadczenia i wykształcenia niezbędnych do wykonania zamówienia publicznego, a także zakresu wykonywanych przez nie czynności oraz informacją o podstawie do dysponowania tymi osobami, zgodnie z treścią stanowiącą </w:t>
      </w:r>
      <w:r>
        <w:rPr>
          <w:rFonts w:eastAsia="TimesNewRoman"/>
          <w:i/>
          <w:iCs/>
        </w:rPr>
        <w:t>Załącznik nr 8 do SWZ</w:t>
      </w:r>
      <w:r>
        <w:rPr>
          <w:rFonts w:eastAsia="TimesNewRoman"/>
        </w:rPr>
        <w:t xml:space="preserve">. </w:t>
      </w:r>
    </w:p>
    <w:p>
      <w:pPr>
        <w:pStyle w:val="ListParagraph"/>
        <w:spacing w:before="0" w:after="160"/>
        <w:ind w:left="0"/>
        <w:contextualSpacing/>
        <w:jc w:val="both"/>
        <w:rPr/>
      </w:pPr>
      <w:r>
        <w:rPr>
          <w:rFonts w:eastAsia="TimesNewRoman"/>
        </w:rPr>
        <w:t xml:space="preserve">7.2 </w:t>
      </w:r>
      <w:r>
        <w:rPr>
          <w:lang w:eastAsia="en-US"/>
        </w:rPr>
        <w:t xml:space="preserve">Zamawiający </w:t>
      </w:r>
      <w:r>
        <w:rPr>
          <w:u w:val="single"/>
          <w:lang w:eastAsia="en-US"/>
        </w:rPr>
        <w:t>nie będzie żądał</w:t>
      </w:r>
      <w:r>
        <w:rPr>
          <w:lang w:eastAsia="en-US"/>
        </w:rPr>
        <w:t xml:space="preserve"> podmiotowych środków dowodowych na potwierdzenie braku podstaw wykluczenia z postępowania. </w:t>
      </w:r>
    </w:p>
    <w:p>
      <w:pPr>
        <w:pStyle w:val="ListParagraph"/>
        <w:spacing w:before="0" w:after="120"/>
        <w:ind w:left="0"/>
        <w:contextualSpacing/>
        <w:jc w:val="both"/>
        <w:rPr/>
      </w:pPr>
      <w:r>
        <w:rPr>
          <w:rFonts w:eastAsia="TimesNewRoman"/>
        </w:rPr>
        <w:t xml:space="preserve">7.3 </w:t>
      </w:r>
      <w:r>
        <w:rPr>
          <w:u w:val="single"/>
        </w:rPr>
        <w:t>Zamawiający nie wzywa do złożenia podmiotowych środków dowodowych, jeżeli:</w:t>
      </w:r>
    </w:p>
    <w:p>
      <w:pPr>
        <w:pStyle w:val="ListParagraph"/>
        <w:spacing w:before="0" w:after="120"/>
        <w:ind w:left="0"/>
        <w:contextualSpacing/>
        <w:jc w:val="both"/>
        <w:rPr/>
      </w:pPr>
      <w:r>
        <w:rPr/>
        <w:t>7.3.1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pPr>
        <w:pStyle w:val="ListParagraph"/>
        <w:spacing w:before="0" w:after="120"/>
        <w:ind w:left="0"/>
        <w:contextualSpacing/>
        <w:jc w:val="both"/>
        <w:rPr/>
      </w:pPr>
      <w:r>
        <w:rPr/>
        <w:t>7.3.2 podmiotowym środkiem dowodowym jest oświadczenie, którego treść odpowiada                                zakresowi oświadczenia, o którym mowa w art. 125 ust. 1 ustawy Pzp.</w:t>
      </w:r>
    </w:p>
    <w:p>
      <w:pPr>
        <w:pStyle w:val="ListParagraph"/>
        <w:spacing w:before="0" w:after="120"/>
        <w:ind w:left="0"/>
        <w:contextualSpacing/>
        <w:jc w:val="both"/>
        <w:rPr/>
      </w:pPr>
      <w:r>
        <w:rPr/>
        <w:t>8. Wykonawca nie jest zobowiązany do złożenia podmiotowych środków dowodowych, które Zamawiający posiada, jeżeli Wykonawca wskaże te środki oraz potwierdzi ich prawidłowość                      i aktualność.</w:t>
      </w:r>
    </w:p>
    <w:p>
      <w:pPr>
        <w:pStyle w:val="ListParagraph"/>
        <w:spacing w:before="0" w:after="120"/>
        <w:ind w:left="0"/>
        <w:contextualSpacing/>
        <w:jc w:val="both"/>
        <w:rPr/>
      </w:pPr>
      <w:r>
        <w:rPr/>
        <w:t xml:space="preserve">9. Jeżeli złożone przez Wykonawcę oświadczenia lub podmiotowe środki dowodowe budzą               wątpliwości Zamawiającego, może on zwrócić się bezpośrednio do podmiotu, który jest </w:t>
        <w:br/>
        <w:t xml:space="preserve">w posiadaniu informacji lub dokumentów istotnych w tym zakresie dla oceny spełnienia przez Wykonawcę warunków udziału w postępowaniu lub braku podstaw wykluczenia z postępowania o przedstawienie takich informacji lub dokumentów.  </w:t>
      </w:r>
    </w:p>
    <w:p>
      <w:pPr>
        <w:pStyle w:val="ListParagraph"/>
        <w:spacing w:before="0" w:after="120"/>
        <w:ind w:left="0"/>
        <w:contextualSpacing/>
        <w:jc w:val="both"/>
        <w:rPr/>
      </w:pPr>
      <w:r>
        <w:rPr/>
        <w:t>10.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pPr>
        <w:pStyle w:val="ListParagraph"/>
        <w:spacing w:before="0" w:after="0"/>
        <w:ind w:left="0"/>
        <w:contextualSpacing/>
        <w:jc w:val="both"/>
        <w:rPr>
          <w:color w:val="FF0000"/>
        </w:rPr>
      </w:pPr>
      <w:r>
        <w:rPr>
          <w:color w:val="FF0000"/>
        </w:rPr>
      </w:r>
    </w:p>
    <w:p>
      <w:pPr>
        <w:pStyle w:val="Standard"/>
        <w:shd w:val="clear" w:color="auto" w:fill="E5E5E5"/>
        <w:suppressAutoHyphens w:val="false"/>
        <w:spacing w:before="0" w:after="120"/>
        <w:contextualSpacing/>
        <w:jc w:val="both"/>
        <w:textAlignment w:val="auto"/>
        <w:rPr/>
      </w:pPr>
      <w:r>
        <w:rPr>
          <w:rFonts w:eastAsia="Calibri"/>
          <w:b/>
          <w:kern w:val="0"/>
          <w:lang w:eastAsia="en-US"/>
        </w:rPr>
        <w:t>VIII. PRZEDMIOTOWE ŚRODKI DOWODOWE:</w:t>
      </w:r>
    </w:p>
    <w:p>
      <w:pPr>
        <w:pStyle w:val="Normal"/>
        <w:tabs>
          <w:tab w:val="clear" w:pos="720"/>
          <w:tab w:val="left" w:pos="0" w:leader="none"/>
        </w:tabs>
        <w:spacing w:before="0" w:after="0"/>
        <w:contextualSpacing/>
        <w:jc w:val="both"/>
        <w:rPr/>
      </w:pPr>
      <w:r>
        <w:rPr/>
        <w:t xml:space="preserve">Zamawiający nie wymaga złożenia przedmiotowych środków dowodowych. </w:t>
      </w:r>
    </w:p>
    <w:p>
      <w:pPr>
        <w:pStyle w:val="ListParagraph"/>
        <w:spacing w:before="0" w:after="0"/>
        <w:ind w:left="0"/>
        <w:contextualSpacing/>
        <w:jc w:val="both"/>
        <w:rPr>
          <w:color w:val="FF0000"/>
        </w:rPr>
      </w:pPr>
      <w:r>
        <w:rPr>
          <w:color w:val="FF0000"/>
        </w:rPr>
      </w:r>
    </w:p>
    <w:p>
      <w:pPr>
        <w:pStyle w:val="Standard"/>
        <w:shd w:val="clear" w:color="auto" w:fill="E5E5E5"/>
        <w:suppressAutoHyphens w:val="false"/>
        <w:spacing w:before="0" w:after="120"/>
        <w:contextualSpacing/>
        <w:jc w:val="both"/>
        <w:textAlignment w:val="auto"/>
        <w:rPr/>
      </w:pPr>
      <w:r>
        <w:rPr>
          <w:rFonts w:eastAsia="Calibri"/>
          <w:b/>
          <w:kern w:val="0"/>
          <w:lang w:eastAsia="en-US"/>
        </w:rPr>
        <w:t>IX. POLEGANIE NA ZASOBACH INNYCH PODMIOTÓW:</w:t>
      </w:r>
    </w:p>
    <w:p>
      <w:pPr>
        <w:pStyle w:val="Standard"/>
        <w:tabs>
          <w:tab w:val="clear" w:pos="720"/>
          <w:tab w:val="left" w:pos="142" w:leader="none"/>
        </w:tabs>
        <w:spacing w:before="0" w:after="0"/>
        <w:contextualSpacing/>
        <w:jc w:val="both"/>
        <w:rPr/>
      </w:pPr>
      <w:r>
        <w:rPr/>
        <w:t>1. Wykonawca może w celu potwierdzenia spełniania warunków udziału w postępowaniu s</w:t>
      </w:r>
      <w:r>
        <w:rPr>
          <w:bCs/>
        </w:rPr>
        <w:t>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pPr>
        <w:pStyle w:val="Standard"/>
        <w:tabs>
          <w:tab w:val="clear" w:pos="720"/>
          <w:tab w:val="left" w:pos="142" w:leader="none"/>
        </w:tabs>
        <w:spacing w:before="0" w:after="0"/>
        <w:contextualSpacing/>
        <w:jc w:val="both"/>
        <w:rPr/>
      </w:pPr>
      <w:r>
        <w:rPr>
          <w:bCs/>
        </w:rPr>
        <w:t xml:space="preserve">2. </w:t>
      </w:r>
      <w:r>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pPr>
        <w:pStyle w:val="Standard"/>
        <w:tabs>
          <w:tab w:val="clear" w:pos="720"/>
          <w:tab w:val="left" w:pos="142" w:leader="none"/>
        </w:tabs>
        <w:spacing w:before="0" w:after="0"/>
        <w:contextualSpacing/>
        <w:jc w:val="both"/>
        <w:rPr/>
      </w:pPr>
      <w:r>
        <w:rPr/>
        <w:t xml:space="preserve">3. Wykonawca, który polega na zdolnościach lub sytuacji podmiotów udostępniających zasoby, </w:t>
      </w:r>
      <w:r>
        <w:rPr>
          <w:b/>
          <w:bCs/>
        </w:rPr>
        <w:t>składa wraz z ofertą</w:t>
      </w:r>
      <w:r>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tego podmiotu. Wzór treści zobowiązania podmiotu udostępniającego zasoby stanowi </w:t>
      </w:r>
      <w:r>
        <w:rPr>
          <w:i/>
          <w:iCs/>
        </w:rPr>
        <w:t>Załącznik nr 5 do SWZ.</w:t>
      </w:r>
      <w:r>
        <w:rPr>
          <w:b/>
          <w:bCs/>
          <w:i/>
          <w:iCs/>
        </w:rPr>
        <w:t xml:space="preserve"> </w:t>
      </w:r>
      <w:r>
        <w:rPr/>
        <w:t xml:space="preserve"> </w:t>
      </w:r>
    </w:p>
    <w:p>
      <w:pPr>
        <w:pStyle w:val="Standard"/>
        <w:tabs>
          <w:tab w:val="clear" w:pos="720"/>
          <w:tab w:val="left" w:pos="142" w:leader="none"/>
        </w:tabs>
        <w:spacing w:before="0" w:after="0"/>
        <w:contextualSpacing/>
        <w:jc w:val="both"/>
        <w:rPr/>
      </w:pPr>
      <w:r>
        <w:rPr/>
        <w:t>4. Zobowiązanie podmiotu udostępniającego zasoby, o którym mowa w zdaniu poprzedzającym, potwierdza, że stosunek łączący Wykonawcę z podmiotem udostępniającym zasoby gwarantuje rzeczywisty dostęp do tych zasobów oraz określa w szczególności:</w:t>
      </w:r>
    </w:p>
    <w:p>
      <w:pPr>
        <w:pStyle w:val="Standard"/>
        <w:tabs>
          <w:tab w:val="clear" w:pos="720"/>
          <w:tab w:val="left" w:pos="142" w:leader="none"/>
        </w:tabs>
        <w:spacing w:before="0" w:after="0"/>
        <w:contextualSpacing/>
        <w:jc w:val="both"/>
        <w:rPr/>
      </w:pPr>
      <w:r>
        <w:rPr/>
        <w:t>4.1. zakres dostępnych Wykonawcy zasobów podmiotu udostępniającego zasoby;</w:t>
      </w:r>
    </w:p>
    <w:p>
      <w:pPr>
        <w:pStyle w:val="Standard"/>
        <w:tabs>
          <w:tab w:val="clear" w:pos="720"/>
          <w:tab w:val="left" w:pos="142" w:leader="none"/>
        </w:tabs>
        <w:spacing w:before="0" w:after="0"/>
        <w:contextualSpacing/>
        <w:jc w:val="both"/>
        <w:rPr/>
      </w:pPr>
      <w:r>
        <w:rPr/>
        <w:t>4.2. sposób i okres udostępnienia Wykonawcy i wykorzystania przez niego zasobów podmiotu udostępniającego te zasoby przy wykonywaniu zamówienia;</w:t>
      </w:r>
    </w:p>
    <w:p>
      <w:pPr>
        <w:pStyle w:val="Standard"/>
        <w:tabs>
          <w:tab w:val="clear" w:pos="720"/>
          <w:tab w:val="left" w:pos="142" w:leader="none"/>
        </w:tabs>
        <w:spacing w:before="0" w:after="0"/>
        <w:contextualSpacing/>
        <w:jc w:val="both"/>
        <w:rPr/>
      </w:pPr>
      <w:r>
        <w:rPr/>
        <w:t>4.3.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pPr>
        <w:pStyle w:val="Standard"/>
        <w:tabs>
          <w:tab w:val="clear" w:pos="720"/>
          <w:tab w:val="left" w:pos="142" w:leader="none"/>
        </w:tabs>
        <w:spacing w:before="0" w:after="0"/>
        <w:contextualSpacing/>
        <w:jc w:val="both"/>
        <w:rPr/>
      </w:pPr>
      <w:r>
        <w:rPr/>
        <w:t xml:space="preserve">5. Jeżeli zdolności techniczne lub zawodowe, sytuacja ekonomiczna finansowa (jeżeli dotyczy) podmiotu udostępniającego zasoby nie potwierdzają spełniania przez Wykonawcę  warunków udziału w postępowaniu lub zachodzą wobec tego podmiotu podstawy wykluczenia z postępowania, Zamawiający żąda, aby Wykonawca w terminie określonym przez Zamawiającego zastąpił ten podmiot innym podmiotem lub podmiotami albo wykazał,                               że samodzielnie spełnia warunki udziału w postępowaniu.  </w:t>
      </w:r>
    </w:p>
    <w:p>
      <w:pPr>
        <w:pStyle w:val="Standard"/>
        <w:tabs>
          <w:tab w:val="clear" w:pos="720"/>
          <w:tab w:val="left" w:pos="142" w:leader="none"/>
        </w:tabs>
        <w:spacing w:before="0" w:after="0"/>
        <w:contextualSpacing/>
        <w:jc w:val="both"/>
        <w:rPr/>
      </w:pPr>
      <w:r>
        <w:rPr/>
        <w:t xml:space="preserve">6. Zamawiający ocenia, czy udostępniane Wykonawcy przez podmiot udostępniający zasoby zdolności techniczne lub zawodowe lub ich sytuacja finansowa lub ekonomiczna (jeżeli dotyczy), pozwalają na wykazanie przez Wykonawcę spełniania warunków udziału                                w postępowaniu a także bada, czy nie zachodzą wobec tego podmiotu podstawy wykluczenia                z postępowania. </w:t>
      </w:r>
    </w:p>
    <w:p>
      <w:pPr>
        <w:pStyle w:val="Standard"/>
        <w:tabs>
          <w:tab w:val="clear" w:pos="720"/>
          <w:tab w:val="left" w:pos="142" w:leader="none"/>
        </w:tabs>
        <w:spacing w:before="0" w:after="0"/>
        <w:contextualSpacing/>
        <w:jc w:val="both"/>
        <w:rPr/>
      </w:pPr>
      <w:r>
        <w:rPr/>
        <w:t>7.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pPr>
        <w:pStyle w:val="Standard"/>
        <w:tabs>
          <w:tab w:val="clear" w:pos="720"/>
          <w:tab w:val="left" w:pos="142" w:leader="none"/>
        </w:tabs>
        <w:spacing w:before="0" w:after="0"/>
        <w:contextualSpacing/>
        <w:jc w:val="both"/>
        <w:rPr/>
      </w:pPr>
      <w:r>
        <w:rPr/>
        <w:t xml:space="preserve">8. </w:t>
      </w:r>
      <w:r>
        <w:rPr>
          <w:bCs/>
        </w:rPr>
        <w:t xml:space="preserve">Wykonawca, w przypadku polegania na zdolnościach lub sytuacji podmiotu udostępniającego zasoby, przedstawia, wraz z oświadczeniami, o których mowa w Rozdziale VII SWZ, także oświadczenia podmiotu udostępniającego zasoby, potwierdzające brak podstaw wykluczenia tego podmiotu oraz odpowiednio spełnianie warunków udziału w postępowaniu, w zakresie, w jakim Wykonawca powołuje się na jego zasoby, zgodnie z katalogiem dokumentów określonych w Rozdziale VII SWZ. </w:t>
      </w:r>
    </w:p>
    <w:p>
      <w:pPr>
        <w:pStyle w:val="Standard"/>
        <w:tabs>
          <w:tab w:val="clear" w:pos="720"/>
          <w:tab w:val="left" w:pos="142" w:leader="none"/>
        </w:tabs>
        <w:spacing w:before="0" w:after="0"/>
        <w:contextualSpacing/>
        <w:jc w:val="both"/>
        <w:rPr>
          <w:bCs/>
          <w:color w:val="FF0000"/>
        </w:rPr>
      </w:pPr>
      <w:r>
        <w:rPr>
          <w:bCs/>
          <w:color w:val="FF0000"/>
        </w:rPr>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Calibri"/>
          <w:b/>
          <w:bCs/>
          <w:kern w:val="0"/>
          <w:lang w:eastAsia="en-US"/>
        </w:rPr>
        <w:t>X. INFORMACJA DLA WYKONAWCÓW WSPÓLNIE UBIEGAJĄCYCH SIĘ                            O UDZIELENIE ZAMÓWIENIA:</w:t>
      </w:r>
    </w:p>
    <w:p>
      <w:pPr>
        <w:pStyle w:val="Standard"/>
        <w:tabs>
          <w:tab w:val="clear" w:pos="720"/>
          <w:tab w:val="left" w:pos="142" w:leader="none"/>
        </w:tabs>
        <w:spacing w:before="0" w:after="0"/>
        <w:contextualSpacing/>
        <w:jc w:val="both"/>
        <w:rPr/>
      </w:pPr>
      <w:r>
        <w:rPr/>
        <w:t xml:space="preserve">1. Wykonawcy mogą wspólnie ubiegać się o udzielenie zamówienia. W takim przypadku Wykonawcy ustanawiają pełnomocnika do reprezentowania ich w postępowaniu albo                            do reprezentowania w postępowaniu i zawarcia umowy w sprawie zamówienia publicznego. </w:t>
      </w:r>
      <w:r>
        <w:rPr>
          <w:b/>
          <w:bCs/>
          <w:u w:val="single"/>
        </w:rPr>
        <w:t>Pełnomocnictwo winno być załączone do oferty.</w:t>
      </w:r>
    </w:p>
    <w:p>
      <w:pPr>
        <w:pStyle w:val="Standard"/>
        <w:tabs>
          <w:tab w:val="clear" w:pos="720"/>
          <w:tab w:val="left" w:pos="142" w:leader="none"/>
        </w:tabs>
        <w:spacing w:before="0" w:after="0"/>
        <w:contextualSpacing/>
        <w:jc w:val="both"/>
        <w:rPr/>
      </w:pPr>
      <w:r>
        <w:rPr/>
        <w:t xml:space="preserve">2. </w:t>
      </w:r>
      <w:r>
        <w:rPr>
          <w:rFonts w:eastAsia="Calibri" w:eastAsiaTheme="minorHAnsi"/>
          <w:kern w:val="0"/>
          <w:lang w:eastAsia="en-US"/>
        </w:rPr>
        <w:t xml:space="preserve">W odniesieniu do wymagań postawionych przez Zamawiającego w zakresie potwierdzenia braku podstaw do wykluczenia z postępowania, każdy z Wykonawców wspólnie ubiegających się o udzielenie zamówienia, oddzielnie musi udokumentować, że nie podlega wykluczeniu z postępowania na podstawie art. 108 ust. 1 ustawy Pzp oraz na podstawie                    </w:t>
      </w:r>
      <w:r>
        <w:rPr/>
        <w:t>art. 7 ust. 1 ustawy sankcyjnej</w:t>
      </w:r>
      <w:r>
        <w:rPr>
          <w:rFonts w:eastAsia="Calibri" w:eastAsiaTheme="minorHAnsi"/>
          <w:kern w:val="0"/>
          <w:lang w:eastAsia="en-US"/>
        </w:rPr>
        <w:t>, natomiast spełnianie warunków udziału w postępowaniu Wykonawcy wykazują zgodnie z treścią zawartą w Rozdziale V SWZ.</w:t>
      </w:r>
    </w:p>
    <w:p>
      <w:pPr>
        <w:pStyle w:val="BodyText2"/>
        <w:spacing w:lineRule="auto" w:line="240" w:before="0" w:after="120"/>
        <w:contextualSpacing/>
        <w:jc w:val="both"/>
        <w:rPr/>
      </w:pPr>
      <w:r>
        <w:rPr/>
        <w:t>3. W przypadku Wykonawców wspólnie ubiegających się o udzielenie zamówienia,                       oświadczenie dotyczące braku podstaw do wykluczenia z postępowania składa oddzielnie każdy z Wykonawców wspólnie ubiegających się o udzielenie zamówienia. Oświadczenie                                          potwierdza brak podstaw wykluczenia w zakresie, w jakim każdy z Wykonawców wspólnie                  ubiegających się o udzielenie zamówienia wykazuje brak podstaw wykluczenia                                z postępowania.</w:t>
      </w:r>
    </w:p>
    <w:p>
      <w:pPr>
        <w:pStyle w:val="BodyText2"/>
        <w:spacing w:lineRule="auto" w:line="240" w:before="0" w:after="120"/>
        <w:contextualSpacing/>
        <w:jc w:val="both"/>
        <w:rPr/>
      </w:pPr>
      <w:r>
        <w:rPr/>
        <w:t xml:space="preserve">4. W przypadku Wykonawców wspólnie ubiegających się o udzielenie zamówienia,                       oświadczenie dotyczące spełniania warunków udziału w postępowaniu składa oddzielnie każdy z Wykonawców wspólnie ubiegających się o udzielenie zamówienia w zakresie,                     w jakim każdy z Wykonawców wspólnie ubiegających się o udzielenie zamówienia wykazuje spełnianie warunków udziału w postępowaniu. </w:t>
      </w:r>
    </w:p>
    <w:p>
      <w:pPr>
        <w:pStyle w:val="BodyText2"/>
        <w:spacing w:lineRule="auto" w:line="240" w:before="0" w:after="120"/>
        <w:contextualSpacing/>
        <w:jc w:val="both"/>
        <w:rPr/>
      </w:pPr>
      <w:r>
        <w:rPr/>
        <w:t>5. W przypadku, gdy spełnienie warunku opisanego:</w:t>
      </w:r>
    </w:p>
    <w:p>
      <w:pPr>
        <w:pStyle w:val="BodyText2"/>
        <w:spacing w:lineRule="auto" w:line="240" w:before="0" w:after="120"/>
        <w:contextualSpacing/>
        <w:jc w:val="both"/>
        <w:rPr/>
      </w:pPr>
      <w:r>
        <w:rPr/>
        <w:t>5.1 w Rozdziale V pkt 1.4 SWZ  wykazuje co najmniej jeden z Wykonawców wspólnie ubiegających się o udzielenie zamówienia</w:t>
      </w:r>
    </w:p>
    <w:p>
      <w:pPr>
        <w:pStyle w:val="BodyText2"/>
        <w:spacing w:lineRule="auto" w:line="240" w:before="0" w:after="120"/>
        <w:contextualSpacing/>
        <w:jc w:val="both"/>
        <w:rPr/>
      </w:pPr>
      <w:r>
        <w:rPr/>
        <w:t>5.2 w Rozdziale V pkt 1.4 SWZ  Wykonawcy wykazują poprzez poleganie na zdolnościach tych z Wykonawców, którzy wykonają roboty budowlane lub usługi, do realizacji których te zdolności są wymagane.</w:t>
      </w:r>
    </w:p>
    <w:p>
      <w:pPr>
        <w:pStyle w:val="BodyText2"/>
        <w:numPr>
          <w:ilvl w:val="0"/>
          <w:numId w:val="2"/>
        </w:numPr>
        <w:suppressAutoHyphens w:val="false"/>
        <w:spacing w:lineRule="auto" w:line="240" w:before="0" w:after="120"/>
        <w:ind w:hanging="0" w:left="0"/>
        <w:contextualSpacing/>
        <w:jc w:val="both"/>
        <w:textAlignment w:val="auto"/>
        <w:rPr/>
      </w:pPr>
      <w:r>
        <w:rPr/>
        <w:t>Wykonawcy wspólnie ubiegający się o udzielenie zamówienia  oświadczają, które                  roboty budowlane, dostawy lub usługi wykonają poszczególni Wykonawcy.</w:t>
      </w:r>
    </w:p>
    <w:p>
      <w:pPr>
        <w:pStyle w:val="BodyText2"/>
        <w:spacing w:lineRule="auto" w:line="240" w:before="0" w:after="120"/>
        <w:contextualSpacing/>
        <w:jc w:val="both"/>
        <w:rPr/>
      </w:pPr>
      <w:r>
        <w:rPr/>
        <w:t xml:space="preserve">6. W przypadku wspólnego ubiegania się o zamówienie przez Wykonawców są  oni zobowiązani na wezwanie Zamawiającego złożyć </w:t>
      </w:r>
      <w:r>
        <w:rPr>
          <w:u w:val="single"/>
        </w:rPr>
        <w:t>aktualne na dzień złożenia</w:t>
      </w:r>
      <w:r>
        <w:rPr/>
        <w:t xml:space="preserve"> podmiotowe środki dowodowe, o których mowa w Rozdziale VII SWZ, przy czym:</w:t>
      </w:r>
    </w:p>
    <w:p>
      <w:pPr>
        <w:pStyle w:val="BodyText2"/>
        <w:spacing w:lineRule="auto" w:line="240" w:before="0" w:after="120"/>
        <w:contextualSpacing/>
        <w:jc w:val="both"/>
        <w:rPr/>
      </w:pPr>
      <w:r>
        <w:rPr/>
        <w:t xml:space="preserve">6.1 podmiotowe środki dowodowe składa odpowiednio Wykonawca, który/którzy wykazuje spełnianie warunku, w zakresie i na zasadach opisanych w Rozdziale V SWZ. </w:t>
      </w:r>
    </w:p>
    <w:p>
      <w:pPr>
        <w:pStyle w:val="BodyText2"/>
        <w:spacing w:lineRule="auto" w:line="240" w:before="0" w:after="120"/>
        <w:contextualSpacing/>
        <w:jc w:val="both"/>
        <w:rPr/>
      </w:pPr>
      <w:r>
        <w:rPr/>
        <w:t xml:space="preserve">7. Przed zawarciem umowy w sprawie zamówienia publicznego, Wykonawcy wspólnie ubiegający się o udzielenie zamówienia </w:t>
      </w:r>
      <w:r>
        <w:rPr>
          <w:u w:val="single"/>
        </w:rPr>
        <w:t>są zobowiązani</w:t>
      </w:r>
      <w:r>
        <w:rPr/>
        <w:t xml:space="preserve"> przedstawić Zamawiającemu umowę regulującą podstawy i zasady wspólnego ubiegania się o udzielenie zamówienia.</w:t>
      </w:r>
    </w:p>
    <w:p>
      <w:pPr>
        <w:pStyle w:val="BodyText2"/>
        <w:spacing w:lineRule="auto" w:line="240" w:before="0" w:after="120"/>
        <w:contextualSpacing/>
        <w:jc w:val="both"/>
        <w:rPr/>
      </w:pPr>
      <w:r>
        <w:rPr/>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Calibri"/>
          <w:b/>
          <w:bCs/>
          <w:kern w:val="0"/>
          <w:lang w:eastAsia="en-US"/>
        </w:rPr>
        <w:t>XI. INFORMACJA O SPOSOBIE POROZUMIEWANIA SIĘ ZAMAWIAJĄCEGO                Z WYKONAWCAMI ORAZ PRZEKAZYWANIA OŚWIADCZEŃ I DOKUMENTÓW A TAKŻE WSKAZANIE OSÓB UPRAWNIONYCH DO POROZUMIEWANIA SIĘ              Z WYKONAWCAMI:</w:t>
      </w:r>
    </w:p>
    <w:p>
      <w:pPr>
        <w:pStyle w:val="Standard"/>
        <w:tabs>
          <w:tab w:val="clear" w:pos="720"/>
          <w:tab w:val="left" w:pos="142" w:leader="none"/>
        </w:tabs>
        <w:spacing w:before="0" w:after="0"/>
        <w:contextualSpacing/>
        <w:jc w:val="both"/>
        <w:rPr/>
      </w:pPr>
      <w:r>
        <w:rPr/>
      </w:r>
    </w:p>
    <w:p>
      <w:pPr>
        <w:pStyle w:val="Standard"/>
        <w:tabs>
          <w:tab w:val="clear" w:pos="720"/>
          <w:tab w:val="left" w:pos="142" w:leader="none"/>
        </w:tabs>
        <w:spacing w:before="0" w:after="0"/>
        <w:contextualSpacing/>
        <w:jc w:val="both"/>
        <w:rPr/>
      </w:pPr>
      <w:r>
        <w:rPr/>
        <w:t>1. Osobami uprawnionymi do kontaktu z Wykonawcami jest:</w:t>
      </w:r>
    </w:p>
    <w:p>
      <w:pPr>
        <w:pStyle w:val="Standard"/>
        <w:tabs>
          <w:tab w:val="clear" w:pos="720"/>
          <w:tab w:val="left" w:pos="142" w:leader="none"/>
        </w:tabs>
        <w:spacing w:before="0" w:after="0"/>
        <w:contextualSpacing/>
        <w:jc w:val="both"/>
        <w:rPr>
          <w:b/>
          <w:bCs/>
        </w:rPr>
      </w:pPr>
      <w:r>
        <w:rPr>
          <w:b/>
          <w:bCs/>
        </w:rPr>
      </w:r>
    </w:p>
    <w:p>
      <w:pPr>
        <w:pStyle w:val="Standard"/>
        <w:tabs>
          <w:tab w:val="clear" w:pos="720"/>
          <w:tab w:val="left" w:pos="142" w:leader="none"/>
        </w:tabs>
        <w:spacing w:before="0" w:after="0"/>
        <w:contextualSpacing/>
        <w:jc w:val="both"/>
        <w:rPr/>
      </w:pPr>
      <w:r>
        <w:rPr>
          <w:b/>
          <w:bCs/>
        </w:rPr>
        <w:t>w sprawach przedmiotu zamówienia:</w:t>
      </w:r>
    </w:p>
    <w:p>
      <w:pPr>
        <w:pStyle w:val="Standard"/>
        <w:tabs>
          <w:tab w:val="clear" w:pos="720"/>
          <w:tab w:val="left" w:pos="142" w:leader="none"/>
        </w:tabs>
        <w:spacing w:before="0" w:after="0"/>
        <w:contextualSpacing/>
        <w:jc w:val="both"/>
        <w:rPr/>
      </w:pPr>
      <w:r>
        <w:rPr/>
        <w:tab/>
        <w:tab/>
        <w:tab/>
        <w:t>Michał Sopala</w:t>
        <w:tab/>
        <w:tab/>
        <w:tab/>
        <w:tab/>
        <w:t>33/875-24-46 wew. 220</w:t>
        <w:tab/>
        <w:tab/>
      </w:r>
    </w:p>
    <w:p>
      <w:pPr>
        <w:pStyle w:val="Standard"/>
        <w:tabs>
          <w:tab w:val="clear" w:pos="720"/>
          <w:tab w:val="left" w:pos="142" w:leader="none"/>
        </w:tabs>
        <w:spacing w:before="0" w:after="0"/>
        <w:contextualSpacing/>
        <w:jc w:val="both"/>
        <w:rPr>
          <w:b/>
          <w:bCs/>
        </w:rPr>
      </w:pPr>
      <w:r>
        <w:rPr>
          <w:b/>
          <w:bCs/>
        </w:rPr>
      </w:r>
    </w:p>
    <w:p>
      <w:pPr>
        <w:pStyle w:val="Standard"/>
        <w:tabs>
          <w:tab w:val="clear" w:pos="720"/>
          <w:tab w:val="left" w:pos="142" w:leader="none"/>
        </w:tabs>
        <w:spacing w:before="0" w:after="0"/>
        <w:contextualSpacing/>
        <w:jc w:val="both"/>
        <w:rPr/>
      </w:pPr>
      <w:r>
        <w:rPr>
          <w:b/>
          <w:bCs/>
        </w:rPr>
        <w:t>w sprawach procedury przetargowej:</w:t>
      </w:r>
    </w:p>
    <w:p>
      <w:pPr>
        <w:pStyle w:val="Standard"/>
        <w:tabs>
          <w:tab w:val="clear" w:pos="720"/>
          <w:tab w:val="left" w:pos="142" w:leader="none"/>
        </w:tabs>
        <w:spacing w:before="0" w:after="0"/>
        <w:contextualSpacing/>
        <w:jc w:val="both"/>
        <w:rPr/>
      </w:pPr>
      <w:r>
        <w:rPr/>
        <w:tab/>
        <w:tab/>
        <w:tab/>
        <w:t>Izabela Mastykarz</w:t>
        <w:tab/>
        <w:tab/>
        <w:tab/>
        <w:t>33/875-24-46 wew. 204</w:t>
      </w:r>
    </w:p>
    <w:p>
      <w:pPr>
        <w:pStyle w:val="Standard"/>
        <w:tabs>
          <w:tab w:val="clear" w:pos="720"/>
          <w:tab w:val="left" w:pos="142" w:leader="none"/>
        </w:tabs>
        <w:spacing w:before="0" w:after="0"/>
        <w:contextualSpacing/>
        <w:jc w:val="both"/>
        <w:rPr/>
      </w:pPr>
      <w:r>
        <w:rPr/>
        <w:tab/>
        <w:tab/>
        <w:tab/>
        <w:t>Aleksandra Gwoździewicz</w:t>
      </w:r>
    </w:p>
    <w:p>
      <w:pPr>
        <w:pStyle w:val="Standard"/>
        <w:tabs>
          <w:tab w:val="clear" w:pos="720"/>
          <w:tab w:val="left" w:pos="142" w:leader="none"/>
        </w:tabs>
        <w:spacing w:before="0" w:after="0"/>
        <w:contextualSpacing/>
        <w:jc w:val="both"/>
        <w:rPr>
          <w:color w:val="FF0000"/>
        </w:rPr>
      </w:pPr>
      <w:r>
        <w:rPr>
          <w:color w:val="FF0000"/>
        </w:rPr>
      </w:r>
    </w:p>
    <w:p>
      <w:pPr>
        <w:pStyle w:val="Standard"/>
        <w:tabs>
          <w:tab w:val="clear" w:pos="720"/>
          <w:tab w:val="left" w:pos="142" w:leader="none"/>
        </w:tabs>
        <w:spacing w:before="0" w:after="0"/>
        <w:contextualSpacing/>
        <w:jc w:val="both"/>
        <w:rPr/>
      </w:pPr>
      <w:r>
        <w:rPr/>
        <w:t xml:space="preserve">2. Postępowanie prowadzone jest w języku polskim w formie elektronicznej za pośrednictwem strony internetowej prowadzonego postępowania dostępnej pod adresem:  </w:t>
      </w:r>
      <w:hyperlink r:id="rId6">
        <w:r>
          <w:rPr>
            <w:rStyle w:val="Style1"/>
            <w:u w:val="single"/>
          </w:rPr>
          <w:t>https://platformazakupowa.pl/pn/szpital_andrychow</w:t>
        </w:r>
      </w:hyperlink>
    </w:p>
    <w:p>
      <w:pPr>
        <w:pStyle w:val="Standard"/>
        <w:tabs>
          <w:tab w:val="clear" w:pos="720"/>
          <w:tab w:val="left" w:pos="142" w:leader="none"/>
        </w:tabs>
        <w:spacing w:before="0" w:after="0"/>
        <w:contextualSpacing/>
        <w:jc w:val="both"/>
        <w:rPr>
          <w:i/>
          <w:iCs/>
        </w:rPr>
      </w:pPr>
      <w:r>
        <w:rPr/>
        <w:t xml:space="preserve">3. Zamawiający zaleca aby komunikacja między Zamawiającym a Wykonawcami, w tym przekazywanie wszelkich oświadczeń, wniosków, zawiadomień oraz informacji, odbywała się elektronicznej, za pośrednictwem </w:t>
      </w:r>
      <w:r>
        <w:rPr>
          <w:u w:val="single"/>
        </w:rPr>
        <w:t>platformazakupowa.pl</w:t>
      </w:r>
      <w:r>
        <w:rPr/>
        <w:t xml:space="preserve"> i formularza </w:t>
      </w:r>
      <w:r>
        <w:rPr>
          <w:i/>
          <w:iCs/>
        </w:rPr>
        <w:t>„wyślij wiadomość do Zamawiającego”.</w:t>
      </w:r>
    </w:p>
    <w:p>
      <w:pPr>
        <w:pStyle w:val="Standard"/>
        <w:tabs>
          <w:tab w:val="clear" w:pos="720"/>
          <w:tab w:val="left" w:pos="142" w:leader="none"/>
        </w:tabs>
        <w:spacing w:before="0" w:after="0"/>
        <w:contextualSpacing/>
        <w:jc w:val="both"/>
        <w:rPr/>
      </w:pPr>
      <w:r>
        <w:rPr/>
        <w:t xml:space="preserve">4. Za datę przekazania (wpływu) oświadczeń, wniosków, zawiadomień oraz informacji przyjmuje się datę ich przesłania za pośrednictwem </w:t>
      </w:r>
      <w:hyperlink r:id="rId7">
        <w:r>
          <w:rPr>
            <w:rStyle w:val="Style1"/>
            <w:rFonts w:eastAsia="Calibri"/>
            <w:u w:val="single"/>
          </w:rPr>
          <w:t>platformazakupowa.pl</w:t>
        </w:r>
      </w:hyperlink>
      <w:r>
        <w:rPr>
          <w:rFonts w:eastAsia="Calibri"/>
          <w:u w:val="single"/>
        </w:rPr>
        <w:t xml:space="preserve"> </w:t>
      </w:r>
      <w:r>
        <w:rPr>
          <w:rFonts w:eastAsia="Calibri"/>
        </w:rPr>
        <w:t xml:space="preserve">poprzez kliknięcie przycisku </w:t>
      </w:r>
      <w:r>
        <w:rPr>
          <w:rFonts w:eastAsia="Calibri"/>
          <w:i/>
          <w:iCs/>
        </w:rPr>
        <w:t>„Wyślij wiadomość do Zamawiającego”,</w:t>
      </w:r>
      <w:r>
        <w:rPr>
          <w:rFonts w:eastAsia="Calibri"/>
        </w:rPr>
        <w:t xml:space="preserve"> po których pojawi się komunikat, że wiadomość została wysłana do Zamawiającego. </w:t>
      </w:r>
    </w:p>
    <w:p>
      <w:pPr>
        <w:pStyle w:val="Standard"/>
        <w:tabs>
          <w:tab w:val="clear" w:pos="720"/>
          <w:tab w:val="left" w:pos="142" w:leader="none"/>
        </w:tabs>
        <w:spacing w:before="0" w:after="0"/>
        <w:contextualSpacing/>
        <w:jc w:val="both"/>
        <w:rPr>
          <w:rFonts w:eastAsia="Calibri"/>
        </w:rPr>
      </w:pPr>
      <w:r>
        <w:rPr/>
        <w:t xml:space="preserve">5. </w:t>
      </w:r>
      <w:r>
        <w:rPr>
          <w:rFonts w:eastAsia="Calibri"/>
        </w:rPr>
        <w:t xml:space="preserve">Zamawiający będzie przekazywał Wykonawcom wszelkie informacje dotyczące postępowania w formie elektronicznej za pośrednictwem </w:t>
      </w:r>
      <w:hyperlink r:id="rId8">
        <w:r>
          <w:rPr>
            <w:rStyle w:val="Style1"/>
            <w:rFonts w:eastAsia="Calibri"/>
            <w:u w:val="single"/>
          </w:rPr>
          <w:t>platformazakupowa.pl</w:t>
        </w:r>
      </w:hyperlink>
      <w:r>
        <w:rPr>
          <w:rFonts w:eastAsia="Calibri"/>
        </w:rPr>
        <w:t xml:space="preserve"> </w:t>
      </w:r>
    </w:p>
    <w:p>
      <w:pPr>
        <w:pStyle w:val="Standard"/>
        <w:tabs>
          <w:tab w:val="clear" w:pos="720"/>
          <w:tab w:val="left" w:pos="142" w:leader="none"/>
        </w:tabs>
        <w:spacing w:before="0" w:after="0"/>
        <w:contextualSpacing/>
        <w:jc w:val="both"/>
        <w:rPr>
          <w:rFonts w:eastAsia="Calibri"/>
        </w:rPr>
      </w:pPr>
      <w:r>
        <w:rPr>
          <w:rFonts w:eastAsia="Calibri"/>
        </w:rPr>
        <w:t xml:space="preserve">5.1 Informacje dotyczące odpowiedzi na pytania, zmiany specyfikacji, zmiany terminu składania i otwarcia ofert Zamawiający będzie zamieszczał na platformie w sekcji </w:t>
      </w:r>
      <w:r>
        <w:rPr>
          <w:rFonts w:eastAsia="Calibri"/>
          <w:i/>
          <w:iCs/>
        </w:rPr>
        <w:t>“Komunikaty”</w:t>
      </w:r>
      <w:r>
        <w:rPr>
          <w:rFonts w:eastAsia="Calibri"/>
        </w:rPr>
        <w:t xml:space="preserve">. Korespondencja, której zgodnie z obowiązującymi przepisami adresatem jest konkretny Wykonawca, będzie przekazywana w formie elektronicznej za pośrednictwem </w:t>
      </w:r>
      <w:hyperlink r:id="rId9">
        <w:r>
          <w:rPr>
            <w:rStyle w:val="Style1"/>
            <w:rFonts w:eastAsia="Calibri"/>
            <w:u w:val="single"/>
          </w:rPr>
          <w:t>platformazakupowa.pl</w:t>
        </w:r>
      </w:hyperlink>
      <w:r>
        <w:rPr>
          <w:rFonts w:eastAsia="Calibri"/>
        </w:rPr>
        <w:t xml:space="preserve"> do konkretnego Wykonawcy.</w:t>
      </w:r>
    </w:p>
    <w:p>
      <w:pPr>
        <w:pStyle w:val="Standard"/>
        <w:tabs>
          <w:tab w:val="clear" w:pos="720"/>
          <w:tab w:val="left" w:pos="142" w:leader="none"/>
        </w:tabs>
        <w:spacing w:before="0" w:after="0"/>
        <w:contextualSpacing/>
        <w:jc w:val="both"/>
        <w:rPr/>
      </w:pPr>
      <w:r>
        <w:rPr>
          <w:rFonts w:eastAsia="Calibri"/>
        </w:rPr>
        <w:t>5.2 Wykonawca jako podmiot profesjonalny ma obowiązek sprawdzania komunikatów                                    i wiadomości bezpośrednio na stronie internetowej prowadzonego postępowania przesłanych przez Zamawiającego, gdyż system powiadomień może ulec awarii lub powiadomienie może trafić do folderu SPAM.</w:t>
      </w:r>
    </w:p>
    <w:p>
      <w:pPr>
        <w:pStyle w:val="Standard"/>
        <w:tabs>
          <w:tab w:val="clear" w:pos="720"/>
          <w:tab w:val="left" w:pos="142" w:leader="none"/>
        </w:tabs>
        <w:spacing w:before="0" w:after="0"/>
        <w:contextualSpacing/>
        <w:jc w:val="both"/>
        <w:rPr/>
      </w:pPr>
      <w:r>
        <w:rPr>
          <w:rFonts w:eastAsia="Calibri"/>
        </w:rPr>
        <w:t xml:space="preserve">6. W celu zabezpieczenia przed konsekwencjami ewentualnej awarii systemu powiadomień, Wykonawca jest zobowiązany do sprawdzania wysłanych przez Zamawiającego komunikatów i wiadomości bezpośrednio na stronie prowadzonego postępowania, tj.: </w:t>
      </w:r>
      <w:hyperlink r:id="rId10">
        <w:r>
          <w:rPr>
            <w:rStyle w:val="Style1"/>
            <w:u w:val="single"/>
          </w:rPr>
          <w:t>https://platformazakupowa.pl/pn/szpital_andrychow</w:t>
        </w:r>
      </w:hyperlink>
      <w:r>
        <w:rPr>
          <w:u w:val="single"/>
        </w:rPr>
        <w:t>.</w:t>
      </w:r>
      <w:r>
        <w:rPr/>
        <w:t xml:space="preserve"> </w:t>
      </w:r>
      <w:r>
        <w:rPr>
          <w:rFonts w:eastAsia="Calibri"/>
        </w:rPr>
        <w:t xml:space="preserve"> </w:t>
      </w:r>
    </w:p>
    <w:p>
      <w:pPr>
        <w:pStyle w:val="Standard"/>
        <w:tabs>
          <w:tab w:val="clear" w:pos="720"/>
          <w:tab w:val="left" w:pos="142" w:leader="none"/>
        </w:tabs>
        <w:spacing w:before="0" w:after="0"/>
        <w:contextualSpacing/>
        <w:jc w:val="both"/>
        <w:rPr/>
      </w:pPr>
      <w:r>
        <w:rPr>
          <w:rFonts w:eastAsia="Calibri"/>
        </w:rPr>
        <w:t xml:space="preserve">7.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Zamawiający określa niezbędne wymagania sprzętowo – aplikacyjne umożliwiające pracę na </w:t>
      </w:r>
      <w:r>
        <w:rPr>
          <w:rFonts w:eastAsia="Calibri"/>
          <w:u w:val="single"/>
        </w:rPr>
        <w:t>platformazakupowa.pl</w:t>
      </w:r>
      <w:r>
        <w:rPr>
          <w:rFonts w:eastAsia="Calibri"/>
        </w:rPr>
        <w:t>, tj.:</w:t>
      </w:r>
    </w:p>
    <w:p>
      <w:pPr>
        <w:pStyle w:val="Standard"/>
        <w:tabs>
          <w:tab w:val="clear" w:pos="720"/>
          <w:tab w:val="left" w:pos="142" w:leader="none"/>
        </w:tabs>
        <w:spacing w:before="0" w:after="0"/>
        <w:contextualSpacing/>
        <w:jc w:val="both"/>
        <w:rPr/>
      </w:pPr>
      <w:r>
        <w:rPr>
          <w:rFonts w:eastAsia="Calibri"/>
        </w:rPr>
        <w:t>7.1. stały dostęp do sieci Internet o gwarantowanej przepustowości nie mniejszej niż 512kb/s;</w:t>
      </w:r>
    </w:p>
    <w:p>
      <w:pPr>
        <w:pStyle w:val="Standard"/>
        <w:tabs>
          <w:tab w:val="clear" w:pos="720"/>
          <w:tab w:val="left" w:pos="142" w:leader="none"/>
        </w:tabs>
        <w:spacing w:before="0" w:after="0"/>
        <w:contextualSpacing/>
        <w:jc w:val="both"/>
        <w:rPr>
          <w:rFonts w:eastAsia="Calibri"/>
        </w:rPr>
      </w:pPr>
      <w:r>
        <w:rPr>
          <w:rFonts w:eastAsia="Calibri"/>
        </w:rPr>
        <w:t>7.2. komputer klasy PC lub MAC o następującej konfiguracji: pamięć min. 2 GB Ram, procesor Intel IV 2 GHZ lub jego nowsza wersja, jeden z systemów operacyjnych - MS Windows 7, Mac Os x 10 4, Linux, lub ich nowsze wersje;</w:t>
      </w:r>
    </w:p>
    <w:p>
      <w:pPr>
        <w:pStyle w:val="Standard"/>
        <w:tabs>
          <w:tab w:val="clear" w:pos="720"/>
          <w:tab w:val="left" w:pos="142" w:leader="none"/>
        </w:tabs>
        <w:spacing w:before="0" w:after="0"/>
        <w:contextualSpacing/>
        <w:jc w:val="both"/>
        <w:rPr/>
      </w:pPr>
      <w:r>
        <w:rPr>
          <w:rFonts w:eastAsia="Calibri"/>
        </w:rPr>
        <w:t>7.3. zainstalowana dowolna przeglądarka internetowa, w przypadku Internet Explorer minimalnie wersja 10 0.;</w:t>
      </w:r>
    </w:p>
    <w:p>
      <w:pPr>
        <w:pStyle w:val="Standard"/>
        <w:tabs>
          <w:tab w:val="clear" w:pos="720"/>
          <w:tab w:val="left" w:pos="142" w:leader="none"/>
        </w:tabs>
        <w:spacing w:before="0" w:after="0"/>
        <w:contextualSpacing/>
        <w:jc w:val="both"/>
        <w:rPr>
          <w:rFonts w:eastAsia="Calibri"/>
        </w:rPr>
      </w:pPr>
      <w:r>
        <w:rPr>
          <w:rFonts w:eastAsia="Calibri"/>
        </w:rPr>
        <w:t>7.4. włączona obsługa JavaScript;</w:t>
      </w:r>
    </w:p>
    <w:p>
      <w:pPr>
        <w:pStyle w:val="Standard"/>
        <w:tabs>
          <w:tab w:val="clear" w:pos="720"/>
          <w:tab w:val="left" w:pos="142" w:leader="none"/>
        </w:tabs>
        <w:spacing w:before="0" w:after="0"/>
        <w:contextualSpacing/>
        <w:jc w:val="both"/>
        <w:rPr/>
      </w:pPr>
      <w:r>
        <w:rPr>
          <w:rFonts w:eastAsia="Calibri"/>
        </w:rPr>
        <w:t>7.5. zainstalowany program Adobe Acrobat Reader lub inny obsługujący format plików .pdf;</w:t>
      </w:r>
    </w:p>
    <w:p>
      <w:pPr>
        <w:pStyle w:val="Standard"/>
        <w:tabs>
          <w:tab w:val="clear" w:pos="720"/>
          <w:tab w:val="left" w:pos="142" w:leader="none"/>
        </w:tabs>
        <w:spacing w:before="0" w:after="0"/>
        <w:contextualSpacing/>
        <w:jc w:val="both"/>
        <w:rPr/>
      </w:pPr>
      <w:r>
        <w:rPr>
          <w:rFonts w:eastAsia="Calibri"/>
        </w:rPr>
        <w:t xml:space="preserve">7.6. </w:t>
      </w:r>
      <w:r>
        <w:rPr>
          <w:rFonts w:eastAsia="Calibri"/>
          <w:u w:val="single"/>
        </w:rPr>
        <w:t>platformazakupowa.pl</w:t>
      </w:r>
      <w:r>
        <w:rPr>
          <w:rFonts w:eastAsia="Calibri"/>
        </w:rPr>
        <w:t xml:space="preserve"> działa według standardu przyjętego w komunikacji sieciowej – kodowanie UTF8;</w:t>
      </w:r>
    </w:p>
    <w:p>
      <w:pPr>
        <w:pStyle w:val="Standard"/>
        <w:tabs>
          <w:tab w:val="clear" w:pos="720"/>
          <w:tab w:val="left" w:pos="142" w:leader="none"/>
        </w:tabs>
        <w:spacing w:before="0" w:after="0"/>
        <w:contextualSpacing/>
        <w:jc w:val="both"/>
        <w:rPr/>
      </w:pPr>
      <w:r>
        <w:rPr>
          <w:rFonts w:eastAsia="Calibri"/>
        </w:rPr>
        <w:t>7.7. oznaczenie czasu odbioru danych przez platformę zakupową stanowi datę oraz dokładny czas (hh:mm:ss) generowany według czasu lokalnego serwera synchronizowanego z zegarem Głównego Urzędu Miar;</w:t>
      </w:r>
    </w:p>
    <w:p>
      <w:pPr>
        <w:pStyle w:val="Standard"/>
        <w:tabs>
          <w:tab w:val="clear" w:pos="720"/>
          <w:tab w:val="left" w:pos="142" w:leader="none"/>
        </w:tabs>
        <w:spacing w:before="0" w:after="0"/>
        <w:contextualSpacing/>
        <w:jc w:val="both"/>
        <w:rPr>
          <w:rFonts w:eastAsia="Calibri"/>
        </w:rPr>
      </w:pPr>
      <w:r>
        <w:rPr>
          <w:rFonts w:eastAsia="Calibri"/>
        </w:rPr>
        <w:t>8. Przystępując do niniejszego postępowania o udzielenie zamówienia publicznego, Wykonawca:</w:t>
      </w:r>
    </w:p>
    <w:p>
      <w:pPr>
        <w:pStyle w:val="Standard"/>
        <w:tabs>
          <w:tab w:val="clear" w:pos="720"/>
          <w:tab w:val="left" w:pos="142" w:leader="none"/>
        </w:tabs>
        <w:spacing w:before="0" w:after="0"/>
        <w:contextualSpacing/>
        <w:jc w:val="both"/>
        <w:rPr/>
      </w:pPr>
      <w:r>
        <w:rPr>
          <w:rFonts w:eastAsia="Calibri"/>
        </w:rPr>
        <w:t xml:space="preserve">8.1. akceptuje warunki korzystania z </w:t>
      </w:r>
      <w:hyperlink r:id="rId11">
        <w:r>
          <w:rPr>
            <w:rStyle w:val="Style1"/>
            <w:rFonts w:eastAsia="Calibri"/>
            <w:u w:val="single"/>
          </w:rPr>
          <w:t>platformazakupowa.pl</w:t>
        </w:r>
      </w:hyperlink>
      <w:r>
        <w:rPr>
          <w:rFonts w:eastAsia="Calibri"/>
        </w:rPr>
        <w:t xml:space="preserve"> określone w Regulaminie zamieszczonym na stronie internetowej </w:t>
      </w:r>
      <w:hyperlink r:id="rId12">
        <w:r>
          <w:rPr>
            <w:rStyle w:val="Style1"/>
            <w:rFonts w:eastAsia="Calibri"/>
          </w:rPr>
          <w:t>pod linkiem</w:t>
        </w:r>
      </w:hyperlink>
      <w:r>
        <w:rPr>
          <w:rFonts w:eastAsia="Calibri"/>
        </w:rPr>
        <w:t xml:space="preserve">  w zakładce „Regulamin" oraz uznaje go za wiążący;</w:t>
      </w:r>
    </w:p>
    <w:p>
      <w:pPr>
        <w:pStyle w:val="Standard"/>
        <w:tabs>
          <w:tab w:val="clear" w:pos="720"/>
          <w:tab w:val="left" w:pos="142" w:leader="none"/>
        </w:tabs>
        <w:spacing w:before="0" w:after="0"/>
        <w:contextualSpacing/>
        <w:jc w:val="both"/>
        <w:rPr>
          <w:rFonts w:eastAsia="Calibri"/>
        </w:rPr>
      </w:pPr>
      <w:r>
        <w:rPr>
          <w:rFonts w:eastAsia="Calibri"/>
        </w:rPr>
        <w:t xml:space="preserve">8.2. zapoznał i stosuje się do Instrukcji składania ofert/wniosków dostępnej                                                      na </w:t>
      </w:r>
      <w:r>
        <w:rPr>
          <w:rFonts w:eastAsia="Calibri"/>
          <w:u w:val="single"/>
        </w:rPr>
        <w:t>platformazakupowa.pl</w:t>
      </w:r>
      <w:r>
        <w:rPr>
          <w:rFonts w:eastAsia="Calibri"/>
        </w:rPr>
        <w:t>;</w:t>
      </w:r>
    </w:p>
    <w:p>
      <w:pPr>
        <w:pStyle w:val="Standard"/>
        <w:tabs>
          <w:tab w:val="clear" w:pos="720"/>
          <w:tab w:val="left" w:pos="142" w:leader="none"/>
        </w:tabs>
        <w:spacing w:before="0" w:after="0"/>
        <w:contextualSpacing/>
        <w:jc w:val="both"/>
        <w:rPr/>
      </w:pPr>
      <w:r>
        <w:rPr>
          <w:rFonts w:eastAsia="Calibri"/>
        </w:rPr>
        <w:t xml:space="preserve">9. </w:t>
      </w:r>
      <w:r>
        <w:rPr>
          <w:rFonts w:eastAsia="Calibri"/>
          <w:b/>
        </w:rPr>
        <w:t xml:space="preserve">Zamawiający nie ponosi odpowiedzialności za złożenie oferty w sposób niezgodny                             z Instrukcją korzystania z </w:t>
      </w:r>
      <w:hyperlink r:id="rId13">
        <w:r>
          <w:rPr>
            <w:rStyle w:val="Style1"/>
            <w:rFonts w:eastAsia="Calibri"/>
            <w:b/>
            <w:u w:val="single"/>
          </w:rPr>
          <w:t>platformazakupowa.pl</w:t>
        </w:r>
      </w:hyperlink>
      <w:r>
        <w:rPr>
          <w:rFonts w:eastAsia="Calibri"/>
        </w:rPr>
        <w:t xml:space="preserve">, w szczególności za sytuację, gdy Zamawiający zapozna się z treścią oferty przed upływem terminu składania ofert i otwarcia ofert (np. złożenie oferty w zakładce </w:t>
      </w:r>
      <w:r>
        <w:rPr>
          <w:rFonts w:eastAsia="Calibri"/>
          <w:i/>
          <w:iCs/>
        </w:rPr>
        <w:t>„Wyślij wiadomość do Zamawiającego”</w:t>
      </w:r>
      <w:r>
        <w:rPr>
          <w:rFonts w:eastAsia="Calibri"/>
        </w:rPr>
        <w:t xml:space="preserve">).  Taka oferta zostanie uznana przez Zamawiającego za ofertę handlową i nie będzie brana pod uwagę w przedmiotowym postępowaniu. </w:t>
      </w:r>
    </w:p>
    <w:p>
      <w:pPr>
        <w:pStyle w:val="Standard"/>
        <w:tabs>
          <w:tab w:val="clear" w:pos="720"/>
          <w:tab w:val="left" w:pos="142" w:leader="none"/>
        </w:tabs>
        <w:spacing w:before="0" w:after="0"/>
        <w:contextualSpacing/>
        <w:jc w:val="both"/>
        <w:rPr/>
      </w:pPr>
      <w:r>
        <w:rPr>
          <w:rFonts w:eastAsia="Calibri"/>
        </w:rPr>
        <w:t xml:space="preserve">10. Zamawiający informuje, że instrukcje korzystania z </w:t>
      </w:r>
      <w:hyperlink r:id="rId14">
        <w:r>
          <w:rPr>
            <w:rStyle w:val="Style1"/>
            <w:rFonts w:eastAsia="Calibri"/>
            <w:u w:val="single"/>
          </w:rPr>
          <w:t>platformazakupowa.pl</w:t>
        </w:r>
      </w:hyperlink>
      <w:r>
        <w:rPr>
          <w:rFonts w:eastAsia="Calibri"/>
        </w:rPr>
        <w:t xml:space="preserve"> dotyczące                             w szczególności logowania, składania wniosków o wyjaśnienie treści SWZ, składania ofert oraz innych czynności podejmowanych w niniejszym postępowaniu przy użyciu </w:t>
      </w:r>
      <w:hyperlink r:id="rId15">
        <w:r>
          <w:rPr>
            <w:rStyle w:val="Style1"/>
            <w:rFonts w:eastAsia="Calibri"/>
            <w:u w:val="single"/>
          </w:rPr>
          <w:t>platformazakupowa.pl</w:t>
        </w:r>
      </w:hyperlink>
      <w:r>
        <w:rPr>
          <w:rFonts w:eastAsia="Calibri"/>
        </w:rPr>
        <w:t xml:space="preserve"> znajdują się w zakładce „Instrukcje dla Wykonawców" na stronie internetowej pod adresem: </w:t>
      </w:r>
      <w:hyperlink r:id="rId16">
        <w:r>
          <w:rPr>
            <w:rStyle w:val="Style1"/>
            <w:rFonts w:eastAsia="Calibri"/>
            <w:u w:val="single"/>
          </w:rPr>
          <w:t>https://platformazakupowa.pl/strona/45-instrukcje</w:t>
        </w:r>
      </w:hyperlink>
    </w:p>
    <w:p>
      <w:pPr>
        <w:pStyle w:val="Standard"/>
        <w:tabs>
          <w:tab w:val="clear" w:pos="720"/>
          <w:tab w:val="left" w:pos="142" w:leader="none"/>
        </w:tabs>
        <w:spacing w:before="0" w:after="0"/>
        <w:contextualSpacing/>
        <w:jc w:val="both"/>
        <w:rPr>
          <w:b/>
          <w:bCs/>
          <w:u w:val="single"/>
        </w:rPr>
      </w:pPr>
      <w:r>
        <w:rPr>
          <w:b/>
          <w:bCs/>
          <w:u w:val="single"/>
        </w:rPr>
        <w:t xml:space="preserve">11. Zalecenia Zamawiającego: </w:t>
      </w:r>
    </w:p>
    <w:p>
      <w:pPr>
        <w:pStyle w:val="Normalny1"/>
        <w:tabs>
          <w:tab w:val="clear" w:pos="720"/>
          <w:tab w:val="left" w:pos="142" w:leader="none"/>
        </w:tabs>
        <w:spacing w:lineRule="auto" w:line="240" w:before="0" w:after="0"/>
        <w:contextualSpacing/>
        <w:jc w:val="both"/>
        <w:rPr>
          <w:rFonts w:ascii="Times New Roman" w:hAnsi="Times New Roman" w:cs="Times New Roman"/>
        </w:rPr>
      </w:pPr>
      <w:r>
        <w:rPr>
          <w:rFonts w:cs="Times New Roman" w:ascii="Times New Roman" w:hAnsi="Times New Roman"/>
          <w:b/>
        </w:rPr>
        <w:t>Formaty plików wykorzystywanych przez Wykonawców powinny być                                                  zgodne z</w:t>
      </w:r>
      <w:r>
        <w:rPr>
          <w:rFonts w:cs="Times New Roman" w:ascii="Times New Roman" w:hAnsi="Times New Roman"/>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pPr>
        <w:pStyle w:val="Standard"/>
        <w:tabs>
          <w:tab w:val="clear" w:pos="720"/>
          <w:tab w:val="left" w:pos="142" w:leader="none"/>
        </w:tabs>
        <w:spacing w:before="0" w:after="0"/>
        <w:contextualSpacing/>
        <w:jc w:val="both"/>
        <w:rPr/>
      </w:pPr>
      <w:r>
        <w:rPr>
          <w:rFonts w:eastAsia="Calibri"/>
        </w:rPr>
        <w:t xml:space="preserve">11.1 Zamawiający rekomenduje wykorzystanie formatów: .pdf .doc .xls .jpg (.jpeg) </w:t>
      </w:r>
      <w:r>
        <w:rPr>
          <w:rFonts w:eastAsia="Calibri"/>
          <w:b/>
        </w:rPr>
        <w:t>ze szczególnym wskazaniem na .pdf</w:t>
      </w:r>
    </w:p>
    <w:p>
      <w:pPr>
        <w:pStyle w:val="Standard"/>
        <w:tabs>
          <w:tab w:val="clear" w:pos="720"/>
          <w:tab w:val="left" w:pos="142" w:leader="none"/>
        </w:tabs>
        <w:spacing w:before="0" w:after="0"/>
        <w:contextualSpacing/>
        <w:jc w:val="both"/>
        <w:rPr/>
      </w:pPr>
      <w:r>
        <w:rPr>
          <w:rFonts w:eastAsia="Calibri"/>
        </w:rPr>
        <w:t xml:space="preserve">11.2 W celu ewentualnej kompresji danych, </w:t>
      </w:r>
      <w:r>
        <w:rPr>
          <w:rFonts w:eastAsia="Calibri"/>
          <w:b/>
          <w:bCs/>
        </w:rPr>
        <w:t>Zamawiający rekomenduje wykorzystanie formatu .zip lub .7z.</w:t>
      </w:r>
    </w:p>
    <w:p>
      <w:pPr>
        <w:pStyle w:val="Standard"/>
        <w:tabs>
          <w:tab w:val="clear" w:pos="720"/>
          <w:tab w:val="left" w:pos="142" w:leader="none"/>
        </w:tabs>
        <w:spacing w:before="0" w:after="0"/>
        <w:contextualSpacing/>
        <w:jc w:val="both"/>
        <w:rPr/>
      </w:pPr>
      <w:r>
        <w:rPr>
          <w:rFonts w:eastAsia="Calibri"/>
        </w:rPr>
        <w:t xml:space="preserve">11.3 Wśród formatów powszechnych a </w:t>
      </w:r>
      <w:r>
        <w:rPr>
          <w:rFonts w:eastAsia="Calibri"/>
          <w:b/>
        </w:rPr>
        <w:t>NIEWYSTĘPUJĄCYCH</w:t>
      </w:r>
      <w:r>
        <w:rPr>
          <w:rFonts w:eastAsia="Calibri"/>
        </w:rPr>
        <w:t xml:space="preserve"> w Rozporządzeniu,                                       o którym mowa powyżej występują: .rar .gif .bmp .numbers .pages.</w:t>
      </w:r>
      <w:r>
        <w:rPr/>
        <w:t xml:space="preserve"> </w:t>
      </w:r>
      <w:r>
        <w:rPr>
          <w:rFonts w:eastAsia="Calibri"/>
          <w:b/>
          <w:u w:val="single"/>
        </w:rPr>
        <w:t>Dokumenty złożone                                    w takich plikach zostaną uznane za złożone nieskutecznie!</w:t>
      </w:r>
    </w:p>
    <w:p>
      <w:pPr>
        <w:pStyle w:val="Standard"/>
        <w:tabs>
          <w:tab w:val="clear" w:pos="720"/>
          <w:tab w:val="left" w:pos="142" w:leader="none"/>
        </w:tabs>
        <w:spacing w:before="0" w:after="0"/>
        <w:contextualSpacing/>
        <w:jc w:val="both"/>
        <w:rPr/>
      </w:pPr>
      <w:r>
        <w:rPr>
          <w:rFonts w:eastAsia="Calibri"/>
        </w:rPr>
        <w:t>11.4 Zamawiający zwraca uwagę na ograniczenia wielkości plików podpisywanych profilem zaufanym, który wynosi max 10MB oraz na ograniczenie wielkości plików podpisywanych                                                   w aplikacji eDoApp służącej do składania podpisu osobistego, który wynosi max 5MB.</w:t>
      </w:r>
    </w:p>
    <w:p>
      <w:pPr>
        <w:pStyle w:val="Standard"/>
        <w:tabs>
          <w:tab w:val="clear" w:pos="720"/>
          <w:tab w:val="left" w:pos="142" w:leader="none"/>
        </w:tabs>
        <w:spacing w:before="0" w:after="0"/>
        <w:contextualSpacing/>
        <w:jc w:val="both"/>
        <w:rPr/>
      </w:pPr>
      <w:r>
        <w:rPr>
          <w:rFonts w:eastAsia="Calibri"/>
          <w:b/>
          <w:bCs/>
        </w:rPr>
        <w:t>11.5 Ze względu na niskie ryzyko naruszenia integralności pliku oraz łatwiejszą weryfikację podpisu, Zamawiający zaleca, w miarę możliwości, przekonwertowanie plików składających się na ofertę na format .pdf  i opatrzenie ich podpisem kwalifikowanym PadES.</w:t>
      </w:r>
    </w:p>
    <w:p>
      <w:pPr>
        <w:pStyle w:val="Standard"/>
        <w:tabs>
          <w:tab w:val="clear" w:pos="720"/>
          <w:tab w:val="left" w:pos="142" w:leader="none"/>
        </w:tabs>
        <w:spacing w:before="0" w:after="0"/>
        <w:contextualSpacing/>
        <w:jc w:val="both"/>
        <w:rPr/>
      </w:pPr>
      <w:r>
        <w:rPr>
          <w:rFonts w:eastAsia="Calibri"/>
        </w:rPr>
        <w:t xml:space="preserve">11.6 Pliki w innych formatach niż .pdf zaleca się opatrzyć zewnętrznym podpisem XAdES. </w:t>
      </w:r>
      <w:r>
        <w:rPr>
          <w:rFonts w:eastAsia="Calibri"/>
          <w:b/>
          <w:bCs/>
        </w:rPr>
        <w:t>Wykonawca powinien pamiętać aby plik z podpisem przekazywać łącznie z dokumentem podpisywanym.</w:t>
      </w:r>
    </w:p>
    <w:p>
      <w:pPr>
        <w:pStyle w:val="Standard"/>
        <w:tabs>
          <w:tab w:val="clear" w:pos="720"/>
          <w:tab w:val="left" w:pos="142" w:leader="none"/>
        </w:tabs>
        <w:spacing w:before="0" w:after="0"/>
        <w:contextualSpacing/>
        <w:jc w:val="both"/>
        <w:rPr/>
      </w:pPr>
      <w:r>
        <w:rPr>
          <w:rFonts w:eastAsia="Calibri"/>
        </w:rPr>
        <w:t>11.7 Zamawiający zaleca aby w przypadku podpisywania pliku przez kilka osób, stosować podpisy tego samego rodzaju. Podpisywanie różnymi rodzajami podpisów np. osobistym                                               i kwalifikowanym może doprowadzić do problemów z weryfikacją plików.</w:t>
      </w:r>
    </w:p>
    <w:p>
      <w:pPr>
        <w:pStyle w:val="Standard"/>
        <w:tabs>
          <w:tab w:val="clear" w:pos="720"/>
          <w:tab w:val="left" w:pos="142" w:leader="none"/>
        </w:tabs>
        <w:spacing w:before="0" w:after="0"/>
        <w:contextualSpacing/>
        <w:jc w:val="both"/>
        <w:rPr/>
      </w:pPr>
      <w:r>
        <w:rPr>
          <w:rFonts w:eastAsia="Calibri"/>
        </w:rPr>
        <w:t>11.8 Zamawiający zaleca aby Wykonawca z odpowiednim wyprzedzeniem przetestował możliwość prawidłowego wykorzystania wybranej metody podpisania plików oferty.</w:t>
      </w:r>
    </w:p>
    <w:p>
      <w:pPr>
        <w:pStyle w:val="Standard"/>
        <w:tabs>
          <w:tab w:val="clear" w:pos="720"/>
          <w:tab w:val="left" w:pos="142" w:leader="none"/>
        </w:tabs>
        <w:spacing w:before="0" w:after="0"/>
        <w:contextualSpacing/>
        <w:jc w:val="both"/>
        <w:rPr/>
      </w:pPr>
      <w:r>
        <w:rPr>
          <w:rFonts w:eastAsia="Calibri"/>
        </w:rPr>
        <w:t>11.9 Osobą składającą ofertę powinna być osoba kontaktowa podawana w dokumentacji.</w:t>
      </w:r>
    </w:p>
    <w:p>
      <w:pPr>
        <w:pStyle w:val="Standard"/>
        <w:tabs>
          <w:tab w:val="clear" w:pos="720"/>
          <w:tab w:val="left" w:pos="142" w:leader="none"/>
        </w:tabs>
        <w:spacing w:before="0" w:after="0"/>
        <w:contextualSpacing/>
        <w:jc w:val="both"/>
        <w:rPr/>
      </w:pPr>
      <w:r>
        <w:rPr>
          <w:rFonts w:eastAsia="Calibri"/>
        </w:rPr>
        <w:t xml:space="preserve">11.10 Ofertę należy przygotować z należytą starannością dla podmiotu ubiegającego się                              o udzielenie zamówienia publicznego i zachowaniem odpowiedniego odstępu czasu do zakończenia przyjmowania ofert/wniosków. </w:t>
      </w:r>
      <w:r>
        <w:rPr>
          <w:rFonts w:eastAsia="Calibri"/>
          <w:b/>
          <w:bCs/>
        </w:rPr>
        <w:t>Zamawiający sugeruje złożenie oferty                            na 24 godziny przed terminem składania ofert/wniosków.</w:t>
      </w:r>
    </w:p>
    <w:p>
      <w:pPr>
        <w:pStyle w:val="Standard"/>
        <w:tabs>
          <w:tab w:val="clear" w:pos="720"/>
          <w:tab w:val="left" w:pos="142" w:leader="none"/>
        </w:tabs>
        <w:spacing w:before="0" w:after="0"/>
        <w:contextualSpacing/>
        <w:jc w:val="both"/>
        <w:rPr/>
      </w:pPr>
      <w:r>
        <w:rPr>
          <w:rFonts w:eastAsia="Calibri"/>
        </w:rPr>
        <w:t>11.11  Podczas podpisywania plików zaleca się stosowanie algorytmu skrótu SHA2 zamiast SHA1.</w:t>
      </w:r>
    </w:p>
    <w:p>
      <w:pPr>
        <w:pStyle w:val="Standard"/>
        <w:tabs>
          <w:tab w:val="clear" w:pos="720"/>
          <w:tab w:val="left" w:pos="142" w:leader="none"/>
        </w:tabs>
        <w:spacing w:before="0" w:after="0"/>
        <w:contextualSpacing/>
        <w:jc w:val="both"/>
        <w:rPr/>
      </w:pPr>
      <w:r>
        <w:rPr>
          <w:rFonts w:eastAsia="Calibri"/>
        </w:rPr>
        <w:t>11.12 Jeśli Wykonawca pakuje dokumenty np. w plik .zip Zamawiający zaleca wcześniejsze podpisanie każdego ze skompresowanych plików.</w:t>
      </w:r>
    </w:p>
    <w:p>
      <w:pPr>
        <w:pStyle w:val="Standard"/>
        <w:tabs>
          <w:tab w:val="clear" w:pos="720"/>
          <w:tab w:val="left" w:pos="142" w:leader="none"/>
        </w:tabs>
        <w:spacing w:before="0" w:after="0"/>
        <w:contextualSpacing/>
        <w:jc w:val="both"/>
        <w:rPr/>
      </w:pPr>
      <w:r>
        <w:rPr>
          <w:rFonts w:eastAsia="Calibri"/>
        </w:rPr>
        <w:t>11.13 Zamawiający rekomenduje wykorzystanie podpisu z kwalifikowanym znacznikiem czasu.</w:t>
      </w:r>
    </w:p>
    <w:p>
      <w:pPr>
        <w:pStyle w:val="Standard"/>
        <w:tabs>
          <w:tab w:val="clear" w:pos="720"/>
          <w:tab w:val="left" w:pos="142" w:leader="none"/>
        </w:tabs>
        <w:spacing w:before="0" w:after="0"/>
        <w:contextualSpacing/>
        <w:jc w:val="both"/>
        <w:rPr>
          <w:rFonts w:eastAsia="Calibri"/>
          <w:b/>
          <w:bCs/>
          <w:u w:val="single"/>
        </w:rPr>
      </w:pPr>
      <w:r>
        <w:rPr>
          <w:rFonts w:eastAsia="Calibri"/>
          <w:b/>
          <w:bCs/>
          <w:u w:val="single"/>
        </w:rPr>
        <w:t xml:space="preserve">11.14 Zamawiający zaleca, aby nie wprowadzać zmian w plikach po ich podpisaniu. Może to skutkować naruszeniem integralności plików, co będzie równoznaczne z koniecznością odrzucenia oferty. </w:t>
      </w:r>
    </w:p>
    <w:p>
      <w:pPr>
        <w:pStyle w:val="Standard"/>
        <w:tabs>
          <w:tab w:val="clear" w:pos="720"/>
          <w:tab w:val="left" w:pos="142" w:leader="none"/>
        </w:tabs>
        <w:spacing w:before="0" w:after="0"/>
        <w:contextualSpacing/>
        <w:jc w:val="both"/>
        <w:rPr/>
      </w:pPr>
      <w:r>
        <w:rPr/>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Calibri"/>
          <w:b/>
          <w:bCs/>
          <w:kern w:val="0"/>
          <w:lang w:eastAsia="en-US"/>
        </w:rPr>
        <w:t xml:space="preserve">XII. OPIS SPOSOBU UDZIELENIA WYJAŚNIEŃ DOTYCZĄCYCH TREŚCI SWZ: </w:t>
      </w:r>
    </w:p>
    <w:p>
      <w:pPr>
        <w:pStyle w:val="Standard"/>
        <w:tabs>
          <w:tab w:val="clear" w:pos="720"/>
          <w:tab w:val="left" w:pos="142" w:leader="none"/>
        </w:tabs>
        <w:spacing w:before="0" w:after="0"/>
        <w:contextualSpacing/>
        <w:jc w:val="both"/>
        <w:rPr/>
      </w:pPr>
      <w:r>
        <w:rPr/>
        <w:t xml:space="preserve">1. Wykonawca może zwrócić się do Zamawiającego z wnioskiem o wyjaśnienie treści SWZ           terminie określonym w art. 284 ust. 2 ustawy Pzp, tj. nie później niż na 4 dni przed upływem terminu składania ofert. Za datę przekazania (wpływu) oświadczeń, wniosków, zawiadomień oraz informacji przyjmuje się datę ich przesłania za pośrednictwem  </w:t>
      </w:r>
      <w:r>
        <w:rPr>
          <w:u w:val="single"/>
        </w:rPr>
        <w:t>platformazakupowa.pl</w:t>
      </w:r>
      <w:r>
        <w:rPr/>
        <w:t xml:space="preserve"> poprzez kliknięcie przycisku </w:t>
      </w:r>
      <w:r>
        <w:rPr>
          <w:i/>
          <w:iCs/>
        </w:rPr>
        <w:t>„wyślij wiadomość do Zamawiającego”</w:t>
      </w:r>
      <w:r>
        <w:rPr/>
        <w:t>, po których pojawi się komunikat, że wiadomość została wysłana do Zamawiającego.</w:t>
      </w:r>
    </w:p>
    <w:p>
      <w:pPr>
        <w:pStyle w:val="Standard"/>
        <w:tabs>
          <w:tab w:val="clear" w:pos="720"/>
          <w:tab w:val="left" w:pos="142" w:leader="none"/>
        </w:tabs>
        <w:spacing w:before="0" w:after="0"/>
        <w:contextualSpacing/>
        <w:jc w:val="both"/>
        <w:rPr>
          <w:i/>
          <w:iCs/>
          <w:u w:val="single"/>
        </w:rPr>
      </w:pPr>
      <w:r>
        <w:rPr>
          <w:i/>
          <w:iCs/>
          <w:u w:val="single"/>
        </w:rPr>
        <w:t>2. Zamawiający zaleca aby zapytania do treści SWZ były przesyłane również w wersji edytowalnej.</w:t>
      </w:r>
    </w:p>
    <w:p>
      <w:pPr>
        <w:pStyle w:val="Standard"/>
        <w:tabs>
          <w:tab w:val="clear" w:pos="720"/>
          <w:tab w:val="left" w:pos="142" w:leader="none"/>
        </w:tabs>
        <w:spacing w:before="0" w:after="0"/>
        <w:contextualSpacing/>
        <w:jc w:val="both"/>
        <w:rPr/>
      </w:pPr>
      <w:r>
        <w:rPr/>
        <w:t xml:space="preserve">3. Zamawiający jest obowiązany udzielić wyjaśnień niezwłocznie, jednak nie później                                   niż na 2 dni przed upływem terminu składania ofert. </w:t>
      </w:r>
    </w:p>
    <w:p>
      <w:pPr>
        <w:pStyle w:val="Standard"/>
        <w:tabs>
          <w:tab w:val="clear" w:pos="720"/>
          <w:tab w:val="left" w:pos="142" w:leader="none"/>
        </w:tabs>
        <w:spacing w:before="0" w:after="0"/>
        <w:contextualSpacing/>
        <w:jc w:val="both"/>
        <w:rPr/>
      </w:pPr>
      <w:r>
        <w:rPr/>
        <w:t xml:space="preserve">4. Treść zapytań wraz z wyjaśnieniami Zamawiający udostępnia, bez ujawniania źródła zapytania, na stronie internetowej prowadzonego postępowania. </w:t>
      </w:r>
    </w:p>
    <w:p>
      <w:pPr>
        <w:pStyle w:val="Standard"/>
        <w:tabs>
          <w:tab w:val="clear" w:pos="720"/>
          <w:tab w:val="left" w:pos="142" w:leader="none"/>
        </w:tabs>
        <w:spacing w:before="0" w:after="0"/>
        <w:contextualSpacing/>
        <w:jc w:val="both"/>
        <w:rPr/>
      </w:pPr>
      <w:r>
        <w:rPr/>
        <w:t xml:space="preserve">5. Jeżeli Zamawiający nie udzieli wyjaśnień w terminie, o którym mowa w pkt. 3, przedłuża termin składania ofert o czas niezbędny do zapoznania się wszystkich zainteresowanych Wykonawców z wyjaśnieniami niezbędnymi do należytego przygotowania i złożenia ofert.  </w:t>
      </w:r>
    </w:p>
    <w:p>
      <w:pPr>
        <w:pStyle w:val="Standard"/>
        <w:tabs>
          <w:tab w:val="clear" w:pos="720"/>
          <w:tab w:val="left" w:pos="142" w:leader="none"/>
        </w:tabs>
        <w:spacing w:before="0" w:after="0"/>
        <w:contextualSpacing/>
        <w:jc w:val="both"/>
        <w:rPr/>
      </w:pPr>
      <w:r>
        <w:rPr/>
        <w:t xml:space="preserve">6. W uzasadnionych przypadkach Zamawiający może, przed upływem terminu składania ofert, zmienić treść SWZ. Dokonaną zmianę SWZ Zamawiający zamieści na stronie internetowej prowadzonego postępowania. Jeżeli zmiana treści SWZ prowadzić będzie do zmiany treści ogłoszenia o zamówieniu, Zamawiający zamieści ogłoszenie o zmianie ogłoszenia w Biuletynie Zamówień Publicznych. </w:t>
      </w:r>
    </w:p>
    <w:p>
      <w:pPr>
        <w:pStyle w:val="Standard"/>
        <w:tabs>
          <w:tab w:val="clear" w:pos="720"/>
          <w:tab w:val="left" w:pos="142" w:leader="none"/>
        </w:tabs>
        <w:spacing w:before="0" w:after="0"/>
        <w:contextualSpacing/>
        <w:jc w:val="both"/>
        <w:rPr/>
      </w:pPr>
      <w:r>
        <w:rPr/>
        <w:t xml:space="preserve">7. W przypadku rozbieżności pomiędzy treścią niniejszej SWZ a treścią udzielonych odpowiedzi, jako obowiązującą należy przyjąć treść pisma zawierającego późniejsze oświadczenie Zamawiającego. </w:t>
      </w:r>
    </w:p>
    <w:p>
      <w:pPr>
        <w:pStyle w:val="Standard"/>
        <w:tabs>
          <w:tab w:val="clear" w:pos="720"/>
          <w:tab w:val="left" w:pos="142" w:leader="none"/>
        </w:tabs>
        <w:spacing w:before="0" w:after="0"/>
        <w:contextualSpacing/>
        <w:jc w:val="both"/>
        <w:rPr/>
      </w:pPr>
      <w:r>
        <w:rPr/>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Calibri"/>
          <w:b/>
          <w:bCs/>
          <w:kern w:val="0"/>
          <w:lang w:eastAsia="en-US"/>
        </w:rPr>
        <w:t>XIII. WYMAGANIA DOTYCZĄCE WADIUM:</w:t>
      </w:r>
    </w:p>
    <w:p>
      <w:pPr>
        <w:pStyle w:val="Domylnie"/>
        <w:tabs>
          <w:tab w:val="clear" w:pos="720"/>
          <w:tab w:val="left" w:pos="426" w:leader="none"/>
        </w:tabs>
        <w:spacing w:lineRule="auto" w:line="240" w:before="0" w:after="120"/>
        <w:contextualSpacing/>
        <w:jc w:val="both"/>
        <w:rPr>
          <w:color w:val="auto"/>
          <w:lang w:val="pl-PL"/>
        </w:rPr>
      </w:pPr>
      <w:r>
        <w:rPr>
          <w:rFonts w:cs="Times New Roman" w:ascii="Times New Roman" w:hAnsi="Times New Roman"/>
          <w:color w:val="auto"/>
          <w:lang w:val="pl-PL"/>
        </w:rPr>
        <w:t xml:space="preserve">1. Wykonawca zobowiązany jest do zabezpieczenia swojej oferty wadium w wysokości: </w:t>
        <w:br/>
      </w:r>
      <w:r>
        <w:rPr>
          <w:rFonts w:cs="Times New Roman" w:ascii="Times New Roman" w:hAnsi="Times New Roman"/>
          <w:b/>
          <w:bCs/>
          <w:color w:val="auto"/>
          <w:lang w:val="pl-PL"/>
        </w:rPr>
        <w:t>150 000,00 zł</w:t>
      </w:r>
      <w:r>
        <w:rPr>
          <w:rFonts w:cs="Times New Roman" w:ascii="Times New Roman" w:hAnsi="Times New Roman"/>
          <w:color w:val="auto"/>
          <w:lang w:val="pl-PL"/>
        </w:rPr>
        <w:t xml:space="preserve"> (słownie: sto pięćdziesiąt tysięcy 00/100 zł).  </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2. Wadium musi być wniesione przed upływem terminu składania ofert w jednej lub kilku następujących formach wymienionych w art. 97 ust 7 ustawy Pzp, w zależności od wyboru Wykonawcy, tj.:</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2.1 pieniądzu;</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2.2 gwarancjach bankowych;</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2.3 gwarancjach ubezpieczeniowych;</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 xml:space="preserve">2.4 poręczeniach udzielanych przez podmioty, o których mowa w art. 6b ust. 5 pkt 2ustawy                    z dnia 9 listopada 2000 r. o utworzeniu Polskiej Agencji Rozwoju Przedsiębiorczości                                  (tj. Dz. U. z 2025 r., poz. 98 ze zm.). </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 xml:space="preserve">3. Wadium wnoszone w pieniądzu winno być wpłacone przelewem na rachunek bankowy Zamawiającego </w:t>
      </w:r>
      <w:r>
        <w:rPr>
          <w:rFonts w:cs="Times New Roman" w:ascii="Times New Roman;serif" w:hAnsi="Times New Roman;serif"/>
          <w:lang w:val="pl-PL"/>
        </w:rPr>
        <w:t>Bank Pekao S.A. 07 1240 4748 1111 0000 4882 6576</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lang w:val="pl-PL"/>
        </w:rPr>
        <w:t xml:space="preserve"> </w:t>
      </w:r>
      <w:r>
        <w:rPr>
          <w:rFonts w:cs="Times New Roman" w:ascii="Times New Roman" w:hAnsi="Times New Roman"/>
          <w:color w:val="auto"/>
          <w:lang w:val="pl-PL"/>
        </w:rPr>
        <w:t xml:space="preserve">z dopiskiem </w:t>
      </w:r>
      <w:r>
        <w:rPr>
          <w:rFonts w:cs="Times New Roman" w:ascii="Times New Roman" w:hAnsi="Times New Roman"/>
          <w:lang w:val="pl-PL"/>
        </w:rPr>
        <w:t>„Wadium – nr i nazwa postępowania</w:t>
      </w:r>
      <w:r>
        <w:rPr>
          <w:rFonts w:cs="Times New Roman" w:ascii="Times New Roman" w:hAnsi="Times New Roman"/>
          <w:color w:val="auto"/>
          <w:lang w:val="pl-PL"/>
        </w:rPr>
        <w:t>” najpóźniej przed upływem terminu składania ofert.</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UWAGA: Za skutecznie wniesione wadium w pieniądzu, Zamawiający uzna wadium, które                  w oznaczonym terminie (przed upływem terminu składania ofert) znajdzie się na rachunku bankowym Zamawiającego (decyduje data i godzina uznania rachunku Zamawiającego).</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4. Wadium wnoszone w formie poręczeń lub gwarancji musi być złożone jako oryginał           gwarancji lub poręczenia w postaci elektronicznej i spełniać co najmniej poniższe wymagania:</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4.1 musi obejmować odpowiedzialność za wszystkie przypadki powodujące utratę wadium przez Wykonawcę określone w ustawie Pzp;</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4.2 z jej treści powinno jednoznacznie wynikać zobowiązanie gwaranta do zapłaty całej kwoty wadium;</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4.3 powinno być nieodwołalne i bezwarunkowe oraz płatne na pierwsze żądanie;</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 xml:space="preserve">4.4 termin obowiązywania poręczenia lub gwarancji nie może być krótszy niż termin związania ofertą (z zastrzeżeniem iż pierwszym dniem związania ofertą jest dzień składania ofert); </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4.5 w treści poręczenia lub gwarancji powinna znaleźć się nazwa oraz numer                                     przedmiotowego postępowania;</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4.6 beneficjentem poręczenia lub gwarancji jest: Wojewódzki Szpital Psychiatryczny                             w Andrychowie 34-120, ul. J. Dąbrowskiego 19;</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 xml:space="preserve">4.7 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 </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 xml:space="preserve">5. Oferta Wykonawcy, który nie wniesie wadium, wniesie wadium w sposób nieprawidłowy lub nie utrzyma wadium, zostanie odrzucona na podstawie art. 226 ust. 1 pkt 14 ustawy Pzp. </w:t>
      </w:r>
    </w:p>
    <w:p>
      <w:pPr>
        <w:pStyle w:val="Domylnie"/>
        <w:tabs>
          <w:tab w:val="clear" w:pos="720"/>
          <w:tab w:val="left" w:pos="426" w:leader="none"/>
        </w:tabs>
        <w:spacing w:lineRule="auto" w:line="240" w:before="0" w:after="120"/>
        <w:contextualSpacing/>
        <w:jc w:val="both"/>
        <w:rPr>
          <w:rFonts w:ascii="Times New Roman" w:hAnsi="Times New Roman" w:cs="Times New Roman"/>
          <w:b/>
          <w:bCs/>
          <w:color w:val="auto"/>
          <w:lang w:val="pl-PL"/>
        </w:rPr>
      </w:pPr>
      <w:r>
        <w:rPr>
          <w:rFonts w:cs="Times New Roman" w:ascii="Times New Roman" w:hAnsi="Times New Roman"/>
          <w:b/>
          <w:bCs/>
          <w:color w:val="auto"/>
          <w:lang w:val="pl-PL"/>
        </w:rPr>
        <w:t xml:space="preserve">6. Potwierdzenie wniesienia wadium musi być dołączone do oferty – dotyczy wadium wnoszonego w formie innej niż pieniądz. </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7. Zamawiający zwraca wadium zgodnie z warunkami określonymi w art. 98 ustawy Pzp.</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 xml:space="preserve">7.1. Wykonawca w formularzu ofertowym stanowiącym </w:t>
      </w:r>
      <w:r>
        <w:rPr>
          <w:rFonts w:cs="Times New Roman" w:ascii="Times New Roman" w:hAnsi="Times New Roman"/>
          <w:i/>
          <w:iCs/>
          <w:color w:val="auto"/>
          <w:lang w:val="pl-PL"/>
        </w:rPr>
        <w:t>Załącznik nr 2 do SWZ</w:t>
      </w:r>
      <w:r>
        <w:rPr>
          <w:rFonts w:cs="Times New Roman" w:ascii="Times New Roman" w:hAnsi="Times New Roman"/>
          <w:color w:val="auto"/>
          <w:lang w:val="pl-PL"/>
        </w:rPr>
        <w:t xml:space="preserve">, zobowiązany jest do podania adresu mailowego poręczyciela lub gwaranta, na który Zamawiający zwróci wadium wniesione w innej formie niż pieniężnej. Zgodnie z art. 98 ust. 5 Pzp „Zamawiający zwraca wadium wniesione w innej formie niż w pieniądzu poprzez złożenie gwarantowi lub poręczycielowi oświadczenia o zwolnieniu wadium.” </w:t>
      </w:r>
      <w:r>
        <w:rPr>
          <w:rFonts w:cs="Times New Roman" w:ascii="Times New Roman" w:hAnsi="Times New Roman"/>
          <w:color w:val="auto"/>
          <w:u w:val="single"/>
          <w:lang w:val="pl-PL"/>
        </w:rPr>
        <w:t xml:space="preserve">Podany adres nie może być adresem mailowym Wykonawcy.   </w:t>
      </w:r>
    </w:p>
    <w:p>
      <w:pPr>
        <w:pStyle w:val="Domylnie"/>
        <w:tabs>
          <w:tab w:val="clear" w:pos="720"/>
          <w:tab w:val="left" w:pos="426" w:leader="none"/>
        </w:tabs>
        <w:spacing w:lineRule="auto" w:line="240" w:before="0" w:after="120"/>
        <w:contextualSpacing/>
        <w:jc w:val="both"/>
        <w:rPr>
          <w:rFonts w:ascii="Times New Roman" w:hAnsi="Times New Roman" w:cs="Times New Roman"/>
          <w:color w:val="auto"/>
          <w:lang w:val="pl-PL"/>
        </w:rPr>
      </w:pPr>
      <w:r>
        <w:rPr>
          <w:rFonts w:cs="Times New Roman" w:ascii="Times New Roman" w:hAnsi="Times New Roman"/>
          <w:color w:val="auto"/>
          <w:lang w:val="pl-PL"/>
        </w:rPr>
        <w:t xml:space="preserve">8. Zamawiający zatrzymuje wadium na warunkach określonych w art. 98 ust. 6 ustawy Pzp. </w:t>
      </w:r>
    </w:p>
    <w:p>
      <w:pPr>
        <w:pStyle w:val="Standard"/>
        <w:tabs>
          <w:tab w:val="clear" w:pos="720"/>
          <w:tab w:val="left" w:pos="142" w:leader="none"/>
        </w:tabs>
        <w:spacing w:before="0" w:after="0"/>
        <w:contextualSpacing/>
        <w:jc w:val="both"/>
        <w:rPr>
          <w:rFonts w:eastAsia="Calibri"/>
        </w:rPr>
      </w:pPr>
      <w:r>
        <w:rPr>
          <w:rFonts w:eastAsia="Calibri"/>
        </w:rPr>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Calibri"/>
          <w:b/>
          <w:bCs/>
          <w:kern w:val="0"/>
          <w:lang w:eastAsia="en-US"/>
        </w:rPr>
        <w:t>XIV. TERMIN ZWIĄZANIA OFERTĄ:</w:t>
      </w:r>
    </w:p>
    <w:p>
      <w:pPr>
        <w:pStyle w:val="Standard"/>
        <w:tabs>
          <w:tab w:val="clear" w:pos="720"/>
          <w:tab w:val="left" w:pos="142" w:leader="none"/>
        </w:tabs>
        <w:spacing w:before="0" w:after="0"/>
        <w:contextualSpacing/>
        <w:jc w:val="both"/>
        <w:rPr>
          <w:color w:val="FF0000"/>
        </w:rPr>
      </w:pPr>
      <w:r>
        <w:rPr>
          <w:rFonts w:eastAsia="Calibri"/>
        </w:rPr>
        <w:t>1. Wykonawca jest związany ofertą przez okres 30 dni,</w:t>
      </w:r>
      <w:r>
        <w:rPr>
          <w:rFonts w:eastAsia="Calibri"/>
          <w:color w:val="000000"/>
          <w:shd w:fill="FFC000" w:val="clear"/>
        </w:rPr>
        <w:t xml:space="preserve"> </w:t>
      </w:r>
      <w:r>
        <w:rPr>
          <w:rFonts w:eastAsia="Calibri"/>
          <w:b/>
          <w:bCs/>
          <w:color w:val="000000"/>
          <w:shd w:fill="FFC000" w:val="clear"/>
        </w:rPr>
        <w:t>tj. do dnia 05.06.2026 r</w:t>
      </w:r>
      <w:r>
        <w:rPr>
          <w:rFonts w:eastAsia="Calibri"/>
          <w:b/>
          <w:bCs/>
          <w:color w:val="000000"/>
        </w:rPr>
        <w:t xml:space="preserve">.       </w:t>
      </w:r>
    </w:p>
    <w:p>
      <w:pPr>
        <w:pStyle w:val="Standard"/>
        <w:tabs>
          <w:tab w:val="clear" w:pos="720"/>
          <w:tab w:val="left" w:pos="142" w:leader="none"/>
        </w:tabs>
        <w:spacing w:before="0" w:after="0"/>
        <w:contextualSpacing/>
        <w:jc w:val="both"/>
        <w:rPr>
          <w:rFonts w:eastAsia="Calibri"/>
        </w:rPr>
      </w:pPr>
      <w:r>
        <w:rPr>
          <w:rFonts w:eastAsia="Calibri"/>
        </w:rPr>
        <w:t xml:space="preserve">2. Bieg terminu związania ofertą rozpoczyna się wraz z upływem terminu składania ofert. </w:t>
      </w:r>
    </w:p>
    <w:p>
      <w:pPr>
        <w:pStyle w:val="Standard"/>
        <w:tabs>
          <w:tab w:val="clear" w:pos="720"/>
          <w:tab w:val="left" w:pos="142" w:leader="none"/>
        </w:tabs>
        <w:spacing w:before="0" w:after="0"/>
        <w:contextualSpacing/>
        <w:jc w:val="both"/>
        <w:rPr>
          <w:rFonts w:eastAsia="Calibri"/>
        </w:rPr>
      </w:pPr>
      <w:r>
        <w:rPr>
          <w:rFonts w:eastAsia="Calibri"/>
        </w:rPr>
        <w:t>3. W przypadku, gdy wybór najkorzystniejszej oferty nie nastąpi przed upływem terminu związania ofertą wskazanego w pkt. 1, Zamawiający, zgodnie z art. 307 ust. 2 ustawy Pzp,                                        przed upływem terminu związania ofertą, zwraca się jednokrotnie do Wykonawców                                               o wyrażenie zgody na przedłużenie tego terminu o wskazany przez Zamawiającego okres, jednak nie dłuższy niż 30 dni.</w:t>
      </w:r>
    </w:p>
    <w:p>
      <w:pPr>
        <w:pStyle w:val="Standard"/>
        <w:tabs>
          <w:tab w:val="clear" w:pos="720"/>
          <w:tab w:val="left" w:pos="142" w:leader="none"/>
        </w:tabs>
        <w:spacing w:before="0" w:after="0"/>
        <w:contextualSpacing/>
        <w:jc w:val="both"/>
        <w:rPr>
          <w:rFonts w:eastAsia="Calibri"/>
        </w:rPr>
      </w:pPr>
      <w:r>
        <w:rPr>
          <w:rFonts w:eastAsia="Calibri"/>
        </w:rPr>
        <w:t>4. Przedłużenie terminu związania ofertą, o którym mowa w pkt. 3 powyżej, wymaga złożenia przez Wykonawcę pisemnego oświadczenia o wyrażeniu zgody na przedłużenie terminu związania ofertą.</w:t>
      </w:r>
    </w:p>
    <w:p>
      <w:pPr>
        <w:pStyle w:val="Standard"/>
        <w:tabs>
          <w:tab w:val="clear" w:pos="720"/>
          <w:tab w:val="left" w:pos="142" w:leader="none"/>
        </w:tabs>
        <w:spacing w:before="0" w:after="0"/>
        <w:contextualSpacing/>
        <w:jc w:val="both"/>
        <w:rPr>
          <w:rFonts w:eastAsia="Calibri"/>
        </w:rPr>
      </w:pPr>
      <w:r>
        <w:rPr>
          <w:rFonts w:eastAsia="Calibri"/>
        </w:rPr>
      </w:r>
    </w:p>
    <w:p>
      <w:pPr>
        <w:pStyle w:val="Standard"/>
        <w:shd w:val="clear" w:color="auto" w:fill="E5E5E5"/>
        <w:tabs>
          <w:tab w:val="clear" w:pos="720"/>
          <w:tab w:val="left" w:pos="142" w:leader="none"/>
        </w:tabs>
        <w:suppressAutoHyphens w:val="false"/>
        <w:spacing w:before="0" w:after="0"/>
        <w:contextualSpacing/>
        <w:jc w:val="both"/>
        <w:textAlignment w:val="auto"/>
        <w:rPr/>
      </w:pPr>
      <w:r>
        <w:rPr>
          <w:rFonts w:eastAsia="Calibri"/>
          <w:b/>
          <w:bCs/>
          <w:kern w:val="0"/>
          <w:lang w:eastAsia="en-US"/>
        </w:rPr>
        <w:t>XV. OPIS SPOSOBU PRZYGOTOWANIA OFERT:</w:t>
      </w:r>
    </w:p>
    <w:p>
      <w:pPr>
        <w:pStyle w:val="Normalny3"/>
        <w:suppressAutoHyphens w:val="false"/>
        <w:spacing w:lineRule="auto" w:line="240" w:before="0" w:after="0"/>
        <w:contextualSpacing/>
        <w:jc w:val="both"/>
        <w:textAlignment w:val="auto"/>
        <w:rPr>
          <w:rFonts w:ascii="Times New Roman" w:hAnsi="Times New Roman" w:eastAsia="Calibri" w:cs="Times New Roman"/>
        </w:rPr>
      </w:pPr>
      <w:r>
        <w:rPr>
          <w:rFonts w:cs="Times New Roman" w:ascii="Times New Roman" w:hAnsi="Times New Roman"/>
        </w:rPr>
        <w:t xml:space="preserve">1. </w:t>
      </w:r>
      <w:r>
        <w:rPr>
          <w:rFonts w:eastAsia="Calibri" w:cs="Times New Roman" w:ascii="Times New Roman" w:hAnsi="Times New Roman"/>
        </w:rPr>
        <w:t>Oferta, wniosek, podmiotowe oraz przedmiotowe środki dowodowe (jeżeli były                        wymagane) składane są pod rygorem nieważności w formie elektronicznej opatrzonej                  kwalifikowanym podpisem elektronicznym lub w postaci elektronicznej opatrzonej podpisem zaufanym lub podpisem osobistym. W procesie składania oferty, wniosku w tym                         przedmiotowych środków dowodowych na platformie, kwalifikowany podpis elektroniczny, podpis zaufany lub podpis osobisty wykonawca składa bezpośrednio na dokumencie, który następnie przesyła do systemu</w:t>
      </w:r>
      <w:r>
        <w:rPr>
          <w:rStyle w:val="FootnoteReference"/>
          <w:rFonts w:cs="Times New Roman" w:ascii="Times New Roman" w:hAnsi="Times New Roman"/>
        </w:rPr>
        <w:footnoteReference w:id="2"/>
      </w:r>
      <w:r>
        <w:rPr>
          <w:rFonts w:eastAsia="Calibri" w:cs="Times New Roman" w:ascii="Times New Roman" w:hAnsi="Times New Roman"/>
        </w:rPr>
        <w:t xml:space="preserve"> (</w:t>
      </w:r>
      <w:r>
        <w:rPr>
          <w:rFonts w:eastAsia="Calibri" w:cs="Times New Roman" w:ascii="Times New Roman" w:hAnsi="Times New Roman"/>
          <w:b/>
        </w:rPr>
        <w:t xml:space="preserve">opcja rekomendowana </w:t>
      </w:r>
      <w:r>
        <w:rPr>
          <w:rFonts w:eastAsia="Calibri" w:cs="Times New Roman" w:ascii="Times New Roman" w:hAnsi="Times New Roman"/>
        </w:rPr>
        <w:t>przez</w:t>
      </w:r>
      <w:r>
        <w:rPr>
          <w:rFonts w:eastAsia="Calibri" w:cs="Times New Roman" w:ascii="Times New Roman" w:hAnsi="Times New Roman"/>
          <w:b/>
        </w:rPr>
        <w:t xml:space="preserve"> </w:t>
      </w:r>
      <w:hyperlink r:id="rId17">
        <w:r>
          <w:rPr>
            <w:rStyle w:val="Style1"/>
            <w:rFonts w:eastAsia="Calibri" w:cs="Times New Roman" w:ascii="Times New Roman" w:hAnsi="Times New Roman"/>
            <w:b/>
            <w:u w:val="single"/>
          </w:rPr>
          <w:t>platformazakupowa.pl</w:t>
        </w:r>
      </w:hyperlink>
      <w:r>
        <w:rPr>
          <w:rFonts w:eastAsia="Calibri" w:cs="Times New Roman" w:ascii="Times New Roman" w:hAnsi="Times New Roman"/>
        </w:rPr>
        <w:t>).</w:t>
      </w:r>
    </w:p>
    <w:p>
      <w:pPr>
        <w:pStyle w:val="Normalny1"/>
        <w:widowControl/>
        <w:suppressAutoHyphens w:val="false"/>
        <w:spacing w:lineRule="auto" w:line="240" w:before="0" w:after="0"/>
        <w:contextualSpacing/>
        <w:jc w:val="both"/>
        <w:textAlignment w:val="auto"/>
        <w:rPr>
          <w:rFonts w:ascii="Times New Roman" w:hAnsi="Times New Roman" w:cs="Times New Roman"/>
        </w:rPr>
      </w:pPr>
      <w:r>
        <w:rPr>
          <w:rFonts w:cs="Times New Roman" w:ascii="Times New Roman" w:hAnsi="Times New Roman"/>
        </w:rPr>
        <w:t>2.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opatrzony                                   kwalifikowanym podpisem elektronicznym lub podpisem zaufanym lub podpisem osobistym przez osobę/osoby upoważnioną/upoważnione. Poświadczenie za zgodność z oryginałem     następuje w formie elektronicznej opatrzone kwalifikowanym podpisem elektronicznym lub                w postaci elektronicznej opatrzonej podpisem zaufanym lub podpisem osobistym przez  sobę/osoby upoważnioną/upoważnione.</w:t>
      </w:r>
    </w:p>
    <w:p>
      <w:pPr>
        <w:pStyle w:val="Normalny1"/>
        <w:widowControl/>
        <w:suppressAutoHyphens w:val="false"/>
        <w:spacing w:lineRule="auto" w:line="240" w:before="0" w:after="0"/>
        <w:contextualSpacing/>
        <w:jc w:val="both"/>
        <w:textAlignment w:val="auto"/>
        <w:rPr>
          <w:rFonts w:ascii="Times New Roman" w:hAnsi="Times New Roman" w:cs="Times New Roman"/>
          <w:b/>
          <w:bCs/>
          <w:u w:val="single"/>
        </w:rPr>
      </w:pPr>
      <w:r>
        <w:rPr>
          <w:rFonts w:cs="Times New Roman" w:ascii="Times New Roman" w:hAnsi="Times New Roman"/>
          <w:b/>
          <w:bCs/>
          <w:u w:val="single"/>
        </w:rPr>
        <w:t>3. Oferta powinna być:</w:t>
      </w:r>
    </w:p>
    <w:p>
      <w:pPr>
        <w:pStyle w:val="Normalny1"/>
        <w:widowControl/>
        <w:suppressAutoHyphens w:val="false"/>
        <w:spacing w:lineRule="auto" w:line="240" w:before="0" w:after="0"/>
        <w:contextualSpacing/>
        <w:jc w:val="both"/>
        <w:textAlignment w:val="auto"/>
        <w:rPr>
          <w:rFonts w:ascii="Times New Roman" w:hAnsi="Times New Roman" w:cs="Times New Roman"/>
        </w:rPr>
      </w:pPr>
      <w:r>
        <w:rPr>
          <w:rFonts w:cs="Times New Roman" w:ascii="Times New Roman" w:hAnsi="Times New Roman"/>
        </w:rPr>
        <w:t>3.1. sporządzona w języku polskim, na podstawie załączników zawartych w SWZ                                              i zgodnie z treścią w nich zawartą. Zamawiający dopuszcza, aby Wykonawca sporządził                                           i złożył ofertę wraz z załącznikami na własnych formularzach pod warunkiem, że będą one                         identyczne co do treści z formularzami określonymi przez Zamawiającego;</w:t>
      </w:r>
    </w:p>
    <w:p>
      <w:pPr>
        <w:pStyle w:val="Normalny1"/>
        <w:widowControl/>
        <w:suppressAutoHyphens w:val="false"/>
        <w:spacing w:lineRule="auto" w:line="240" w:before="0" w:after="0"/>
        <w:contextualSpacing/>
        <w:jc w:val="both"/>
        <w:textAlignment w:val="auto"/>
        <w:rPr>
          <w:rFonts w:ascii="Times New Roman" w:hAnsi="Times New Roman" w:cs="Times New Roman"/>
        </w:rPr>
      </w:pPr>
      <w:r>
        <w:rPr>
          <w:rFonts w:cs="Times New Roman" w:ascii="Times New Roman" w:hAnsi="Times New Roman"/>
        </w:rPr>
        <w:t xml:space="preserve">3.2. złożona przy użyciu środków komunikacji elektronicznej, za pośrednictwem                                         </w:t>
      </w:r>
      <w:r>
        <w:rPr>
          <w:rFonts w:cs="Times New Roman" w:ascii="Times New Roman" w:hAnsi="Times New Roman"/>
          <w:u w:val="single"/>
        </w:rPr>
        <w:t>platformazakupowa.pl</w:t>
      </w:r>
      <w:r>
        <w:rPr>
          <w:rFonts w:cs="Times New Roman" w:ascii="Times New Roman" w:hAnsi="Times New Roman"/>
        </w:rPr>
        <w:t xml:space="preserve">; </w:t>
      </w:r>
    </w:p>
    <w:p>
      <w:pPr>
        <w:pStyle w:val="Standard"/>
        <w:tabs>
          <w:tab w:val="clear" w:pos="720"/>
          <w:tab w:val="left" w:pos="142" w:leader="none"/>
        </w:tabs>
        <w:spacing w:before="0" w:after="0"/>
        <w:contextualSpacing/>
        <w:jc w:val="both"/>
        <w:rPr>
          <w:rFonts w:eastAsia="Calibri"/>
        </w:rPr>
      </w:pPr>
      <w:r>
        <w:rPr>
          <w:rFonts w:eastAsia="Calibri"/>
        </w:rPr>
        <w:t>3.3. opatrzona kwalifikowanym podpisem elektronicznym lub podpisem zaufanym lub podpisem osobistym przez osobę/osoby upoważnioną/upoważnione do reprezentacji Wykonawcy.</w:t>
      </w:r>
    </w:p>
    <w:p>
      <w:pPr>
        <w:pStyle w:val="Standard"/>
        <w:tabs>
          <w:tab w:val="clear" w:pos="720"/>
          <w:tab w:val="left" w:pos="142" w:leader="none"/>
        </w:tabs>
        <w:spacing w:before="0" w:after="0"/>
        <w:contextualSpacing/>
        <w:jc w:val="both"/>
        <w:rPr/>
      </w:pPr>
      <w:r>
        <w:rPr>
          <w:rFonts w:eastAsia="Calibri"/>
        </w:rPr>
        <w:t>4. 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pPr>
        <w:pStyle w:val="Standard"/>
        <w:tabs>
          <w:tab w:val="clear" w:pos="720"/>
          <w:tab w:val="left" w:pos="142" w:leader="none"/>
        </w:tabs>
        <w:spacing w:before="0" w:after="0"/>
        <w:contextualSpacing/>
        <w:jc w:val="both"/>
        <w:rPr/>
      </w:pPr>
      <w:r>
        <w:rPr>
          <w:rFonts w:eastAsia="Calibri"/>
        </w:rPr>
        <w:t>5. W przypadku wykorzystania formatu podpisu XAdES zewnętrzny, Zamawiający wymaga dołączenia odpowiedniej ilości plików tj. podpisywanych plików z danymi oraz plików podpisuw formacie XadES.</w:t>
      </w:r>
    </w:p>
    <w:p>
      <w:pPr>
        <w:pStyle w:val="Standard"/>
        <w:tabs>
          <w:tab w:val="clear" w:pos="720"/>
          <w:tab w:val="left" w:pos="142" w:leader="none"/>
        </w:tabs>
        <w:spacing w:before="0" w:after="0"/>
        <w:contextualSpacing/>
        <w:jc w:val="both"/>
        <w:rPr/>
      </w:pPr>
      <w:r>
        <w:rPr>
          <w:rFonts w:eastAsia="Calibri"/>
        </w:rPr>
        <w:t xml:space="preserve">6. Zgodnie z art. 18 ust. 3 ustawy Pzp, nie ujawnia się informacji stanowiących tajemnicę przedsiębiorstwa, w rozumieniu przepisów o zwalczaniu nieuczciwej konkurencji. Wykonawca, nie później niż w terminie składania ofert, winien zaznaczyć w sposób niebudzący wątpliwości, że informacje te nie mogą być udostępniane oraz wykazać, poprzez załączenie stosownego wyjaśnienia, iż zastrzeżone informacje stanowią tajemnicę przedsiębiorstwa. </w:t>
      </w:r>
      <w:r>
        <w:rPr>
          <w:rFonts w:eastAsia="Calibri"/>
          <w:b/>
          <w:bCs/>
        </w:rPr>
        <w:t>Na platformie w formularzu składania oferty znajduje się miejsce wyznaczone do dołączenia części oferty stanowiącej tajemnicę przedsiębiorstwa.</w:t>
      </w:r>
    </w:p>
    <w:p>
      <w:pPr>
        <w:pStyle w:val="Standard"/>
        <w:tabs>
          <w:tab w:val="clear" w:pos="720"/>
          <w:tab w:val="left" w:pos="142" w:leader="none"/>
        </w:tabs>
        <w:spacing w:before="0" w:after="0"/>
        <w:contextualSpacing/>
        <w:jc w:val="both"/>
        <w:rPr/>
      </w:pPr>
      <w:r>
        <w:rPr>
          <w:rFonts w:eastAsia="Calibri"/>
        </w:rPr>
        <w:t xml:space="preserve">7. Wykonawca, za pośrednictwem </w:t>
      </w:r>
      <w:hyperlink r:id="rId18">
        <w:r>
          <w:rPr>
            <w:rStyle w:val="Style1"/>
            <w:rFonts w:eastAsia="Calibri"/>
            <w:u w:val="single"/>
          </w:rPr>
          <w:t>platformazakupowa.pl</w:t>
        </w:r>
      </w:hyperlink>
      <w:r>
        <w:rPr>
          <w:rFonts w:eastAsia="Calibri"/>
        </w:rPr>
        <w:t xml:space="preserve"> może przed upływem terminu składania ofert zmienić lub wycofać ofertę. Sposób dokonywania zmiany lub wycofania oferty zamieszczono w instrukcji zamieszczonej na stronie internetowej pod adresem:</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u w:val="single"/>
        </w:rPr>
        <w:t>https://platformazakupowa.pl/strona/instrukcje-wykonawca</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8. Każdy z Wykonawców może złożyć tylko jedną ofertę. Złożenie większej liczby ofert lub oferty zawierającej propozycje wariantowe spowoduje ich odrzucenie.</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 xml:space="preserve">9. Cena oferty musi zawierać wszystkie koszty, jakie ponosi Wykonawca aby z należytą starannością zrealizować zamówienie. </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 xml:space="preserve">10. Dokumenty i oświadczenia składane przez Wykonawcę powinny być sporządzone                                        w języku polskim. W przypadku  załączenia dokumentów sporządzonych w innym języku niż język polski, Wykonawca zobowiązany jest załączyć tłumaczenie. </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11. 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12. Maksymalny rozmiar jednego pliku przesyłanego za pośrednictwem dedykowanych formularzy do złożenia, zmiany, wycofania oferty wynosi 150 MB, natomiast przy komunikacji wielkość pliku to maksymalnie 500 MB.</w:t>
      </w:r>
    </w:p>
    <w:p>
      <w:pPr>
        <w:pStyle w:val="Normalny1"/>
        <w:spacing w:lineRule="auto" w:line="240" w:before="0" w:after="0"/>
        <w:contextualSpacing/>
        <w:jc w:val="both"/>
        <w:rPr>
          <w:color w:val="000000"/>
        </w:rPr>
      </w:pPr>
      <w:r>
        <w:rPr>
          <w:rFonts w:cs="Times New Roman" w:ascii="Times New Roman" w:hAnsi="Times New Roman"/>
          <w:b/>
          <w:bCs/>
          <w:color w:val="000000"/>
          <w:u w:val="single"/>
        </w:rPr>
        <w:t xml:space="preserve">13. Dokumenty składające się na ofertę: </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 xml:space="preserve">13.1 Formularz ofertowy – sporządzony według wzoru stanowiącego </w:t>
      </w:r>
      <w:r>
        <w:rPr>
          <w:rFonts w:cs="Times New Roman" w:ascii="Times New Roman" w:hAnsi="Times New Roman"/>
          <w:i/>
          <w:iCs/>
        </w:rPr>
        <w:t>Załącznik nr 2 do SWZ;</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 xml:space="preserve">13.2 Oświadczenie dotyczące braku podstaw do wykluczenia z postępowania – sporządzone według wzoru stanowiącego </w:t>
      </w:r>
      <w:r>
        <w:rPr>
          <w:rFonts w:cs="Times New Roman" w:ascii="Times New Roman" w:hAnsi="Times New Roman"/>
          <w:i/>
          <w:iCs/>
        </w:rPr>
        <w:t>Załącznik nr 3 do SWZ;</w:t>
      </w:r>
      <w:r>
        <w:rPr>
          <w:rFonts w:cs="Times New Roman" w:ascii="Times New Roman" w:hAnsi="Times New Roman"/>
        </w:rPr>
        <w:t xml:space="preserve"> </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 xml:space="preserve">13.3 Oświadczenie dotyczące spełniania warunków udziału w postępowaniu – sporządzone według wzoru stanowiącego </w:t>
      </w:r>
      <w:r>
        <w:rPr>
          <w:rFonts w:cs="Times New Roman" w:ascii="Times New Roman" w:hAnsi="Times New Roman"/>
          <w:i/>
          <w:iCs/>
        </w:rPr>
        <w:t>Załącznik nr 4 do SWZ;</w:t>
      </w:r>
      <w:r>
        <w:rPr>
          <w:rFonts w:cs="Times New Roman" w:ascii="Times New Roman" w:hAnsi="Times New Roman"/>
        </w:rPr>
        <w:t xml:space="preserve"> </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13.4 Zobowiązanie podmiotu udostępniającego zasoby - w przypadku, gdy Wykonawca polega na zdolnościach podmiotu udostępniającego zasoby w celu potwierdzenia spełniania warunków udziału w postępowaniu wraz z pełnomocnictwami, jeżeli prawo do podpisania danego zobowiązania nie wynika ze złożonych dokumentów – sporządzone według wzoru stanowiącego</w:t>
      </w:r>
      <w:r>
        <w:rPr>
          <w:rFonts w:cs="Times New Roman" w:ascii="Times New Roman" w:hAnsi="Times New Roman"/>
          <w:b/>
          <w:bCs/>
          <w:i/>
          <w:iCs/>
        </w:rPr>
        <w:t xml:space="preserve"> </w:t>
      </w:r>
      <w:r>
        <w:rPr>
          <w:rFonts w:cs="Times New Roman" w:ascii="Times New Roman" w:hAnsi="Times New Roman"/>
          <w:i/>
          <w:iCs/>
        </w:rPr>
        <w:t>Załącznik nr 5 do SWZ;</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13.5 Oświadczenie Wykonawców wspólnie ubiegających się o udzielenie zamówienia,                           o którym mowa w art. 117 ust. 4 ustawy Pzp – sporządzone według wzoru stanowiącego</w:t>
      </w:r>
      <w:r>
        <w:rPr>
          <w:rFonts w:cs="Times New Roman" w:ascii="Times New Roman" w:hAnsi="Times New Roman"/>
          <w:b/>
          <w:bCs/>
          <w:i/>
          <w:iCs/>
        </w:rPr>
        <w:t xml:space="preserve">   Z</w:t>
      </w:r>
      <w:r>
        <w:rPr>
          <w:rFonts w:cs="Times New Roman" w:ascii="Times New Roman" w:hAnsi="Times New Roman"/>
          <w:i/>
          <w:iCs/>
        </w:rPr>
        <w:t>ałącznik nr 6 do SWZ;</w:t>
      </w:r>
    </w:p>
    <w:p>
      <w:pPr>
        <w:pStyle w:val="Normalny1"/>
        <w:spacing w:lineRule="auto" w:line="240" w:before="0" w:after="0"/>
        <w:contextualSpacing/>
        <w:jc w:val="both"/>
        <w:rPr>
          <w:rFonts w:ascii="Times New Roman" w:hAnsi="Times New Roman" w:cs="Times New Roman"/>
        </w:rPr>
      </w:pPr>
      <w:r>
        <w:rPr>
          <w:rFonts w:cs="Times New Roman" w:ascii="Times New Roman" w:hAnsi="Times New Roman"/>
        </w:rPr>
        <w:t xml:space="preserve">13.6 Pełnomocnictwo lub inny dokument potwierdzający umocowanie do reprezentowania Wykonawcy – </w:t>
      </w:r>
      <w:r>
        <w:rPr>
          <w:rFonts w:cs="Times New Roman" w:ascii="Times New Roman" w:hAnsi="Times New Roman"/>
          <w:i/>
          <w:iCs/>
        </w:rPr>
        <w:t>w przypadku, gdy Wykonawca działa przez pełnomocnika;</w:t>
      </w:r>
    </w:p>
    <w:p>
      <w:pPr>
        <w:pStyle w:val="ListParagraph"/>
        <w:spacing w:before="0" w:after="0"/>
        <w:ind w:left="0"/>
        <w:contextualSpacing/>
        <w:jc w:val="both"/>
        <w:rPr/>
      </w:pPr>
      <w:r>
        <w:rPr>
          <w:rFonts w:eastAsia="Arial"/>
        </w:rPr>
        <w:t xml:space="preserve">13.7 W przypadku Wykonawców wspólnie ubiegających się o udzielenie zamówienia,                              pełnomocnictwo lub inny dokument potwierdzający umocowanie do reprezentowania                           wszystkich Wykonawców wspólnie ubiegających się o udzielenie zamówienia (np. umowa                        o współdziałaniu). Pełnomocnik może być ustanowiony do reprezentowania Wykonawców                        w postępowaniu albo do reprezentowania w postępowaniu i zawarcia umowy. </w:t>
      </w:r>
    </w:p>
    <w:p>
      <w:pPr>
        <w:pStyle w:val="ListParagraph"/>
        <w:spacing w:before="0" w:after="0"/>
        <w:ind w:left="0"/>
        <w:contextualSpacing/>
        <w:jc w:val="both"/>
        <w:rPr/>
      </w:pPr>
      <w:r>
        <w:rPr>
          <w:rFonts w:eastAsia="Arial"/>
          <w:bCs/>
        </w:rPr>
        <w:t xml:space="preserve">14. </w:t>
      </w:r>
      <w:r>
        <w:rPr>
          <w:rFonts w:eastAsia="Arial"/>
        </w:rPr>
        <w:t>Treść złożonej oferty musi odpowiadać treści SWZ. Zamawiający zaleca aby przy                                   sporządzeniu oferty, Wykonawca skorzystał z wzorów przygotowanych przez Zamawiającego.</w:t>
      </w:r>
      <w:r>
        <w:rPr>
          <w:rFonts w:eastAsia="Arial"/>
          <w:b/>
          <w:bCs/>
        </w:rPr>
        <w:t xml:space="preserve"> </w:t>
      </w:r>
      <w:r>
        <w:rPr>
          <w:rFonts w:eastAsia="Arial"/>
          <w:bCs/>
        </w:rPr>
        <w:t xml:space="preserve">Wykonawca może przedstawić ofertę na swoich formularzach z zastrzeżeniem, że muszą one zawierać wszystkie informacje określone przez Zamawiającego w SWZ. </w:t>
      </w:r>
    </w:p>
    <w:p>
      <w:pPr>
        <w:pStyle w:val="ListParagraph"/>
        <w:spacing w:before="0" w:after="0"/>
        <w:ind w:left="0"/>
        <w:contextualSpacing/>
        <w:jc w:val="both"/>
        <w:rPr/>
      </w:pPr>
      <w:r>
        <w:rPr>
          <w:rFonts w:eastAsia="Arial"/>
          <w:bCs/>
        </w:rPr>
        <w:t xml:space="preserve">15. </w:t>
      </w:r>
      <w:r>
        <w:rPr>
          <w:rFonts w:eastAsia="Arial"/>
        </w:rPr>
        <w:t>Wykonawca ponosi wszelkie koszty związane z przygotowaniem i złożeniem oferty.</w:t>
      </w:r>
    </w:p>
    <w:p>
      <w:pPr>
        <w:pStyle w:val="ListParagraph"/>
        <w:spacing w:before="0" w:after="0"/>
        <w:ind w:left="0"/>
        <w:contextualSpacing/>
        <w:jc w:val="both"/>
        <w:rPr/>
      </w:pPr>
      <w:r>
        <w:rPr>
          <w:rFonts w:eastAsia="Arial"/>
        </w:rPr>
        <w:t xml:space="preserve">16. </w:t>
      </w:r>
      <w:r>
        <w:rPr>
          <w:rFonts w:eastAsia="Arial"/>
          <w:bCs/>
        </w:rPr>
        <w:t xml:space="preserve">Wszelkie pełnomocnictwa winny być załączone do oferty w formie oryginału lub urzędowo poświadczonego odpisu pełnomocnictwa (notarialnie – art. 97 ust. 2 ustawy z dnia 14 lutego 1991 r. – Prawo o Notariacie (tj. Dz. U. z 2024 poz. 1001 ze zm.). </w:t>
      </w:r>
    </w:p>
    <w:p>
      <w:pPr>
        <w:pStyle w:val="ListParagraph"/>
        <w:spacing w:before="0" w:after="0"/>
        <w:ind w:left="0"/>
        <w:contextualSpacing/>
        <w:jc w:val="both"/>
        <w:rPr>
          <w:rFonts w:eastAsia="Arial"/>
          <w:bCs/>
        </w:rPr>
      </w:pPr>
      <w:r>
        <w:rPr>
          <w:rFonts w:eastAsia="Arial"/>
          <w:bCs/>
        </w:rPr>
        <w:t xml:space="preserve">17. Oferta złożona przez Wykonawcę powinna być kompletna, tzn. zawierać wszystkie                      wymagane przez Zamawiającego dokumenty i oświadczenia, o których mowa                                            w niniejszej SWZ. </w:t>
      </w:r>
    </w:p>
    <w:p>
      <w:pPr>
        <w:pStyle w:val="ListParagraph"/>
        <w:spacing w:before="0" w:after="0"/>
        <w:ind w:left="0"/>
        <w:contextualSpacing/>
        <w:jc w:val="both"/>
        <w:rPr>
          <w:rFonts w:eastAsia="Arial"/>
          <w:bCs/>
        </w:rPr>
      </w:pPr>
      <w:r>
        <w:rPr>
          <w:rFonts w:eastAsia="Arial"/>
          <w:bCs/>
        </w:rPr>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Arial"/>
          <w:b/>
          <w:bCs/>
          <w:kern w:val="0"/>
          <w:lang w:eastAsia="en-US"/>
        </w:rPr>
        <w:t>XVI. MIEJSCE ORAZ TERMIN SKŁADANIA I OTWARCIA OFERT:</w:t>
      </w:r>
    </w:p>
    <w:p>
      <w:pPr>
        <w:pStyle w:val="ListParagraph"/>
        <w:spacing w:before="0" w:after="0"/>
        <w:ind w:left="0"/>
        <w:contextualSpacing/>
        <w:jc w:val="both"/>
        <w:rPr/>
      </w:pPr>
      <w:r>
        <w:rPr>
          <w:rFonts w:eastAsia="Arial"/>
          <w:color w:val="000000"/>
        </w:rPr>
        <w:t xml:space="preserve">1. Ofertę należy złożyć za pośrednictwem strony internetowej prowadzonego postępowania                                      dostępnej pod adresem: </w:t>
      </w:r>
      <w:hyperlink r:id="rId19">
        <w:r>
          <w:rPr>
            <w:rStyle w:val="Style1"/>
            <w:color w:val="000000"/>
            <w:u w:val="single"/>
          </w:rPr>
          <w:t>https://platformazakupowa.pl/pn/szpital_andrychow</w:t>
        </w:r>
      </w:hyperlink>
      <w:r>
        <w:rPr>
          <w:rFonts w:eastAsia="Arial"/>
          <w:color w:val="000000"/>
        </w:rPr>
        <w:t xml:space="preserve"> </w:t>
      </w:r>
      <w:r>
        <w:rPr>
          <w:rFonts w:eastAsia="Arial"/>
          <w:b/>
          <w:bCs/>
          <w:color w:val="000000"/>
          <w:u w:val="single"/>
          <w:shd w:fill="auto" w:val="clear"/>
        </w:rPr>
        <w:t xml:space="preserve">w terminie do </w:t>
      </w:r>
      <w:r>
        <w:rPr>
          <w:rFonts w:eastAsia="Arial"/>
          <w:b/>
          <w:bCs/>
          <w:color w:val="000000"/>
          <w:u w:val="single"/>
          <w:shd w:fill="FFC000" w:val="clear"/>
        </w:rPr>
        <w:t>dnia 07.05.2026r. do godz. 09.00.</w:t>
      </w:r>
    </w:p>
    <w:p>
      <w:pPr>
        <w:pStyle w:val="ListParagraph"/>
        <w:spacing w:before="0" w:after="0"/>
        <w:ind w:left="0"/>
        <w:contextualSpacing/>
        <w:jc w:val="both"/>
        <w:rPr>
          <w:color w:val="auto"/>
          <w:highlight w:val="none"/>
          <w:shd w:fill="auto" w:val="clear"/>
        </w:rPr>
      </w:pPr>
      <w:r>
        <w:rPr>
          <w:color w:val="000000"/>
          <w:shd w:fill="auto" w:val="clear"/>
        </w:rPr>
        <w:t xml:space="preserve">2. Otwarcie ofert następuje niezwłocznie po upływie terminu składania ofert (nie później niż następnego dnia po dniu, w którym upłynął termin składania ofert),                                                                         </w:t>
      </w:r>
      <w:r>
        <w:rPr>
          <w:b/>
          <w:bCs/>
          <w:color w:val="000000"/>
          <w:u w:val="single"/>
          <w:shd w:fill="FFC000" w:val="clear"/>
        </w:rPr>
        <w:t xml:space="preserve">tj. </w:t>
      </w:r>
      <w:r>
        <w:rPr>
          <w:rFonts w:eastAsia="Arial"/>
          <w:b/>
          <w:bCs/>
          <w:color w:val="000000"/>
          <w:u w:val="single"/>
          <w:shd w:fill="FFC000" w:val="clear"/>
        </w:rPr>
        <w:t xml:space="preserve"> 07.05.2026r.</w:t>
      </w:r>
      <w:r>
        <w:rPr>
          <w:b/>
          <w:bCs/>
          <w:color w:val="000000"/>
          <w:u w:val="single"/>
          <w:shd w:fill="FFC000" w:val="clear"/>
        </w:rPr>
        <w:t xml:space="preserve"> o godz. 09.05.</w:t>
      </w:r>
    </w:p>
    <w:p>
      <w:pPr>
        <w:pStyle w:val="ListParagraph"/>
        <w:spacing w:before="0" w:after="0"/>
        <w:ind w:left="0"/>
        <w:contextualSpacing/>
        <w:jc w:val="both"/>
        <w:rPr>
          <w:color w:val="000000"/>
        </w:rPr>
      </w:pPr>
      <w:r>
        <w:rPr>
          <w:color w:val="000000"/>
        </w:rPr>
        <w:t>3. Jeżeli otwarcie ofert następuje przy użyciu systemu teleinformatycznego, w przypadku awarii tegoż systemu, która powoduje brak możliwości otwarcia ofert w terminie określonym przez Zamawiającego, otwarcie ofert następuje niezwłocznie po usunięciu awarii.</w:t>
      </w:r>
    </w:p>
    <w:p>
      <w:pPr>
        <w:pStyle w:val="ListParagraph"/>
        <w:spacing w:before="0" w:after="0"/>
        <w:ind w:left="0"/>
        <w:contextualSpacing/>
        <w:jc w:val="both"/>
        <w:rPr>
          <w:color w:val="000000"/>
        </w:rPr>
      </w:pPr>
      <w:r>
        <w:rPr>
          <w:color w:val="000000"/>
        </w:rPr>
        <w:t>4. W przypadku, o którym mowa w pkt. 3, Zamawiający poinformuje o zmianie terminu otwarcia ofert na stronie internetowej prowadzonego postępowania.</w:t>
      </w:r>
    </w:p>
    <w:p>
      <w:pPr>
        <w:pStyle w:val="ListParagraph"/>
        <w:spacing w:before="0" w:after="0"/>
        <w:ind w:left="0"/>
        <w:contextualSpacing/>
        <w:jc w:val="both"/>
        <w:rPr>
          <w:color w:val="000000"/>
        </w:rPr>
      </w:pPr>
      <w:r>
        <w:rPr>
          <w:color w:val="000000"/>
        </w:rPr>
        <w:t>5. Zamawiający zgodnie z art. 222 ust. 4 ustawy Pzp, najpóźniej przed otwarciem ofert, udostępnia na stronie internetowej prowadzonego postępowania informację o kwocie,                           jaką zamierza przeznaczyć na sfinansowanie zamówienia.</w:t>
      </w:r>
    </w:p>
    <w:p>
      <w:pPr>
        <w:pStyle w:val="ListParagraph"/>
        <w:spacing w:before="0" w:after="0"/>
        <w:ind w:left="0"/>
        <w:contextualSpacing/>
        <w:jc w:val="both"/>
        <w:rPr>
          <w:color w:val="000000"/>
        </w:rPr>
      </w:pPr>
      <w:r>
        <w:rPr>
          <w:color w:val="000000"/>
        </w:rPr>
        <w:t>6. Zamawiający, niezwłocznie po otwarciu ofert, udostępnia na stronie internetowej prowadzonego postępowania informacje o:</w:t>
      </w:r>
    </w:p>
    <w:p>
      <w:pPr>
        <w:pStyle w:val="ListParagraph"/>
        <w:spacing w:before="0" w:after="0"/>
        <w:ind w:left="0"/>
        <w:contextualSpacing/>
        <w:jc w:val="both"/>
        <w:rPr>
          <w:color w:val="000000"/>
        </w:rPr>
      </w:pPr>
      <w:r>
        <w:rPr>
          <w:color w:val="000000"/>
        </w:rPr>
        <w:t>6.1 albo imionach i nazwiskach oraz siedzibach i miejscach prowadzonej działalności gospodarczej albo miejscach zamieszkania Wykonawców, których oferty zostały otwarte;</w:t>
      </w:r>
    </w:p>
    <w:p>
      <w:pPr>
        <w:pStyle w:val="ListParagraph"/>
        <w:spacing w:before="0" w:after="0"/>
        <w:ind w:left="0"/>
        <w:contextualSpacing/>
        <w:jc w:val="both"/>
        <w:rPr>
          <w:color w:val="000000"/>
        </w:rPr>
      </w:pPr>
      <w:r>
        <w:rPr>
          <w:color w:val="000000"/>
        </w:rPr>
        <w:t>6.2 cenach lub kosztach zawartych w ofertach.</w:t>
      </w:r>
    </w:p>
    <w:p>
      <w:pPr>
        <w:pStyle w:val="ListParagraph"/>
        <w:spacing w:before="0" w:after="0"/>
        <w:ind w:left="0"/>
        <w:contextualSpacing/>
        <w:jc w:val="both"/>
        <w:rPr>
          <w:color w:val="000000"/>
        </w:rPr>
      </w:pPr>
      <w:r>
        <w:rPr>
          <w:color w:val="000000"/>
        </w:rPr>
        <w:t>7. Informacja zostanie opublikowana na stronie prowadzonego postępowania                                                 tj.,  https://platformazakupowa.pl/pn/szpital_andrychow (w sekcji „Komunikaty”).</w:t>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Arial"/>
          <w:b/>
          <w:bCs/>
          <w:kern w:val="0"/>
          <w:lang w:eastAsia="en-US"/>
        </w:rPr>
        <w:t xml:space="preserve">XVII. OPIS SPOSOBU OBLICZENIA CENY: </w:t>
      </w:r>
    </w:p>
    <w:p>
      <w:pPr>
        <w:pStyle w:val="ListParagraph"/>
        <w:spacing w:before="0" w:after="200"/>
        <w:ind w:left="0"/>
        <w:contextualSpacing/>
        <w:jc w:val="both"/>
        <w:rPr/>
      </w:pPr>
      <w:r>
        <w:rPr>
          <w:rFonts w:eastAsia="Arial"/>
          <w:bCs/>
        </w:rPr>
        <w:t xml:space="preserve">1. Zaoferowaną cenę całkowitą należy przedstawić w Formularzu oferty – zgodnie z treścią zawartą we wzorze stanowiącym </w:t>
      </w:r>
      <w:r>
        <w:rPr>
          <w:rFonts w:eastAsia="Arial"/>
          <w:bCs/>
          <w:i/>
          <w:iCs/>
        </w:rPr>
        <w:t>Załącznik nr 2 do SWZ.</w:t>
      </w:r>
      <w:r>
        <w:rPr>
          <w:rFonts w:eastAsia="Arial"/>
          <w:bCs/>
        </w:rPr>
        <w:t xml:space="preserve"> </w:t>
      </w:r>
    </w:p>
    <w:p>
      <w:pPr>
        <w:pStyle w:val="ListParagraph"/>
        <w:spacing w:before="0" w:after="200"/>
        <w:ind w:left="0"/>
        <w:contextualSpacing/>
        <w:jc w:val="both"/>
        <w:rPr/>
      </w:pPr>
      <w:r>
        <w:rPr>
          <w:rFonts w:eastAsia="Arial"/>
          <w:bCs/>
        </w:rPr>
        <w:t>2. Cena określona w ofercie zawiera wszelkie koszty wynagrodzenia Wykonawcy jakie                         Zamawiający zapłaci z tytułu realizacji przedmiotu zamówienia, zgodnie z wymaganiami                   zawartymi w SWZ i załącznikach będących jej integralną częścią.</w:t>
      </w:r>
    </w:p>
    <w:p>
      <w:pPr>
        <w:pStyle w:val="ListParagraph"/>
        <w:spacing w:before="0" w:after="200"/>
        <w:ind w:left="0"/>
        <w:contextualSpacing/>
        <w:jc w:val="both"/>
        <w:rPr/>
      </w:pPr>
      <w:r>
        <w:rPr>
          <w:rFonts w:eastAsia="Arial"/>
          <w:bCs/>
        </w:rPr>
        <w:t xml:space="preserve">3. </w:t>
      </w:r>
      <w:r>
        <w:rPr/>
        <w:t xml:space="preserve">Wykonawca zobowiązany jest do zastosowania stawki podatku VAT zgodnie                                               z obowiązującymi przepisami podatkowymi aktualnymi na dzień składania ofert. </w:t>
      </w:r>
    </w:p>
    <w:p>
      <w:pPr>
        <w:pStyle w:val="ListParagraph"/>
        <w:spacing w:before="0" w:after="200"/>
        <w:ind w:left="0"/>
        <w:contextualSpacing/>
        <w:jc w:val="both"/>
        <w:rPr/>
      </w:pPr>
      <w:r>
        <w:rPr/>
        <w:t xml:space="preserve">4. Ceną oferty jest wartość brutto (wyliczona z dokładnością do dwóch miejsc po przecinku              </w:t>
      </w:r>
      <w:r>
        <w:rPr>
          <w:i/>
          <w:iCs/>
        </w:rPr>
        <w:t>tj.:</w:t>
      </w:r>
      <w:r>
        <w:rPr/>
        <w:t xml:space="preserve"> </w:t>
      </w:r>
      <w:r>
        <w:rPr>
          <w:i/>
          <w:iCs/>
          <w:u w:val="single"/>
        </w:rPr>
        <w:t>wartość netto + wartość podatku VAT = wartość brutto</w:t>
      </w:r>
    </w:p>
    <w:p>
      <w:pPr>
        <w:pStyle w:val="ListParagraph"/>
        <w:spacing w:before="0" w:after="200"/>
        <w:ind w:left="0"/>
        <w:contextualSpacing/>
        <w:jc w:val="both"/>
        <w:rPr/>
      </w:pPr>
      <w:r>
        <w:rPr>
          <w:rFonts w:eastAsia="Arial"/>
          <w:bCs/>
        </w:rPr>
        <w:t>5. Rozliczenia między Zamawiającym a Wykonawcą prowadzone będą w PLN.</w:t>
      </w:r>
    </w:p>
    <w:p>
      <w:pPr>
        <w:pStyle w:val="ListParagraph"/>
        <w:spacing w:before="0" w:after="200"/>
        <w:ind w:left="0"/>
        <w:contextualSpacing/>
        <w:jc w:val="both"/>
        <w:rPr/>
      </w:pPr>
      <w:r>
        <w:rPr>
          <w:rFonts w:eastAsia="Arial"/>
          <w:bCs/>
        </w:rPr>
        <w:t xml:space="preserve">6. Sposób zapłaty i zasady rozliczenia za realizację przedmiotu umowy oraz wszelkie istotne postanowienia zostały określone projekcie umowy stanowiącym </w:t>
      </w:r>
      <w:r>
        <w:rPr>
          <w:rFonts w:eastAsia="Arial"/>
          <w:i/>
          <w:iCs/>
        </w:rPr>
        <w:t xml:space="preserve">Załącznik nr 10 do SWZ. </w:t>
      </w:r>
    </w:p>
    <w:p>
      <w:pPr>
        <w:pStyle w:val="ListParagraph"/>
        <w:spacing w:before="0" w:after="0"/>
        <w:ind w:left="0"/>
        <w:contextualSpacing/>
        <w:jc w:val="both"/>
        <w:rPr/>
      </w:pPr>
      <w:r>
        <w:rPr>
          <w:rFonts w:eastAsia="Arial"/>
          <w:bCs/>
        </w:rPr>
        <w:t xml:space="preserve">7. </w:t>
      </w:r>
      <w:r>
        <w:rPr>
          <w:rFonts w:eastAsia="Calibri" w:eastAsiaTheme="minorHAnsi"/>
          <w:lang w:eastAsia="en-US"/>
        </w:rPr>
        <w:t>Jeżeli złożona zostanie oferta, której wybór prowadzić będzie do powstania                                       u Zamawiającego obowiązku podatkowego zgodnie z przepisami o podatku od towarów                     i usług, dla celów zastosowania kryterium ceny Zamawiający doliczy do przedstawionej                     w ofercie ceny kwotę podatku od towarów i usług, którą miałby obowiązek rozliczyć zgodnie               z tymi przepisami.</w:t>
      </w:r>
    </w:p>
    <w:p>
      <w:pPr>
        <w:pStyle w:val="ListParagraph"/>
        <w:spacing w:before="0" w:after="0"/>
        <w:ind w:left="0"/>
        <w:contextualSpacing/>
        <w:jc w:val="both"/>
        <w:rPr/>
      </w:pPr>
      <w:r>
        <w:rPr>
          <w:rFonts w:eastAsia="Calibri" w:eastAsiaTheme="minorHAnsi"/>
          <w:lang w:eastAsia="en-US"/>
        </w:rPr>
        <w:t xml:space="preserve">8. W przypadku, o którym mowa w pkt. 7 powyżej, Wykonawca w złożonej przez siebie                    ofercie, ma obowiązek: </w:t>
      </w:r>
    </w:p>
    <w:p>
      <w:pPr>
        <w:pStyle w:val="Normal"/>
        <w:spacing w:before="0" w:after="0"/>
        <w:contextualSpacing/>
        <w:jc w:val="both"/>
        <w:rPr/>
      </w:pPr>
      <w:r>
        <w:rPr>
          <w:rFonts w:eastAsia="SymbolMT"/>
          <w:lang w:eastAsia="en-US"/>
        </w:rPr>
        <w:t xml:space="preserve">8.1. </w:t>
      </w:r>
      <w:r>
        <w:rPr>
          <w:rFonts w:eastAsia="Calibri" w:eastAsiaTheme="minorHAnsi"/>
          <w:lang w:eastAsia="en-US"/>
        </w:rPr>
        <w:t>poinformowania Zamawiającego, że wybór jego oferty będzie prowadzić do powstania u Zamawiającego obowiązku podatkowego,</w:t>
      </w:r>
    </w:p>
    <w:p>
      <w:pPr>
        <w:pStyle w:val="Normal"/>
        <w:spacing w:before="0" w:after="0"/>
        <w:contextualSpacing/>
        <w:jc w:val="both"/>
        <w:rPr/>
      </w:pPr>
      <w:r>
        <w:rPr>
          <w:rFonts w:eastAsia="SymbolMT"/>
          <w:lang w:eastAsia="en-US"/>
        </w:rPr>
        <w:t xml:space="preserve">8.2. </w:t>
      </w:r>
      <w:r>
        <w:rPr>
          <w:rFonts w:eastAsia="Calibri" w:eastAsiaTheme="minorHAnsi"/>
          <w:lang w:eastAsia="en-US"/>
        </w:rPr>
        <w:t>wskazania nazwy (rodzaju) towaru lub usługi, których dostawa lub świadczenie będą             prowadziły do powstania obowiązku podatkowego,</w:t>
      </w:r>
    </w:p>
    <w:p>
      <w:pPr>
        <w:pStyle w:val="Normal"/>
        <w:spacing w:before="0" w:after="0"/>
        <w:contextualSpacing/>
        <w:jc w:val="both"/>
        <w:rPr/>
      </w:pPr>
      <w:r>
        <w:rPr>
          <w:rFonts w:eastAsia="SymbolMT"/>
          <w:lang w:eastAsia="en-US"/>
        </w:rPr>
        <w:t xml:space="preserve">8.3. </w:t>
      </w:r>
      <w:r>
        <w:rPr>
          <w:rFonts w:eastAsia="Calibri" w:eastAsiaTheme="minorHAnsi"/>
          <w:lang w:eastAsia="en-US"/>
        </w:rPr>
        <w:t>wskazania wartości towaru lub usługi objętych obowiązkiem podatkowym                                  Zamawiającego, bez kwoty podatku,</w:t>
      </w:r>
    </w:p>
    <w:p>
      <w:pPr>
        <w:pStyle w:val="Normal"/>
        <w:spacing w:before="0" w:after="0"/>
        <w:contextualSpacing/>
        <w:jc w:val="both"/>
        <w:rPr/>
      </w:pPr>
      <w:r>
        <w:rPr>
          <w:rFonts w:eastAsia="SymbolMT"/>
          <w:lang w:eastAsia="en-US"/>
        </w:rPr>
        <w:t xml:space="preserve">8.4. </w:t>
      </w:r>
      <w:r>
        <w:rPr>
          <w:rFonts w:eastAsia="Calibri" w:eastAsiaTheme="minorHAnsi"/>
          <w:lang w:eastAsia="en-US"/>
        </w:rPr>
        <w:t>wskazania stawki podatku od towarów i usług, która zgodnie z wiedzą Wykonawcy              będzie miała zastosowanie.</w:t>
      </w:r>
    </w:p>
    <w:p>
      <w:pPr>
        <w:pStyle w:val="Normal"/>
        <w:spacing w:before="0" w:after="0"/>
        <w:contextualSpacing/>
        <w:jc w:val="both"/>
        <w:rPr>
          <w:rFonts w:eastAsia="Calibri" w:eastAsiaTheme="minorHAnsi"/>
          <w:lang w:eastAsia="en-US"/>
        </w:rPr>
      </w:pPr>
      <w:r>
        <w:rPr>
          <w:rFonts w:eastAsia="Calibri" w:eastAsiaTheme="minorHAnsi"/>
          <w:lang w:eastAsia="en-US"/>
        </w:rPr>
      </w:r>
    </w:p>
    <w:p>
      <w:pPr>
        <w:pStyle w:val="Standard"/>
        <w:shd w:val="clear" w:color="auto" w:fill="E5E5E5"/>
        <w:tabs>
          <w:tab w:val="clear" w:pos="720"/>
          <w:tab w:val="left" w:pos="142" w:leader="none"/>
        </w:tabs>
        <w:suppressAutoHyphens w:val="false"/>
        <w:spacing w:before="0" w:after="0"/>
        <w:contextualSpacing/>
        <w:jc w:val="both"/>
        <w:textAlignment w:val="auto"/>
        <w:rPr/>
      </w:pPr>
      <w:r>
        <w:rPr>
          <w:rFonts w:eastAsia="Arial"/>
          <w:b/>
          <w:bCs/>
          <w:kern w:val="0"/>
          <w:lang w:eastAsia="en-US"/>
        </w:rPr>
        <w:t>XVIII. OPIS KRYTERIÓW, KTÓRYMI ZAMAWIAJĄCY BĘDZIE SIĘ KIEROWAŁ PRZY WYBORZE OFERT WRAZ Z PODANIEM ZNACZENIA TYCH                            KRYTERIÓW I SPOSOBU OCENY OFERT:</w:t>
      </w:r>
    </w:p>
    <w:p>
      <w:pPr>
        <w:pStyle w:val="ListParagraph"/>
        <w:spacing w:before="0" w:after="200"/>
        <w:ind w:left="0"/>
        <w:contextualSpacing/>
        <w:jc w:val="both"/>
        <w:rPr>
          <w:rFonts w:eastAsia="Arial"/>
          <w:lang w:eastAsia="en-US"/>
        </w:rPr>
      </w:pPr>
      <w:r>
        <w:rPr>
          <w:rFonts w:eastAsia="Arial"/>
          <w:lang w:eastAsia="en-US"/>
        </w:rPr>
      </w:r>
    </w:p>
    <w:p>
      <w:pPr>
        <w:pStyle w:val="ListParagraph"/>
        <w:spacing w:before="0" w:after="0"/>
        <w:ind w:left="0"/>
        <w:contextualSpacing/>
        <w:jc w:val="both"/>
        <w:rPr/>
      </w:pPr>
      <w:r>
        <w:rPr>
          <w:rFonts w:eastAsia="Arial"/>
          <w:bCs/>
        </w:rPr>
        <w:t>1. Zamawiający podczas oceny ofert kierować się będzie następującymi kryteriami oceny ofert:</w:t>
      </w:r>
    </w:p>
    <w:tbl>
      <w:tblPr>
        <w:tblW w:w="8955" w:type="dxa"/>
        <w:jc w:val="left"/>
        <w:tblInd w:w="52" w:type="dxa"/>
        <w:tblLayout w:type="fixed"/>
        <w:tblCellMar>
          <w:top w:w="0" w:type="dxa"/>
          <w:left w:w="70" w:type="dxa"/>
          <w:bottom w:w="0" w:type="dxa"/>
          <w:right w:w="70" w:type="dxa"/>
        </w:tblCellMar>
        <w:tblLook w:firstRow="1" w:noVBand="1" w:lastRow="0" w:firstColumn="1" w:lastColumn="0" w:noHBand="0" w:val="04a0"/>
      </w:tblPr>
      <w:tblGrid>
        <w:gridCol w:w="5055"/>
        <w:gridCol w:w="3900"/>
      </w:tblGrid>
      <w:tr>
        <w:trPr/>
        <w:tc>
          <w:tcPr>
            <w:tcW w:w="5055" w:type="dxa"/>
            <w:tcBorders>
              <w:top w:val="single" w:sz="4" w:space="0" w:color="000000"/>
              <w:left w:val="single" w:sz="4" w:space="0" w:color="000000"/>
              <w:bottom w:val="single" w:sz="4" w:space="0" w:color="000000"/>
              <w:right w:val="single" w:sz="4" w:space="0" w:color="000000"/>
            </w:tcBorders>
            <w:shd w:color="auto" w:fill="CCCCCC" w:val="clear"/>
            <w:vAlign w:val="center"/>
          </w:tcPr>
          <w:p>
            <w:pPr>
              <w:pStyle w:val="Standard"/>
              <w:widowControl w:val="false"/>
              <w:tabs>
                <w:tab w:val="clear" w:pos="720"/>
                <w:tab w:val="left" w:pos="567" w:leader="none"/>
              </w:tabs>
              <w:spacing w:before="0" w:after="0"/>
              <w:contextualSpacing/>
              <w:jc w:val="center"/>
              <w:rPr/>
            </w:pPr>
            <w:r>
              <w:rPr>
                <w:b/>
                <w:bCs/>
              </w:rPr>
              <w:t>Kryterium</w:t>
            </w:r>
          </w:p>
        </w:tc>
        <w:tc>
          <w:tcPr>
            <w:tcW w:w="3900" w:type="dxa"/>
            <w:tcBorders>
              <w:top w:val="single" w:sz="4" w:space="0" w:color="000000"/>
              <w:left w:val="single" w:sz="4" w:space="0" w:color="000000"/>
              <w:bottom w:val="single" w:sz="4" w:space="0" w:color="000000"/>
              <w:right w:val="single" w:sz="4" w:space="0" w:color="000000"/>
            </w:tcBorders>
            <w:shd w:color="auto" w:fill="CCCCCC" w:val="clear"/>
            <w:vAlign w:val="center"/>
          </w:tcPr>
          <w:p>
            <w:pPr>
              <w:pStyle w:val="Standard"/>
              <w:widowControl w:val="false"/>
              <w:tabs>
                <w:tab w:val="clear" w:pos="720"/>
                <w:tab w:val="left" w:pos="567" w:leader="none"/>
              </w:tabs>
              <w:spacing w:before="0" w:after="0"/>
              <w:contextualSpacing/>
              <w:jc w:val="center"/>
              <w:rPr/>
            </w:pPr>
            <w:r>
              <w:rPr>
                <w:b/>
                <w:bCs/>
              </w:rPr>
              <w:t>Waga</w:t>
            </w:r>
          </w:p>
        </w:tc>
      </w:tr>
      <w:tr>
        <w:trPr/>
        <w:tc>
          <w:tcPr>
            <w:tcW w:w="505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67" w:leader="none"/>
              </w:tabs>
              <w:spacing w:before="0" w:after="0"/>
              <w:contextualSpacing/>
              <w:jc w:val="center"/>
              <w:rPr/>
            </w:pPr>
            <w:r>
              <w:rPr>
                <w:sz w:val="20"/>
                <w:szCs w:val="20"/>
              </w:rPr>
              <w:t>Cena „C”</w:t>
            </w:r>
          </w:p>
        </w:tc>
        <w:tc>
          <w:tcPr>
            <w:tcW w:w="390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67" w:leader="none"/>
              </w:tabs>
              <w:spacing w:before="0" w:after="0"/>
              <w:contextualSpacing/>
              <w:jc w:val="center"/>
              <w:rPr/>
            </w:pPr>
            <w:r>
              <w:rPr>
                <w:sz w:val="20"/>
                <w:szCs w:val="20"/>
              </w:rPr>
              <w:t>60%</w:t>
            </w:r>
          </w:p>
        </w:tc>
      </w:tr>
      <w:tr>
        <w:trPr/>
        <w:tc>
          <w:tcPr>
            <w:tcW w:w="505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67" w:leader="none"/>
              </w:tabs>
              <w:spacing w:before="0" w:after="0"/>
              <w:contextualSpacing/>
              <w:jc w:val="center"/>
              <w:rPr/>
            </w:pPr>
            <w:r>
              <w:rPr>
                <w:sz w:val="20"/>
                <w:szCs w:val="20"/>
              </w:rPr>
              <w:t>Gwarancja na wykonane roboty budowlane, instalacje wodno-kanalizacyjne oraz instalacje elektroniczne wyrażona w</w:t>
            </w:r>
            <w:r>
              <w:rPr>
                <w:rFonts w:eastAsia="Arial"/>
                <w:bCs/>
              </w:rPr>
              <w:t xml:space="preserve"> </w:t>
            </w:r>
            <w:r>
              <w:rPr>
                <w:rFonts w:eastAsia="Arial"/>
                <w:bCs/>
                <w:sz w:val="20"/>
                <w:szCs w:val="20"/>
              </w:rPr>
              <w:t>miesiącach „G”</w:t>
            </w:r>
          </w:p>
        </w:tc>
        <w:tc>
          <w:tcPr>
            <w:tcW w:w="390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67" w:leader="none"/>
              </w:tabs>
              <w:spacing w:before="0" w:after="0"/>
              <w:contextualSpacing/>
              <w:jc w:val="center"/>
              <w:rPr/>
            </w:pPr>
            <w:r>
              <w:rPr>
                <w:sz w:val="20"/>
                <w:szCs w:val="20"/>
              </w:rPr>
              <w:t>20%</w:t>
            </w:r>
          </w:p>
        </w:tc>
      </w:tr>
      <w:tr>
        <w:trPr/>
        <w:tc>
          <w:tcPr>
            <w:tcW w:w="505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67" w:leader="none"/>
              </w:tabs>
              <w:spacing w:before="0" w:after="0"/>
              <w:contextualSpacing/>
              <w:jc w:val="center"/>
              <w:rPr>
                <w:sz w:val="20"/>
                <w:szCs w:val="20"/>
              </w:rPr>
            </w:pPr>
            <w:r>
              <w:rPr>
                <w:sz w:val="20"/>
                <w:szCs w:val="20"/>
              </w:rPr>
              <w:t>Doświadczenie Kierownika budowy (D)</w:t>
            </w:r>
          </w:p>
        </w:tc>
        <w:tc>
          <w:tcPr>
            <w:tcW w:w="390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67" w:leader="none"/>
              </w:tabs>
              <w:spacing w:before="0" w:after="0"/>
              <w:contextualSpacing/>
              <w:jc w:val="center"/>
              <w:rPr/>
            </w:pPr>
            <w:r>
              <w:rPr>
                <w:sz w:val="20"/>
                <w:szCs w:val="20"/>
              </w:rPr>
              <w:t>20%</w:t>
            </w:r>
          </w:p>
        </w:tc>
      </w:tr>
    </w:tbl>
    <w:p>
      <w:pPr>
        <w:pStyle w:val="Standard"/>
        <w:tabs>
          <w:tab w:val="clear" w:pos="720"/>
          <w:tab w:val="left" w:pos="142" w:leader="none"/>
        </w:tabs>
        <w:spacing w:before="0" w:after="0"/>
        <w:contextualSpacing/>
        <w:jc w:val="both"/>
        <w:rPr>
          <w:b/>
          <w:bCs/>
        </w:rPr>
      </w:pPr>
      <w:r>
        <w:rPr>
          <w:b/>
          <w:bCs/>
        </w:rPr>
      </w:r>
    </w:p>
    <w:p>
      <w:pPr>
        <w:pStyle w:val="Standard"/>
        <w:tabs>
          <w:tab w:val="clear" w:pos="720"/>
          <w:tab w:val="left" w:pos="142" w:leader="none"/>
        </w:tabs>
        <w:spacing w:before="0" w:after="0"/>
        <w:contextualSpacing/>
        <w:jc w:val="both"/>
        <w:rPr>
          <w:b/>
          <w:bCs/>
        </w:rPr>
      </w:pPr>
      <w:r>
        <w:rPr>
          <w:b/>
          <w:bCs/>
        </w:rPr>
      </w:r>
    </w:p>
    <w:p>
      <w:pPr>
        <w:pStyle w:val="Standard"/>
        <w:tabs>
          <w:tab w:val="clear" w:pos="720"/>
          <w:tab w:val="left" w:pos="142" w:leader="none"/>
        </w:tabs>
        <w:spacing w:before="0" w:after="0"/>
        <w:contextualSpacing/>
        <w:jc w:val="both"/>
        <w:rPr/>
      </w:pPr>
      <w:r>
        <w:rPr>
          <w:b/>
          <w:bCs/>
        </w:rPr>
        <w:t xml:space="preserve">1) Cena – 60% </w:t>
      </w:r>
    </w:p>
    <w:p>
      <w:pPr>
        <w:pStyle w:val="Standard"/>
        <w:tabs>
          <w:tab w:val="clear" w:pos="720"/>
          <w:tab w:val="left" w:pos="142" w:leader="none"/>
        </w:tabs>
        <w:spacing w:before="0" w:after="0"/>
        <w:contextualSpacing/>
        <w:jc w:val="both"/>
        <w:rPr/>
      </w:pPr>
      <w:r>
        <w:rPr/>
        <w:t>Liczba punktów zostanie obliczona wg wzoru:</w:t>
      </w:r>
    </w:p>
    <w:p>
      <w:pPr>
        <w:pStyle w:val="Standard"/>
        <w:tabs>
          <w:tab w:val="clear" w:pos="720"/>
          <w:tab w:val="left" w:pos="142" w:leader="none"/>
        </w:tabs>
        <w:spacing w:before="0" w:after="0"/>
        <w:contextualSpacing/>
        <w:jc w:val="both"/>
        <w:rPr/>
      </w:pPr>
      <w:r>
        <w:rPr/>
      </w:r>
    </w:p>
    <w:tbl>
      <w:tblPr>
        <w:tblW w:w="9880" w:type="dxa"/>
        <w:jc w:val="left"/>
        <w:tblInd w:w="20" w:type="dxa"/>
        <w:tblLayout w:type="fixed"/>
        <w:tblCellMar>
          <w:top w:w="0" w:type="dxa"/>
          <w:left w:w="70" w:type="dxa"/>
          <w:bottom w:w="0" w:type="dxa"/>
          <w:right w:w="70" w:type="dxa"/>
        </w:tblCellMar>
        <w:tblLook w:firstRow="1" w:noVBand="1" w:lastRow="0" w:firstColumn="1" w:lastColumn="0" w:noHBand="0" w:val="04a0"/>
      </w:tblPr>
      <w:tblGrid>
        <w:gridCol w:w="5116"/>
        <w:gridCol w:w="4764"/>
      </w:tblGrid>
      <w:tr>
        <w:trPr>
          <w:trHeight w:val="274" w:hRule="exact"/>
          <w:cantSplit w:val="true"/>
        </w:trPr>
        <w:tc>
          <w:tcPr>
            <w:tcW w:w="5116" w:type="dxa"/>
            <w:tcBorders>
              <w:bottom w:val="single" w:sz="4" w:space="0" w:color="000000"/>
            </w:tcBorders>
          </w:tcPr>
          <w:p>
            <w:pPr>
              <w:pStyle w:val="Standard"/>
              <w:widowControl w:val="false"/>
              <w:snapToGrid w:val="false"/>
              <w:spacing w:before="0" w:after="0"/>
              <w:contextualSpacing/>
              <w:jc w:val="center"/>
              <w:rPr/>
            </w:pPr>
            <w:r>
              <w:rPr/>
              <w:t>Cena oferty najniższej wśród ofert badanych</w:t>
            </w:r>
          </w:p>
        </w:tc>
        <w:tc>
          <w:tcPr>
            <w:tcW w:w="4764" w:type="dxa"/>
            <w:vMerge w:val="restart"/>
            <w:tcBorders/>
            <w:vAlign w:val="center"/>
          </w:tcPr>
          <w:p>
            <w:pPr>
              <w:pStyle w:val="Standard"/>
              <w:widowControl w:val="false"/>
              <w:snapToGrid w:val="false"/>
              <w:spacing w:before="0" w:after="0"/>
              <w:contextualSpacing/>
              <w:rPr/>
            </w:pPr>
            <w:r>
              <w:rPr/>
              <w:t>x 100 x 60 %</w:t>
            </w:r>
          </w:p>
        </w:tc>
      </w:tr>
      <w:tr>
        <w:trPr>
          <w:trHeight w:val="275" w:hRule="exact"/>
          <w:cantSplit w:val="true"/>
        </w:trPr>
        <w:tc>
          <w:tcPr>
            <w:tcW w:w="5116" w:type="dxa"/>
            <w:tcBorders>
              <w:top w:val="single" w:sz="4" w:space="0" w:color="000000"/>
            </w:tcBorders>
          </w:tcPr>
          <w:p>
            <w:pPr>
              <w:pStyle w:val="Standard"/>
              <w:widowControl w:val="false"/>
              <w:snapToGrid w:val="false"/>
              <w:spacing w:before="0" w:after="0"/>
              <w:contextualSpacing/>
              <w:jc w:val="center"/>
              <w:rPr/>
            </w:pPr>
            <w:r>
              <w:rPr/>
              <w:t>Cena oferowana</w:t>
            </w:r>
          </w:p>
        </w:tc>
        <w:tc>
          <w:tcPr>
            <w:tcW w:w="4764" w:type="dxa"/>
            <w:vMerge w:val="continue"/>
            <w:tcBorders/>
            <w:vAlign w:val="center"/>
          </w:tcPr>
          <w:p>
            <w:pPr>
              <w:pStyle w:val="Normal"/>
              <w:spacing w:before="0" w:after="0"/>
              <w:contextualSpacing/>
              <w:rPr/>
            </w:pPr>
            <w:r>
              <w:rPr/>
            </w:r>
          </w:p>
        </w:tc>
      </w:tr>
    </w:tbl>
    <w:p>
      <w:pPr>
        <w:pStyle w:val="Standard"/>
        <w:tabs>
          <w:tab w:val="clear" w:pos="720"/>
          <w:tab w:val="left" w:pos="142" w:leader="none"/>
        </w:tabs>
        <w:spacing w:before="0" w:after="0"/>
        <w:contextualSpacing/>
        <w:jc w:val="both"/>
        <w:rPr/>
      </w:pPr>
      <w:r>
        <w:rPr/>
      </w:r>
    </w:p>
    <w:p>
      <w:pPr>
        <w:pStyle w:val="Standard"/>
        <w:tabs>
          <w:tab w:val="clear" w:pos="720"/>
          <w:tab w:val="left" w:pos="142" w:leader="none"/>
        </w:tabs>
        <w:spacing w:before="0" w:after="0"/>
        <w:contextualSpacing/>
        <w:jc w:val="both"/>
        <w:rPr/>
      </w:pPr>
      <w:r>
        <w:rPr/>
      </w:r>
    </w:p>
    <w:p>
      <w:pPr>
        <w:pStyle w:val="Standard"/>
        <w:tabs>
          <w:tab w:val="clear" w:pos="720"/>
          <w:tab w:val="left" w:pos="142" w:leader="none"/>
        </w:tabs>
        <w:spacing w:before="0" w:after="0"/>
        <w:contextualSpacing/>
        <w:jc w:val="both"/>
        <w:rPr/>
      </w:pPr>
      <w:r>
        <w:rPr>
          <w:b/>
          <w:bCs/>
        </w:rPr>
        <w:t>2) Gwarancja na wykonane roboty budowlane, instalacje wodno-kanalizacyjne oraz instalacje elektroniczne wyrażona w miesiącach „G”– 20%</w:t>
      </w:r>
    </w:p>
    <w:p>
      <w:pPr>
        <w:pStyle w:val="Standard"/>
        <w:tabs>
          <w:tab w:val="clear" w:pos="720"/>
          <w:tab w:val="left" w:pos="142" w:leader="none"/>
        </w:tabs>
        <w:spacing w:before="0" w:after="120"/>
        <w:contextualSpacing/>
        <w:jc w:val="both"/>
        <w:rPr/>
      </w:pPr>
      <w:r>
        <w:rPr/>
        <w:t>Liczba punktów zostanie wyliczona</w:t>
      </w:r>
    </w:p>
    <w:p>
      <w:pPr>
        <w:pStyle w:val="Standard"/>
        <w:tabs>
          <w:tab w:val="clear" w:pos="720"/>
          <w:tab w:val="left" w:pos="142" w:leader="none"/>
        </w:tabs>
        <w:spacing w:before="0" w:after="120"/>
        <w:contextualSpacing/>
        <w:jc w:val="both"/>
        <w:rPr/>
      </w:pPr>
      <w:r>
        <w:rPr/>
        <w:tab/>
        <w:tab/>
        <w:tab/>
        <w:t>a) zaoferowanie przez Wykonawcę okresu gwarancji: 60 miesięcy – 20,00 pkt</w:t>
      </w:r>
    </w:p>
    <w:p>
      <w:pPr>
        <w:pStyle w:val="Standard"/>
        <w:tabs>
          <w:tab w:val="clear" w:pos="720"/>
          <w:tab w:val="left" w:pos="142" w:leader="none"/>
        </w:tabs>
        <w:spacing w:before="0" w:after="120"/>
        <w:contextualSpacing/>
        <w:jc w:val="both"/>
        <w:rPr/>
      </w:pPr>
      <w:r>
        <w:rPr/>
        <w:tab/>
        <w:tab/>
        <w:tab/>
        <w:t>b) zaoferowanie przez Wykonawcę okresu gwarancji: 48 miesięcy – 10,00 pkt</w:t>
      </w:r>
    </w:p>
    <w:p>
      <w:pPr>
        <w:pStyle w:val="Standard"/>
        <w:tabs>
          <w:tab w:val="clear" w:pos="720"/>
          <w:tab w:val="left" w:pos="142" w:leader="none"/>
        </w:tabs>
        <w:spacing w:before="0" w:after="120"/>
        <w:contextualSpacing/>
        <w:jc w:val="both"/>
        <w:rPr/>
      </w:pPr>
      <w:r>
        <w:rPr/>
        <w:tab/>
        <w:tab/>
        <w:tab/>
        <w:t>c) zaoferowanie przez Wykonawcę okresu gwarancji: 24 miesięcy – 0,00 pkt</w:t>
      </w:r>
    </w:p>
    <w:p>
      <w:pPr>
        <w:pStyle w:val="Standard"/>
        <w:tabs>
          <w:tab w:val="clear" w:pos="720"/>
          <w:tab w:val="left" w:pos="142" w:leader="none"/>
        </w:tabs>
        <w:spacing w:before="0" w:after="0"/>
        <w:contextualSpacing/>
        <w:jc w:val="both"/>
        <w:rPr>
          <w:b/>
          <w:bCs/>
          <w:i/>
          <w:iCs/>
          <w:u w:val="single"/>
        </w:rPr>
      </w:pPr>
      <w:r>
        <w:rPr>
          <w:b/>
          <w:bCs/>
          <w:i/>
          <w:iCs/>
          <w:u w:val="single"/>
        </w:rPr>
      </w:r>
    </w:p>
    <w:p>
      <w:pPr>
        <w:pStyle w:val="Standard"/>
        <w:tabs>
          <w:tab w:val="clear" w:pos="720"/>
          <w:tab w:val="left" w:pos="142" w:leader="none"/>
        </w:tabs>
        <w:spacing w:before="0" w:after="0"/>
        <w:contextualSpacing/>
        <w:jc w:val="both"/>
        <w:rPr/>
      </w:pPr>
      <w:r>
        <w:rPr>
          <w:b/>
          <w:bCs/>
        </w:rPr>
        <w:t xml:space="preserve">UWAGA! </w:t>
      </w:r>
      <w:r>
        <w:rPr>
          <w:b/>
          <w:bCs/>
          <w:i/>
          <w:iCs/>
          <w:u w:val="single"/>
        </w:rPr>
        <w:t xml:space="preserve">Okres gwarancji na wykonane roboty budowlane, instalacje wodno-kanalizacyjne oraz instalacje elektroniczne nie może być krótszy niż 24 miesięcy </w:t>
      </w:r>
    </w:p>
    <w:p>
      <w:pPr>
        <w:pStyle w:val="Standard"/>
        <w:tabs>
          <w:tab w:val="clear" w:pos="720"/>
          <w:tab w:val="left" w:pos="142" w:leader="none"/>
        </w:tabs>
        <w:spacing w:before="0" w:after="0"/>
        <w:contextualSpacing/>
        <w:jc w:val="both"/>
        <w:rPr>
          <w:highlight w:val="none"/>
          <w:shd w:fill="FFC000" w:val="clear"/>
        </w:rPr>
      </w:pPr>
      <w:r>
        <w:rPr>
          <w:shd w:fill="FFC000" w:val="clear"/>
        </w:rPr>
      </w:r>
    </w:p>
    <w:p>
      <w:pPr>
        <w:pStyle w:val="Standard"/>
        <w:tabs>
          <w:tab w:val="clear" w:pos="720"/>
          <w:tab w:val="left" w:pos="142" w:leader="none"/>
        </w:tabs>
        <w:spacing w:before="0" w:after="0"/>
        <w:contextualSpacing/>
        <w:jc w:val="both"/>
        <w:rPr>
          <w:highlight w:val="none"/>
          <w:shd w:fill="auto" w:val="clear"/>
        </w:rPr>
      </w:pPr>
      <w:r>
        <w:rPr>
          <w:b/>
          <w:bCs/>
          <w:shd w:fill="auto" w:val="clear"/>
        </w:rPr>
        <w:t xml:space="preserve">3) Doświadczenie kierownika budowy (D)  – 20% </w:t>
      </w:r>
    </w:p>
    <w:p>
      <w:pPr>
        <w:pStyle w:val="Standard"/>
        <w:tabs>
          <w:tab w:val="clear" w:pos="720"/>
          <w:tab w:val="left" w:pos="142" w:leader="none"/>
        </w:tabs>
        <w:spacing w:before="0" w:after="0"/>
        <w:contextualSpacing/>
        <w:jc w:val="both"/>
        <w:rPr>
          <w:highlight w:val="none"/>
          <w:shd w:fill="auto" w:val="clear"/>
        </w:rPr>
      </w:pPr>
      <w:r>
        <w:rPr>
          <w:b w:val="false"/>
          <w:bCs w:val="false"/>
          <w:shd w:fill="auto" w:val="clear"/>
        </w:rPr>
        <w:t xml:space="preserve">Ocena ofert w kryterium „Doświadczenie kierownika budowy” zostanie dokonana na podstawie liczby robót budowlanych, w których osoba wskazana jako kierownik budowy pełniła funkcję kierownika budowy, ponad minimalny poziom wymagany jako warunek udziału w postępowaniu. Punktowane jest doświadczenie ponad wymagane minimum. Wskazana osoba Kierownika budowy musi posiadać doświadczenie niezbędne do realizacji zamówienia, w okresie ostatnich 3 lat (okres, o którym mowa liczy się wstecz od dnia, w którym upływa składania ofert), legitymując się należycie wykonanymi 2 (dwoma) usługami, związanymi z kierowaniem robót polegających na przebudowie lub/i rozbudowie lub/i termomodernizacji lub/i modernizacji budynków kubaturowych o powierzchni użytkowej nie mniejszej niż 1000m2 każda </w:t>
      </w:r>
    </w:p>
    <w:p>
      <w:pPr>
        <w:pStyle w:val="Standard"/>
        <w:tabs>
          <w:tab w:val="clear" w:pos="720"/>
          <w:tab w:val="left" w:pos="142" w:leader="none"/>
        </w:tabs>
        <w:spacing w:before="0" w:after="120"/>
        <w:contextualSpacing/>
        <w:jc w:val="both"/>
        <w:rPr>
          <w:highlight w:val="none"/>
          <w:shd w:fill="auto" w:val="clear"/>
        </w:rPr>
      </w:pPr>
      <w:r>
        <w:rPr>
          <w:shd w:fill="auto" w:val="clear"/>
        </w:rPr>
        <w:t>Liczba punktów zostanie wyliczona</w:t>
      </w:r>
    </w:p>
    <w:p>
      <w:pPr>
        <w:pStyle w:val="Standard"/>
        <w:tabs>
          <w:tab w:val="clear" w:pos="720"/>
          <w:tab w:val="left" w:pos="142" w:leader="none"/>
        </w:tabs>
        <w:spacing w:before="0" w:after="0"/>
        <w:contextualSpacing/>
        <w:jc w:val="both"/>
        <w:rPr>
          <w:b w:val="false"/>
          <w:bCs w:val="false"/>
          <w:i w:val="false"/>
          <w:iCs w:val="false"/>
          <w:highlight w:val="none"/>
          <w:u w:val="none"/>
          <w:shd w:fill="auto" w:val="clear"/>
        </w:rPr>
      </w:pPr>
      <w:r>
        <w:rPr>
          <w:b w:val="false"/>
          <w:bCs w:val="false"/>
          <w:i w:val="false"/>
          <w:iCs w:val="false"/>
          <w:u w:val="none"/>
          <w:shd w:fill="auto" w:val="clear"/>
        </w:rPr>
        <w:t>a) Wykonał usługi zgodnie z minimalnym wymogiem o którym mowa rozdz. V w pkt 1.4. ppkt. 1.4.2.2 ppkt. 1 Kierownik budowy tj. 2 usługi – 0 pkt</w:t>
      </w:r>
    </w:p>
    <w:p>
      <w:pPr>
        <w:pStyle w:val="Standard"/>
        <w:tabs>
          <w:tab w:val="clear" w:pos="720"/>
          <w:tab w:val="left" w:pos="142" w:leader="none"/>
        </w:tabs>
        <w:spacing w:before="0" w:after="0"/>
        <w:contextualSpacing/>
        <w:jc w:val="both"/>
        <w:rPr>
          <w:b w:val="false"/>
          <w:bCs w:val="false"/>
          <w:i w:val="false"/>
          <w:iCs w:val="false"/>
          <w:highlight w:val="none"/>
          <w:u w:val="none"/>
          <w:shd w:fill="auto" w:val="clear"/>
        </w:rPr>
      </w:pPr>
      <w:r>
        <w:rPr>
          <w:b w:val="false"/>
          <w:bCs w:val="false"/>
          <w:i w:val="false"/>
          <w:iCs w:val="false"/>
          <w:u w:val="none"/>
          <w:shd w:fill="auto" w:val="clear"/>
        </w:rPr>
        <w:t xml:space="preserve">b) należycie wykonane </w:t>
      </w:r>
      <w:r>
        <w:rPr>
          <w:b/>
          <w:bCs/>
          <w:i w:val="false"/>
          <w:iCs w:val="false"/>
          <w:u w:val="single"/>
          <w:shd w:fill="auto" w:val="clear"/>
        </w:rPr>
        <w:t>dodatkowo</w:t>
      </w:r>
      <w:r>
        <w:rPr>
          <w:b w:val="false"/>
          <w:bCs w:val="false"/>
          <w:i w:val="false"/>
          <w:iCs w:val="false"/>
          <w:u w:val="none"/>
          <w:shd w:fill="auto" w:val="clear"/>
        </w:rPr>
        <w:t xml:space="preserve"> 1 (jedną) usługę ponad wymóg minimalny wymagany o którym mowa rozdz. V w pkt 1.4. ppkt. 1.4.2.2 ppkt. 1 Kierownik budowy  – 10,00 pkt</w:t>
      </w:r>
    </w:p>
    <w:p>
      <w:pPr>
        <w:pStyle w:val="Standard"/>
        <w:tabs>
          <w:tab w:val="clear" w:pos="720"/>
          <w:tab w:val="left" w:pos="142" w:leader="none"/>
        </w:tabs>
        <w:spacing w:before="0" w:after="0"/>
        <w:contextualSpacing/>
        <w:jc w:val="both"/>
        <w:rPr>
          <w:b w:val="false"/>
          <w:bCs w:val="false"/>
          <w:i w:val="false"/>
          <w:iCs w:val="false"/>
          <w:highlight w:val="none"/>
          <w:u w:val="none"/>
          <w:shd w:fill="auto" w:val="clear"/>
        </w:rPr>
      </w:pPr>
      <w:r>
        <w:rPr>
          <w:b w:val="false"/>
          <w:bCs w:val="false"/>
          <w:i w:val="false"/>
          <w:iCs w:val="false"/>
          <w:u w:val="none"/>
          <w:shd w:fill="auto" w:val="clear"/>
        </w:rPr>
        <w:t xml:space="preserve">c) należycie wykonane </w:t>
      </w:r>
      <w:r>
        <w:rPr>
          <w:b/>
          <w:bCs/>
          <w:i w:val="false"/>
          <w:iCs w:val="false"/>
          <w:u w:val="single"/>
          <w:shd w:fill="auto" w:val="clear"/>
        </w:rPr>
        <w:t xml:space="preserve">dodatkowo </w:t>
      </w:r>
      <w:r>
        <w:rPr>
          <w:b w:val="false"/>
          <w:bCs w:val="false"/>
          <w:i w:val="false"/>
          <w:iCs w:val="false"/>
          <w:u w:val="none"/>
          <w:shd w:fill="auto" w:val="clear"/>
        </w:rPr>
        <w:t>2 (dwie) usługi ponad wymóg minimalny wymagany o którym mowa rozdz. V w pkt 1.4. ppkt. 1.4.2.2 ppkt. 1 Kierownik budowy – 20,00 pkt</w:t>
      </w:r>
    </w:p>
    <w:p>
      <w:pPr>
        <w:pStyle w:val="Standard"/>
        <w:tabs>
          <w:tab w:val="clear" w:pos="720"/>
          <w:tab w:val="left" w:pos="142" w:leader="none"/>
        </w:tabs>
        <w:spacing w:before="0" w:after="0"/>
        <w:contextualSpacing/>
        <w:jc w:val="both"/>
        <w:rPr>
          <w:szCs w:val="24"/>
          <w:highlight w:val="none"/>
          <w:shd w:fill="auto" w:val="clear"/>
        </w:rPr>
      </w:pPr>
      <w:r>
        <w:rPr>
          <w:szCs w:val="24"/>
          <w:shd w:fill="auto" w:val="clear"/>
        </w:rPr>
      </w:r>
    </w:p>
    <w:p>
      <w:pPr>
        <w:pStyle w:val="BodyText"/>
        <w:tabs>
          <w:tab w:val="clear" w:pos="720"/>
          <w:tab w:val="left" w:pos="142" w:leader="none"/>
        </w:tabs>
        <w:spacing w:before="0" w:after="0"/>
        <w:contextualSpacing/>
        <w:jc w:val="both"/>
        <w:rPr/>
      </w:pPr>
      <w:r>
        <w:rPr>
          <w:rStyle w:val="Strong"/>
          <w:b w:val="false"/>
          <w:bCs w:val="false"/>
          <w:color w:val="auto"/>
          <w:szCs w:val="24"/>
          <w:shd w:fill="auto" w:val="clear"/>
        </w:rPr>
        <w:t>Uwaga!</w:t>
      </w:r>
    </w:p>
    <w:p>
      <w:pPr>
        <w:pStyle w:val="BodyText"/>
        <w:tabs>
          <w:tab w:val="clear" w:pos="720"/>
          <w:tab w:val="left" w:pos="142" w:leader="none"/>
        </w:tabs>
        <w:spacing w:before="0" w:after="0"/>
        <w:contextualSpacing/>
        <w:jc w:val="both"/>
        <w:rPr/>
      </w:pPr>
      <w:r>
        <w:rPr>
          <w:rStyle w:val="Strong"/>
          <w:b w:val="false"/>
          <w:bCs w:val="false"/>
          <w:color w:val="auto"/>
          <w:szCs w:val="24"/>
          <w:shd w:fill="auto" w:val="clear"/>
        </w:rPr>
        <w:t>1) Jeżeli Wykonawca nie wykaże dodatkowego doświadczenia osoby skierowanej do realizacji zamówienia ( lub nie wypełni tabeli w załączniku nr 2 – formularz oferty), Zamawiający w  ramach kryterium oceny ofert Doświadczenie Kierownika budowy przyzna Wykonawcy 0 punktów. W przypadku gdy taka oferta zostanie najwyżej oceniona Zamawiający  wezwie Wykonawcę do złożenia Wykazu osób zgodnie z pkt. 7.1.2. rozdz. VII SWZ.</w:t>
      </w:r>
    </w:p>
    <w:p>
      <w:pPr>
        <w:pStyle w:val="BodyText"/>
        <w:tabs>
          <w:tab w:val="clear" w:pos="720"/>
          <w:tab w:val="left" w:pos="142" w:leader="none"/>
        </w:tabs>
        <w:spacing w:before="0" w:after="0"/>
        <w:contextualSpacing/>
        <w:jc w:val="both"/>
        <w:rPr>
          <w:rStyle w:val="Strong"/>
          <w:b w:val="false"/>
          <w:bCs w:val="false"/>
          <w:szCs w:val="24"/>
        </w:rPr>
      </w:pPr>
      <w:r>
        <w:rPr>
          <w:b w:val="false"/>
          <w:bCs w:val="false"/>
          <w:szCs w:val="24"/>
        </w:rPr>
      </w:r>
    </w:p>
    <w:p>
      <w:pPr>
        <w:pStyle w:val="Standard"/>
        <w:spacing w:before="0" w:after="0"/>
        <w:contextualSpacing/>
        <w:jc w:val="both"/>
        <w:rPr/>
      </w:pPr>
      <w:r>
        <w:rPr/>
        <w:t>1.1  W przypadku, gdy Wykonawca wskaże w formularzu ofertowym okres gwarancji na wykonane roboty budowlano – montażowe i instalacje krótszy niż 24 miesiące, Zamawiający odrzuci ofertę.</w:t>
      </w:r>
    </w:p>
    <w:p>
      <w:pPr>
        <w:pStyle w:val="Standard"/>
        <w:spacing w:before="0" w:after="0"/>
        <w:contextualSpacing/>
        <w:jc w:val="both"/>
        <w:rPr/>
      </w:pPr>
      <w:r>
        <w:rPr/>
        <w:t xml:space="preserve">1.2  W przypadku, gdy Wykonawca nie wskaże w formularzu ofertowym okresu gwarancji na wykonane roboty budowlano – montażowe i instalacje, Zamawiający przyjmie do oceny ofert oraz przyszłej umowy, że okres udzielonej gwarancji jest równy minimalnym wymaganiom określonym w SWZ i wynosi 24 miesiące.  </w:t>
      </w:r>
    </w:p>
    <w:p>
      <w:pPr>
        <w:pStyle w:val="Standard"/>
        <w:spacing w:before="0" w:after="0"/>
        <w:contextualSpacing/>
        <w:jc w:val="both"/>
        <w:rPr/>
      </w:pPr>
      <w:bookmarkStart w:id="3" w:name="_Hlk24709714"/>
      <w:r>
        <w:rPr/>
        <w:t xml:space="preserve">1.3 W przypadku, gdy Wykonawca wskaże w formularzu ofertowym okres gwarancji na wykonane roboty budowlano – montażowe i instalacje dłuższy niż 60 miesięcy, punktacja zostanie policzona jak dla 60 miesięcy – maksymalnego przyjętego okresu. Do umowy zaś zostanie wpisana gwarancja zaoferowana w ofercie.  </w:t>
      </w:r>
      <w:bookmarkEnd w:id="3"/>
    </w:p>
    <w:p>
      <w:pPr>
        <w:pStyle w:val="Standard"/>
        <w:spacing w:before="0" w:after="0"/>
        <w:contextualSpacing/>
        <w:jc w:val="both"/>
        <w:rPr/>
      </w:pPr>
      <w:r>
        <w:rPr/>
        <w:t xml:space="preserve">2. </w:t>
      </w:r>
      <w:r>
        <w:rPr>
          <w:bCs/>
        </w:rPr>
        <w:t xml:space="preserve">Obliczenia dokonane będą z dokładnością do dwóch miejsc po przecinku. </w:t>
      </w:r>
    </w:p>
    <w:p>
      <w:pPr>
        <w:pStyle w:val="Standard"/>
        <w:spacing w:before="0" w:after="0"/>
        <w:contextualSpacing/>
        <w:jc w:val="both"/>
        <w:rPr/>
      </w:pPr>
      <w:r>
        <w:rPr>
          <w:bCs/>
        </w:rPr>
        <w:t xml:space="preserve">3. </w:t>
      </w:r>
      <w:r>
        <w:rPr/>
        <w:t xml:space="preserve">Oferty będą oceniane w odniesieniu do najkorzystniejszych warunków przedstawionych przez Wykonawców w zakresie kryterium. Oferta wypełniająca w najwyższym kryterium otrzyma maksymalną ilość punktów. Pozostałym Wykonawcom, spełniającym wymagane kryteria, przypisana zostanie proporcjonalnie mniejsza ilość punktów. </w:t>
      </w:r>
    </w:p>
    <w:p>
      <w:pPr>
        <w:pStyle w:val="Standard"/>
        <w:spacing w:before="0" w:after="0"/>
        <w:contextualSpacing/>
        <w:jc w:val="both"/>
        <w:rPr/>
      </w:pPr>
      <w:r>
        <w:rPr/>
        <w:t xml:space="preserve">4. </w:t>
      </w:r>
      <w:r>
        <w:rPr>
          <w:rFonts w:eastAsia="TimesNewRoman"/>
        </w:rPr>
        <w:t xml:space="preserve">Za najkorzystniejszą ofertę Zamawiający uzna ofertę z największą ilością punktów spośród ofert nieodrzuconych oraz spośród ofert Wykonawców niewykluczonych z postępowania, </w:t>
      </w:r>
      <w:r>
        <w:rPr/>
        <w:t>która uzyskała największą ilość punktów obliczonych według powyższych algorytmów.</w:t>
      </w:r>
    </w:p>
    <w:p>
      <w:pPr>
        <w:pStyle w:val="Standard"/>
        <w:spacing w:before="0" w:after="0"/>
        <w:contextualSpacing/>
        <w:jc w:val="both"/>
        <w:rPr>
          <w:rFonts w:eastAsia="TimesNewRoman"/>
        </w:rPr>
      </w:pPr>
      <w:r>
        <w:rPr>
          <w:rFonts w:eastAsia="TimesNewRoman"/>
        </w:rPr>
        <w:t>KIP = C + G +D</w:t>
      </w:r>
    </w:p>
    <w:p>
      <w:pPr>
        <w:pStyle w:val="Standard"/>
        <w:spacing w:before="0" w:after="0"/>
        <w:contextualSpacing/>
        <w:jc w:val="both"/>
        <w:rPr>
          <w:rFonts w:eastAsia="TimesNewRoman"/>
        </w:rPr>
      </w:pPr>
      <w:r>
        <w:rPr>
          <w:rFonts w:eastAsia="TimesNewRoman"/>
        </w:rPr>
        <w:t>gdzie poszczególne symbole oznaczają:</w:t>
      </w:r>
    </w:p>
    <w:p>
      <w:pPr>
        <w:pStyle w:val="Standard"/>
        <w:spacing w:before="0" w:after="0"/>
        <w:contextualSpacing/>
        <w:jc w:val="both"/>
        <w:rPr>
          <w:rFonts w:eastAsia="TimesNewRoman"/>
        </w:rPr>
      </w:pPr>
      <w:r>
        <w:rPr>
          <w:rFonts w:eastAsia="TimesNewRoman"/>
        </w:rPr>
        <w:t>KIP – końcowa ilość punktów,</w:t>
      </w:r>
    </w:p>
    <w:p>
      <w:pPr>
        <w:pStyle w:val="Standard"/>
        <w:spacing w:before="0" w:after="0"/>
        <w:contextualSpacing/>
        <w:jc w:val="both"/>
        <w:rPr>
          <w:rFonts w:eastAsia="TimesNewRoman"/>
        </w:rPr>
      </w:pPr>
      <w:r>
        <w:rPr>
          <w:rFonts w:eastAsia="TimesNewRoman"/>
        </w:rPr>
        <w:t>C – liczba punktów uzyskanych w kryterium: Cena</w:t>
      </w:r>
    </w:p>
    <w:p>
      <w:pPr>
        <w:pStyle w:val="Standard"/>
        <w:spacing w:before="0" w:after="0"/>
        <w:contextualSpacing/>
        <w:jc w:val="both"/>
        <w:rPr>
          <w:rFonts w:eastAsia="TimesNewRoman"/>
        </w:rPr>
      </w:pPr>
      <w:r>
        <w:rPr>
          <w:rFonts w:eastAsia="TimesNewRoman"/>
        </w:rPr>
        <w:t>G – liczba punktów uzyskanych w kryterium: Gwarancja na wykonane roboty budowlane, instalacje wodno-kanalizacyjne oraz instalacje elektroniczne</w:t>
      </w:r>
    </w:p>
    <w:p>
      <w:pPr>
        <w:pStyle w:val="Standard"/>
        <w:spacing w:before="0" w:after="0"/>
        <w:contextualSpacing/>
        <w:jc w:val="both"/>
        <w:rPr>
          <w:rFonts w:eastAsia="TimesNewRoman"/>
        </w:rPr>
      </w:pPr>
      <w:r>
        <w:rPr>
          <w:rFonts w:eastAsia="TimesNewRoman"/>
        </w:rPr>
        <w:t>D - liczba punktów uzyskanych w kryterium: Doświadczenie kierownika budowy</w:t>
      </w:r>
    </w:p>
    <w:p>
      <w:pPr>
        <w:pStyle w:val="Standard"/>
        <w:spacing w:before="0" w:after="0"/>
        <w:contextualSpacing/>
        <w:jc w:val="both"/>
        <w:rPr>
          <w:rFonts w:eastAsia="TimesNewRoman"/>
        </w:rPr>
      </w:pPr>
      <w:r>
        <w:rPr>
          <w:rFonts w:eastAsia="TimesNewRoman"/>
        </w:rPr>
      </w:r>
    </w:p>
    <w:p>
      <w:pPr>
        <w:pStyle w:val="Standard"/>
        <w:spacing w:before="0" w:after="0"/>
        <w:contextualSpacing/>
        <w:jc w:val="both"/>
        <w:rPr>
          <w:rFonts w:eastAsia="TimesNewRoman"/>
        </w:rPr>
      </w:pPr>
      <w:r>
        <w:rPr>
          <w:rFonts w:eastAsia="TimesNewRoman"/>
        </w:rPr>
        <w:t xml:space="preserve">5. Jeżeli w postępowaniu zostaną złożone oferty, które uzyskały taką samą liczbę punktów według kryteriów określonych przez Zamawiającego, Zamawiający dokonuje wyboru spośród tych ofert, ofertę, która otrzymała najwyższą ocenę w kryterium o najwyższej wadze. </w:t>
      </w:r>
    </w:p>
    <w:p>
      <w:pPr>
        <w:pStyle w:val="Standard"/>
        <w:spacing w:before="0" w:after="0"/>
        <w:contextualSpacing/>
        <w:jc w:val="both"/>
        <w:rPr>
          <w:rFonts w:eastAsia="TimesNewRoman"/>
        </w:rPr>
      </w:pPr>
      <w:r>
        <w:rPr>
          <w:rFonts w:eastAsia="TimesNewRoman"/>
        </w:rPr>
        <w:t xml:space="preserve">5.1. Jeżeli oferty otrzymały taką samą ocenę w kryterium o najwyższej wadze, Zamawiający dokonuje wyboru oferty z najniższą ceną. </w:t>
      </w:r>
    </w:p>
    <w:p>
      <w:pPr>
        <w:pStyle w:val="Standard"/>
        <w:spacing w:before="0" w:after="0"/>
        <w:contextualSpacing/>
        <w:jc w:val="both"/>
        <w:rPr>
          <w:rFonts w:eastAsia="TimesNewRoman"/>
        </w:rPr>
      </w:pPr>
      <w:r>
        <w:rPr>
          <w:rFonts w:eastAsia="TimesNewRoman"/>
        </w:rPr>
        <w:t xml:space="preserve">5.2. Jeżeli nie będzie możliwy wybór oferty w sposób określony w pkt. 5.1 Zamawiający wzywa Wykonawców, którzy złożyli te oferty, do złożenia w terminie określonym przez Zamawiającego, ofert dodatkowych zawierających nową cenę. </w:t>
      </w:r>
    </w:p>
    <w:p>
      <w:pPr>
        <w:pStyle w:val="Standard"/>
        <w:spacing w:before="0" w:after="0"/>
        <w:contextualSpacing/>
        <w:jc w:val="both"/>
        <w:rPr>
          <w:rFonts w:eastAsia="TimesNewRoman"/>
        </w:rPr>
      </w:pPr>
      <w:r>
        <w:rPr>
          <w:rFonts w:eastAsia="TimesNewRoman"/>
        </w:rPr>
        <w:t>6. Zgodnie z art. 223 ust. 1 ustawy, w toku dokonywania oceny złożonych ofert Zamawiający może żądać od Wykonawców wyjaśnień dotyczących treści złożonych ofert oraz przedmiotowych środków dowodowych lub innych składanych dokumentów lub oświadczeń.</w:t>
      </w:r>
    </w:p>
    <w:p>
      <w:pPr>
        <w:pStyle w:val="Standard"/>
        <w:spacing w:before="0" w:after="0"/>
        <w:contextualSpacing/>
        <w:jc w:val="both"/>
        <w:rPr>
          <w:rFonts w:eastAsia="TimesNewRoman"/>
        </w:rPr>
      </w:pPr>
      <w:r>
        <w:rPr>
          <w:rFonts w:eastAsia="TimesNewRoman"/>
        </w:rPr>
        <w:t>7. Zamawiający poprawi w ofercie omyłki wskazane w art. 223 ust. 2 ustawy pzp, niezwłocznie zawiadamiając o tym Wykonawcę, którego oferta zostanie poprawiona.</w:t>
      </w:r>
    </w:p>
    <w:p>
      <w:pPr>
        <w:pStyle w:val="Standard"/>
        <w:spacing w:before="0" w:after="0"/>
        <w:contextualSpacing/>
        <w:jc w:val="both"/>
        <w:rPr>
          <w:rFonts w:eastAsia="TimesNewRoman"/>
        </w:rPr>
      </w:pPr>
      <w:r>
        <w:rPr>
          <w:rFonts w:eastAsia="TimesNewRoman"/>
        </w:rPr>
        <w:t>8. Zamawiający odrzuci złożoną ofertę, w przypadku wystąpienia przynajmniej jednej z okoliczności, o których mowa w art. 226 ust. 1 ustawy pzp.</w:t>
      </w:r>
    </w:p>
    <w:p>
      <w:pPr>
        <w:pStyle w:val="Standard"/>
        <w:spacing w:before="0" w:after="0"/>
        <w:contextualSpacing/>
        <w:jc w:val="both"/>
        <w:rPr>
          <w:rFonts w:eastAsia="TimesNewRoman"/>
        </w:rPr>
      </w:pPr>
      <w:r>
        <w:rPr>
          <w:rFonts w:eastAsia="TimesNewRoman"/>
        </w:rPr>
        <w:t>9. W przypadku, gdy nie zostanie złożona żadna oferta niepodlegająca odrzuceniu, postępowanie zostanie unieważnione. Zamawiający unieważni postępowanie także w innych przypadkach, określonych w ustawie.</w:t>
      </w:r>
    </w:p>
    <w:p>
      <w:pPr>
        <w:pStyle w:val="Standard"/>
        <w:spacing w:before="0" w:after="0"/>
        <w:contextualSpacing/>
        <w:jc w:val="both"/>
        <w:rPr>
          <w:rFonts w:eastAsia="TimesNewRoman"/>
          <w:color w:val="FF0000"/>
        </w:rPr>
      </w:pPr>
      <w:r>
        <w:rPr>
          <w:rFonts w:eastAsia="TimesNewRoman"/>
          <w:color w:val="FF0000"/>
        </w:rPr>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Arial"/>
          <w:b/>
          <w:bCs/>
          <w:kern w:val="0"/>
          <w:lang w:eastAsia="en-US"/>
        </w:rPr>
        <w:t>XIX. INFORMACJE O FORMALNOŚCIACH, JAKIE POWINNY ZOSTAĆ                       DOPEŁNIONE PO WYBORZE OFERTY W CELU ZAWARCIA UMOWY                         W SPRAWIE ZAMÓWIENIA PUBLICZNEGO:</w:t>
      </w:r>
    </w:p>
    <w:p>
      <w:pPr>
        <w:pStyle w:val="Standard"/>
        <w:spacing w:before="0" w:after="0"/>
        <w:contextualSpacing/>
        <w:jc w:val="both"/>
        <w:rPr/>
      </w:pPr>
      <w:r>
        <w:rPr/>
        <w:t xml:space="preserve">1. O wyniku postępowania Zamawiający powiadomi Wykonawców uczestniczących                                                    w postępowaniu poprzez zamieszczenie informacji na stronie internetowej prowadzonego postępowania </w:t>
      </w:r>
      <w:hyperlink r:id="rId20">
        <w:r>
          <w:rPr>
            <w:rStyle w:val="Hyperlink"/>
            <w:color w:val="auto"/>
          </w:rPr>
          <w:t>https://platformazakupowa.pl/pn/szpital_andrychow</w:t>
        </w:r>
      </w:hyperlink>
      <w:r>
        <w:rPr>
          <w:rStyle w:val="Hyperlink"/>
          <w:color w:val="auto"/>
          <w:u w:val="none"/>
        </w:rPr>
        <w:t xml:space="preserve"> z jednoczesnym zawiadomieniem o terminie zawarcia umowy w sprawie zamówienia publicznego w siedzibie Zamawiającego.  </w:t>
      </w:r>
    </w:p>
    <w:p>
      <w:pPr>
        <w:pStyle w:val="Standard"/>
        <w:spacing w:before="0" w:after="0"/>
        <w:contextualSpacing/>
        <w:jc w:val="both"/>
        <w:rPr/>
      </w:pPr>
      <w:r>
        <w:rPr/>
        <w:t>2.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pPr>
        <w:pStyle w:val="Standard"/>
        <w:spacing w:before="0" w:after="0"/>
        <w:contextualSpacing/>
        <w:jc w:val="both"/>
        <w:rPr>
          <w:color w:val="FF0000"/>
        </w:rPr>
      </w:pPr>
      <w:r>
        <w:rPr/>
        <w:t>3. Zamawiający zawrze umowę w sprawie zamówienia publicznego, z zastrzeżeniem art. 577 ustawy Pzp, w terminach określonych w art. 308 ust. 2 lub ust. 3 ustawy Pzp.</w:t>
      </w:r>
    </w:p>
    <w:p>
      <w:pPr>
        <w:pStyle w:val="Standard"/>
        <w:spacing w:before="0" w:after="0"/>
        <w:contextualSpacing/>
        <w:jc w:val="both"/>
        <w:rPr/>
      </w:pPr>
      <w:r>
        <w:rPr>
          <w:b/>
          <w:bCs/>
          <w:color w:val="000000"/>
        </w:rPr>
        <w:t>4. Wykonawca, którego oferta zostanie wybrana jako najkorzystniejsza, zobowiązany jest przed podpisaniem umowy w terminie wskazanym przez Zamawiającego, do dostarczenia następujących dokumentów:</w:t>
      </w:r>
    </w:p>
    <w:p>
      <w:pPr>
        <w:pStyle w:val="Normal"/>
        <w:spacing w:before="0" w:after="120"/>
        <w:contextualSpacing/>
        <w:jc w:val="both"/>
        <w:rPr/>
      </w:pPr>
      <w:r>
        <w:rPr>
          <w:color w:val="000000"/>
        </w:rPr>
        <w:t>4.1. w przypadku wyboru oferty Wykonawców ubiegających się wspólnie o udzielenie zamówienia – umowy regulującej współpracę tych Wykonawców;</w:t>
      </w:r>
    </w:p>
    <w:p>
      <w:pPr>
        <w:pStyle w:val="Normal"/>
        <w:spacing w:before="0" w:after="120"/>
        <w:contextualSpacing/>
        <w:jc w:val="both"/>
        <w:rPr/>
      </w:pPr>
      <w:r>
        <w:rPr>
          <w:color w:val="000000"/>
        </w:rPr>
        <w:t>4.2. w przypadku wyboru oferty Wykonawcy realizującego zamówienie z udziałem podwykonawców – umowy o podwykonawstwo;</w:t>
      </w:r>
    </w:p>
    <w:p>
      <w:pPr>
        <w:pStyle w:val="Normal"/>
        <w:spacing w:before="0" w:after="120"/>
        <w:contextualSpacing/>
        <w:jc w:val="both"/>
        <w:rPr/>
      </w:pPr>
      <w:r>
        <w:rPr>
          <w:color w:val="000000"/>
        </w:rPr>
        <w:t>4.3. gwarancji zabezpieczenia należytego wykonania umowy;</w:t>
      </w:r>
    </w:p>
    <w:p>
      <w:pPr>
        <w:pStyle w:val="Normal"/>
        <w:spacing w:before="0" w:after="120"/>
        <w:contextualSpacing/>
        <w:jc w:val="both"/>
        <w:rPr/>
      </w:pPr>
      <w:r>
        <w:rPr>
          <w:color w:val="000000"/>
        </w:rPr>
        <w:t>4.4. polisy ubezpieczeniowej od odpowiedzialności cywilnej w zakresie prowadzonej działalności związanej z przedmiotem zamówienia na wartość wynagrodzenia brutto za wykonanie przedmiotu umowy;</w:t>
      </w:r>
    </w:p>
    <w:p>
      <w:pPr>
        <w:pStyle w:val="Normal"/>
        <w:spacing w:before="0" w:after="120"/>
        <w:contextualSpacing/>
        <w:jc w:val="both"/>
        <w:rPr/>
      </w:pPr>
      <w:r>
        <w:rPr>
          <w:color w:val="000000"/>
        </w:rPr>
        <w:t xml:space="preserve">4.5. wykazu pracowników zatrudnionych na umowę o pracę – zgodnie z wymaganiami zawartymi w niniejszej SWZ i projektowanych postanowieniach umowy.                                                              </w:t>
      </w:r>
      <w:r>
        <w:rPr>
          <w:i/>
          <w:iCs/>
          <w:color w:val="000000"/>
        </w:rPr>
        <w:t xml:space="preserve">Wzór stanowi Załącznik nr 10 do SWZ; </w:t>
      </w:r>
    </w:p>
    <w:p>
      <w:pPr>
        <w:pStyle w:val="Normal"/>
        <w:spacing w:before="0" w:after="120"/>
        <w:contextualSpacing/>
        <w:jc w:val="both"/>
        <w:rPr/>
      </w:pPr>
      <w:r>
        <w:rPr/>
        <w:t xml:space="preserve">5. </w:t>
      </w:r>
      <w:r>
        <w:rPr>
          <w:bCs/>
        </w:rPr>
        <w:t xml:space="preserve">W przypadku nieprzedłożenia przez Wykonawcę wymaganych dokumentów, o których mowa w pkt. 4 powyżej, będzie traktowane jako uchylenie się od podpisania umowy i umowa nie zostanie zawarta z winy Wykonawcy. </w:t>
      </w:r>
    </w:p>
    <w:p>
      <w:pPr>
        <w:pStyle w:val="Normal"/>
        <w:spacing w:before="0" w:after="120"/>
        <w:contextualSpacing/>
        <w:jc w:val="both"/>
        <w:rPr>
          <w:bCs/>
          <w:i/>
          <w:iCs/>
        </w:rPr>
      </w:pPr>
      <w:r>
        <w:rPr>
          <w:bCs/>
        </w:rPr>
        <w:t xml:space="preserve">6. Wybrany Wykonawca jest zobowiązany do zawarcia umowy w sprawie zamówienia publicznego na warunkach określonych w istotnych postanowieniach do umowy stanowiącym </w:t>
      </w:r>
      <w:r>
        <w:rPr>
          <w:bCs/>
          <w:i/>
          <w:iCs/>
        </w:rPr>
        <w:t>Załącznik nr 10 do SWZ.</w:t>
      </w:r>
    </w:p>
    <w:p>
      <w:pPr>
        <w:pStyle w:val="Standard"/>
        <w:spacing w:before="0" w:after="0"/>
        <w:contextualSpacing/>
        <w:jc w:val="both"/>
        <w:rPr/>
      </w:pPr>
      <w:r>
        <w:rPr/>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Arial"/>
          <w:b/>
          <w:bCs/>
          <w:kern w:val="0"/>
          <w:lang w:eastAsia="en-US"/>
        </w:rPr>
        <w:t>XX. WYMAGANIA DOTYCZĄCE ZABEZPIECZENIA NALEŻYTEGO                           WYKONANIA UMOWY:</w:t>
      </w:r>
    </w:p>
    <w:p>
      <w:pPr>
        <w:pStyle w:val="Normal"/>
        <w:tabs>
          <w:tab w:val="clear" w:pos="720"/>
          <w:tab w:val="left" w:pos="-4680" w:leader="none"/>
        </w:tabs>
        <w:spacing w:before="0" w:after="120"/>
        <w:contextualSpacing/>
        <w:jc w:val="both"/>
        <w:rPr/>
      </w:pPr>
      <w:r>
        <w:rPr>
          <w:rFonts w:eastAsia="Tahoma"/>
          <w:b/>
          <w:bCs/>
        </w:rPr>
        <w:t xml:space="preserve">1. Zamawiający wymaga wniesienia zabezpieczenia należytego wykonania umowy                                       w wysokości 5% ceny całkowitej brutto oferty Wykonawcy. </w:t>
      </w:r>
    </w:p>
    <w:p>
      <w:pPr>
        <w:pStyle w:val="Normal"/>
        <w:tabs>
          <w:tab w:val="clear" w:pos="720"/>
          <w:tab w:val="left" w:pos="-4680" w:leader="none"/>
        </w:tabs>
        <w:spacing w:before="0" w:after="120"/>
        <w:contextualSpacing/>
        <w:jc w:val="both"/>
        <w:rPr/>
      </w:pPr>
      <w:r>
        <w:rPr>
          <w:rFonts w:eastAsia="Tahoma"/>
        </w:rPr>
        <w:t>2. Zabezpieczenie służy pokryciu roszczeń z tytułu niewykonania lub nienależytego wykonania umowy i jest wnoszone przed zawarciem umowy.</w:t>
      </w:r>
    </w:p>
    <w:p>
      <w:pPr>
        <w:pStyle w:val="Normal"/>
        <w:tabs>
          <w:tab w:val="clear" w:pos="720"/>
          <w:tab w:val="left" w:pos="-4680" w:leader="none"/>
        </w:tabs>
        <w:spacing w:before="0" w:after="120"/>
        <w:contextualSpacing/>
        <w:jc w:val="both"/>
        <w:rPr/>
      </w:pPr>
      <w:r>
        <w:rPr>
          <w:rFonts w:eastAsia="Tahoma"/>
        </w:rPr>
        <w:t>3. Zabezpieczenie może być wnoszone, według wyboru Wykonawcy, w jednej lub w kilku następujących formach:</w:t>
      </w:r>
    </w:p>
    <w:p>
      <w:pPr>
        <w:pStyle w:val="Normal"/>
        <w:tabs>
          <w:tab w:val="clear" w:pos="720"/>
          <w:tab w:val="left" w:pos="-4680" w:leader="none"/>
        </w:tabs>
        <w:spacing w:before="0" w:after="120"/>
        <w:contextualSpacing/>
        <w:jc w:val="both"/>
        <w:rPr/>
      </w:pPr>
      <w:r>
        <w:rPr>
          <w:rFonts w:eastAsia="Tahoma"/>
        </w:rPr>
        <w:t>3.1 pieniądzu ;</w:t>
      </w:r>
    </w:p>
    <w:p>
      <w:pPr>
        <w:pStyle w:val="Normal"/>
        <w:tabs>
          <w:tab w:val="clear" w:pos="720"/>
          <w:tab w:val="left" w:pos="-4680" w:leader="none"/>
        </w:tabs>
        <w:spacing w:before="0" w:after="120"/>
        <w:contextualSpacing/>
        <w:jc w:val="both"/>
        <w:rPr/>
      </w:pPr>
      <w:r>
        <w:rPr>
          <w:rFonts w:eastAsia="Tahoma"/>
        </w:rPr>
        <w:t>3.2 poręczeniach bankowych lub poręczeniach spółdzielczej kasy oszczędnościowo - kredytowej, z tym że zobowiązanie kasy jest zawsze zobowiązaniem pieniężnym;</w:t>
      </w:r>
    </w:p>
    <w:p>
      <w:pPr>
        <w:pStyle w:val="Normal"/>
        <w:tabs>
          <w:tab w:val="clear" w:pos="720"/>
          <w:tab w:val="left" w:pos="-4680" w:leader="none"/>
        </w:tabs>
        <w:spacing w:before="0" w:after="120"/>
        <w:contextualSpacing/>
        <w:jc w:val="both"/>
        <w:rPr/>
      </w:pPr>
      <w:r>
        <w:rPr>
          <w:rFonts w:eastAsia="Tahoma"/>
        </w:rPr>
        <w:t>3.3 gwarancjach bankowych;</w:t>
      </w:r>
    </w:p>
    <w:p>
      <w:pPr>
        <w:pStyle w:val="Normal"/>
        <w:tabs>
          <w:tab w:val="clear" w:pos="720"/>
          <w:tab w:val="left" w:pos="-4680" w:leader="none"/>
        </w:tabs>
        <w:spacing w:before="0" w:after="120"/>
        <w:contextualSpacing/>
        <w:jc w:val="both"/>
        <w:rPr/>
      </w:pPr>
      <w:r>
        <w:rPr>
          <w:rFonts w:eastAsia="Tahoma"/>
        </w:rPr>
        <w:t>3.4 gwarancjach ubezpieczeniowych;</w:t>
      </w:r>
    </w:p>
    <w:p>
      <w:pPr>
        <w:pStyle w:val="Normal"/>
        <w:tabs>
          <w:tab w:val="clear" w:pos="720"/>
          <w:tab w:val="left" w:pos="-4680" w:leader="none"/>
        </w:tabs>
        <w:spacing w:before="0" w:after="120"/>
        <w:contextualSpacing/>
        <w:jc w:val="both"/>
        <w:rPr/>
      </w:pPr>
      <w:r>
        <w:rPr>
          <w:rFonts w:eastAsia="Tahoma"/>
        </w:rPr>
        <w:t xml:space="preserve">3.5 poręczeniach udzielanych przez podmioty, o których mowa w art. 6b ust. 5 pkt 2 ustawy                     z dnia 9 listopada 2000 r. o utworzeniu Polskiej Agencji Rozwoju Przedsiębiorczości. </w:t>
      </w:r>
    </w:p>
    <w:p>
      <w:pPr>
        <w:pStyle w:val="Normal"/>
        <w:tabs>
          <w:tab w:val="clear" w:pos="720"/>
          <w:tab w:val="left" w:pos="-4680" w:leader="none"/>
        </w:tabs>
        <w:spacing w:before="0" w:after="120"/>
        <w:contextualSpacing/>
        <w:jc w:val="both"/>
        <w:rPr/>
      </w:pPr>
      <w:r>
        <w:rPr>
          <w:rFonts w:eastAsia="Tahoma"/>
        </w:rPr>
        <w:t xml:space="preserve">4. </w:t>
      </w:r>
      <w:r>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pPr>
        <w:pStyle w:val="Normal"/>
        <w:tabs>
          <w:tab w:val="clear" w:pos="720"/>
          <w:tab w:val="left" w:pos="-4680" w:leader="none"/>
        </w:tabs>
        <w:spacing w:before="0" w:after="120"/>
        <w:contextualSpacing/>
        <w:jc w:val="both"/>
        <w:rPr/>
      </w:pPr>
      <w:r>
        <w:rPr/>
        <w:t>5. Jeżeli zabezpieczenie będzie wnoszone w formie, o której mowa w pkt. 3.2 - 3.5, Wykonawca przed podpisaniem umowy składa Zamawiającemu oryginał dokumentu wystawiony na rzecz Zamawiającego. Dokument ten musi zawierać w swojej treści zobowiązanie gwaranta do nieodwołalnej i bezwarunkowej wypłaty należności, do których zobowiązany jest z tytułu zabezpieczenia należytego wykonania umowy przez Wykonawcę oraz roszczeń z tytułu rękojmi za wady i gwarancji , na pierwsze pisemne żądanie Zamawiającego wzywające do zapłaty.</w:t>
      </w:r>
    </w:p>
    <w:p>
      <w:pPr>
        <w:pStyle w:val="Normal"/>
        <w:tabs>
          <w:tab w:val="clear" w:pos="720"/>
          <w:tab w:val="left" w:pos="-4680" w:leader="none"/>
        </w:tabs>
        <w:spacing w:before="0" w:after="120"/>
        <w:contextualSpacing/>
        <w:jc w:val="both"/>
        <w:rPr/>
      </w:pPr>
      <w:r>
        <w:rPr/>
        <w:t>6. W trakcie realizacji umowy, Wykonawca może dokonać zmiany formy zabezpieczenia na jedną lub kilka form, o których mowa w pkt. 3 powyżej. Zmiana formy zabezpieczenia jest dokonywana z zachowaniem ciągłości zabezpieczenia i bez zmniejszenia jego wysokości.</w:t>
      </w:r>
    </w:p>
    <w:p>
      <w:pPr>
        <w:pStyle w:val="Normal"/>
        <w:tabs>
          <w:tab w:val="clear" w:pos="720"/>
          <w:tab w:val="left" w:pos="-4680" w:leader="none"/>
        </w:tabs>
        <w:spacing w:before="0" w:after="120"/>
        <w:contextualSpacing/>
        <w:jc w:val="both"/>
        <w:rPr/>
      </w:pPr>
      <w:r>
        <w:rPr/>
        <w:t xml:space="preserve">7. Zamawiający zwraca zabezpieczenie w terminach określonych w ustawie Pzp.  </w:t>
      </w:r>
    </w:p>
    <w:p>
      <w:pPr>
        <w:pStyle w:val="Normal"/>
        <w:tabs>
          <w:tab w:val="clear" w:pos="720"/>
          <w:tab w:val="left" w:pos="-4680" w:leader="none"/>
        </w:tabs>
        <w:spacing w:before="0" w:after="120"/>
        <w:contextualSpacing/>
        <w:jc w:val="both"/>
        <w:rPr/>
      </w:pPr>
      <w:r>
        <w:rPr/>
      </w:r>
    </w:p>
    <w:p>
      <w:pPr>
        <w:pStyle w:val="Standard"/>
        <w:shd w:val="clear" w:color="auto" w:fill="E5E5E5"/>
        <w:tabs>
          <w:tab w:val="clear" w:pos="720"/>
          <w:tab w:val="left" w:pos="142" w:leader="none"/>
        </w:tabs>
        <w:suppressAutoHyphens w:val="false"/>
        <w:spacing w:before="0" w:after="120"/>
        <w:contextualSpacing/>
        <w:jc w:val="both"/>
        <w:rPr/>
      </w:pPr>
      <w:r>
        <w:rPr>
          <w:rFonts w:eastAsia="Arial"/>
          <w:b/>
          <w:bCs/>
        </w:rPr>
        <w:t xml:space="preserve">XXI. </w:t>
      </w:r>
      <w:r>
        <w:rPr>
          <w:b/>
          <w:bCs/>
        </w:rPr>
        <w:t>INFORMACJE DOTYCZĄCE PODWYKONAWSTWA:</w:t>
      </w:r>
    </w:p>
    <w:p>
      <w:pPr>
        <w:pStyle w:val="Standard"/>
        <w:tabs>
          <w:tab w:val="clear" w:pos="720"/>
          <w:tab w:val="left" w:pos="-3829" w:leader="none"/>
        </w:tabs>
        <w:spacing w:before="0" w:after="120"/>
        <w:contextualSpacing/>
        <w:jc w:val="both"/>
        <w:textAlignment w:val="auto"/>
        <w:rPr>
          <w:bCs/>
        </w:rPr>
      </w:pPr>
      <w:r>
        <w:rPr>
          <w:bCs/>
        </w:rPr>
        <w:t xml:space="preserve">1. Wykonawca może powierzyć wykonanie części zamówienia podwykonawcy.    </w:t>
      </w:r>
    </w:p>
    <w:p>
      <w:pPr>
        <w:pStyle w:val="Standard"/>
        <w:tabs>
          <w:tab w:val="clear" w:pos="720"/>
          <w:tab w:val="left" w:pos="-3829" w:leader="none"/>
        </w:tabs>
        <w:spacing w:before="0" w:after="120"/>
        <w:contextualSpacing/>
        <w:jc w:val="both"/>
        <w:textAlignment w:val="auto"/>
        <w:rPr/>
      </w:pPr>
      <w:r>
        <w:rPr>
          <w:bCs/>
        </w:rPr>
        <w:t>2. Zamawiający żąda wskazania przez Wykonawcę w ofercie części zamówienia, których</w:t>
      </w:r>
      <w:r>
        <w:rPr/>
        <w:t xml:space="preserve"> wykonanie zamierza powierzyć Podwykonawcy/Podwykonawcom oraz podał (o ile są mu wiadome na tym etapie) nazwę/nazwy firmy/firm tego/tych Podwykonawcy/ Podwykonawców (odpowiedni punkt w treści formularza ofertowego).   </w:t>
      </w:r>
    </w:p>
    <w:p>
      <w:pPr>
        <w:pStyle w:val="Standard"/>
        <w:tabs>
          <w:tab w:val="clear" w:pos="720"/>
          <w:tab w:val="left" w:pos="-3829" w:leader="none"/>
        </w:tabs>
        <w:spacing w:before="0" w:after="120"/>
        <w:contextualSpacing/>
        <w:jc w:val="both"/>
        <w:textAlignment w:val="auto"/>
        <w:rPr/>
      </w:pPr>
      <w:r>
        <w:rPr/>
        <w:t xml:space="preserve">3. Jeżeli zmiana albo rezygnacja z podwykonawcy dotyczy podmiotu, na którego zasoby Wykonawca powoływał się, na zasadach określonych w </w:t>
      </w:r>
      <w:r>
        <w:rPr>
          <w:rFonts w:eastAsia="Arial Unicode MS"/>
          <w:bCs/>
        </w:rPr>
        <w:t xml:space="preserve">art. 118 ust.1 ustawy Pzp, </w:t>
      </w:r>
      <w:r>
        <w:rPr/>
        <w:t>w celu wykazania spełniania warunków udziału w postępowaniu, Wykonawca jest zobowiązany wykazać Zamawiającemu, że proponowany inny Podwykonawca lub Wykonawca samodzielnie spełnia je w stopniu nie mniejszym niż Podwykonawca, na zasoby którego Wykonawca powoływał się w trakcie postępowania o udzielenie zamówienia.</w:t>
      </w:r>
    </w:p>
    <w:p>
      <w:pPr>
        <w:pStyle w:val="Standard"/>
        <w:tabs>
          <w:tab w:val="clear" w:pos="720"/>
          <w:tab w:val="left" w:pos="-3829" w:leader="none"/>
        </w:tabs>
        <w:spacing w:before="0" w:after="120"/>
        <w:contextualSpacing/>
        <w:jc w:val="both"/>
        <w:textAlignment w:val="auto"/>
        <w:rPr/>
      </w:pPr>
      <w:r>
        <w:rPr/>
        <w:t xml:space="preserve">4. Umowa o podwykonawstwo musi posiadać formę pisemną. </w:t>
      </w:r>
    </w:p>
    <w:p>
      <w:pPr>
        <w:pStyle w:val="Standard"/>
        <w:tabs>
          <w:tab w:val="clear" w:pos="720"/>
          <w:tab w:val="left" w:pos="-3829" w:leader="none"/>
        </w:tabs>
        <w:spacing w:before="0" w:after="120"/>
        <w:contextualSpacing/>
        <w:jc w:val="both"/>
        <w:textAlignment w:val="auto"/>
        <w:rPr/>
      </w:pPr>
      <w:r>
        <w:rPr/>
        <w:t xml:space="preserve">5. Powierzenie wykonania części zamówienia Podwykonawcom nie zwalnia Wykonawcy                             z odpowiedzialności za należyte wykonanie zamówienia. </w:t>
      </w:r>
    </w:p>
    <w:p>
      <w:pPr>
        <w:pStyle w:val="Standard"/>
        <w:spacing w:before="0" w:after="0"/>
        <w:contextualSpacing/>
        <w:jc w:val="both"/>
        <w:rPr/>
      </w:pPr>
      <w:r>
        <w:rPr/>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Arial"/>
          <w:b/>
          <w:bCs/>
          <w:kern w:val="0"/>
          <w:lang w:eastAsia="en-US"/>
        </w:rPr>
        <w:t>XXII. POUCZENIE O ŚRODKACH OCHRONY PRAWNEJ PRZYSŁUGUJĄCYCH WYKONAWCY W TOKU POSTĘPOWANIA O UDZIELENIE ZAMÓWIENIA                 PUBLICZNEGO:</w:t>
      </w:r>
    </w:p>
    <w:p>
      <w:pPr>
        <w:pStyle w:val="Standard"/>
        <w:spacing w:before="0" w:after="0"/>
        <w:contextualSpacing/>
        <w:jc w:val="both"/>
        <w:rPr/>
      </w:pPr>
      <w:r>
        <w:rPr/>
        <w:t>1. Środki ochrony prawnej przysługują Wykonawcy, uczestnikowi konkursu oraz innemu podmiotowi, jeżeli ma lub miał interes w uzyskaniu zamówienia lub nagrody w konkursie oraz poniósł lub może ponieść szkodę w wyniku naruszenia przez Zamawiającego przepisów   ustawy Pzp.</w:t>
      </w:r>
    </w:p>
    <w:p>
      <w:pPr>
        <w:pStyle w:val="Standard"/>
        <w:spacing w:before="0" w:after="0"/>
        <w:contextualSpacing/>
        <w:jc w:val="both"/>
        <w:rPr/>
      </w:pPr>
      <w:r>
        <w:rPr/>
        <w:t>2.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pPr>
        <w:pStyle w:val="Standard"/>
        <w:spacing w:before="0" w:after="0"/>
        <w:contextualSpacing/>
        <w:rPr/>
      </w:pPr>
      <w:r>
        <w:rPr/>
        <w:t>3. Odwołanie przysługuje na:</w:t>
      </w:r>
    </w:p>
    <w:p>
      <w:pPr>
        <w:pStyle w:val="Standard"/>
        <w:spacing w:before="0" w:after="0"/>
        <w:contextualSpacing/>
        <w:jc w:val="both"/>
        <w:rPr/>
      </w:pPr>
      <w:r>
        <w:rPr/>
        <w:t>3.1. niezgodną z przepisami ustawy Pzp czynność Zamawiającego, podjętą w postępowaniu o udzielenie zamówienia, w tym na projektowane postanowienia umowy;</w:t>
      </w:r>
    </w:p>
    <w:p>
      <w:pPr>
        <w:pStyle w:val="Standard"/>
        <w:spacing w:before="0" w:after="0"/>
        <w:contextualSpacing/>
        <w:jc w:val="both"/>
        <w:rPr/>
      </w:pPr>
      <w:r>
        <w:rPr/>
        <w:t>3.2. zaniechanie czynności w postępowaniu o udzielenie zamówienia, do której Zamawiający był zobowiązany na podstawie ustawy Pzp;</w:t>
      </w:r>
    </w:p>
    <w:p>
      <w:pPr>
        <w:pStyle w:val="Standard"/>
        <w:spacing w:before="0" w:after="0"/>
        <w:contextualSpacing/>
        <w:jc w:val="both"/>
        <w:rPr/>
      </w:pPr>
      <w:r>
        <w:rPr/>
        <w:t>4. Odwołanie wnosi się do Prezesa Izby. Odwołujący przekazuje kopię odwołania Zamawiającemu przed upływem terminu do wniesienia odwołania w taki sposób, aby mógł on zapoznać się z jego treścią przed upływem tego terminu.</w:t>
      </w:r>
    </w:p>
    <w:p>
      <w:pPr>
        <w:pStyle w:val="Standard"/>
        <w:spacing w:before="0" w:after="0"/>
        <w:contextualSpacing/>
        <w:jc w:val="both"/>
        <w:rPr/>
      </w:pPr>
      <w:r>
        <w:rPr/>
        <w:t>5. Odwołanie wobec treści ogłoszenia wszczynającego postępowanie o udzielenie zamówienia publicznego lub co do treści SWZ wnosi się w terminie 5 dni od dnia zamieszczenia ogłoszenia w Biuletynie Zamówień Publicznych lub treści SWZ na stronie prowadzonego postępowania.</w:t>
      </w:r>
    </w:p>
    <w:p>
      <w:pPr>
        <w:pStyle w:val="Standard"/>
        <w:spacing w:before="0" w:after="0"/>
        <w:contextualSpacing/>
        <w:jc w:val="both"/>
        <w:rPr/>
      </w:pPr>
      <w:r>
        <w:rPr/>
        <w:t xml:space="preserve">6.  Odwołanie wnosi się: </w:t>
      </w:r>
    </w:p>
    <w:p>
      <w:pPr>
        <w:pStyle w:val="Standard"/>
        <w:spacing w:before="0" w:after="0"/>
        <w:contextualSpacing/>
        <w:jc w:val="both"/>
        <w:rPr/>
      </w:pPr>
      <w:r>
        <w:rPr/>
        <w:t>6.1. w terminie 5 dni od dnia przekazania informacji o czynności Zamawiającego stanowiącej podstawę jego wniesienia, jeżeli informacja została przekazana przy użyciu środków komunikacji elektronicznej,</w:t>
      </w:r>
    </w:p>
    <w:p>
      <w:pPr>
        <w:pStyle w:val="Standard"/>
        <w:spacing w:before="0" w:after="0"/>
        <w:contextualSpacing/>
        <w:jc w:val="both"/>
        <w:rPr/>
      </w:pPr>
      <w:r>
        <w:rPr/>
        <w:t>6.2. w terminie 10 dni od dnia przekazania informacji o czynności Zamawiającego stanowiącej podstawę jego wniesienia, jeżeli informacja została przekazana w sposób inny niż określony w pkt 6.1.</w:t>
      </w:r>
    </w:p>
    <w:p>
      <w:pPr>
        <w:pStyle w:val="Standard"/>
        <w:spacing w:before="0" w:after="0"/>
        <w:contextualSpacing/>
        <w:jc w:val="both"/>
        <w:rPr/>
      </w:pPr>
      <w:r>
        <w:rPr/>
        <w:t>7. Odwołanie w przypadkach innych niż określone w pkt. 5 i 6 wnosi się w terminie 5 dni                     od dnia, w którym powzięto lub przy zachowaniu należytej staranności można było powziąć wiadomość o okolicznościach stanowiących podstawę jego wniesienia.</w:t>
      </w:r>
    </w:p>
    <w:p>
      <w:pPr>
        <w:pStyle w:val="Standard"/>
        <w:spacing w:before="0" w:after="0"/>
        <w:contextualSpacing/>
        <w:jc w:val="both"/>
        <w:rPr/>
      </w:pPr>
      <w:r>
        <w:rPr/>
        <w:t>8. Na orzeczenie Izby oraz postanowienie Prezesa Izby, o którym mowa w art. 519 ust. 1 ustawy Pzp, stronom oraz uczestnikom postępowania odwoławczego przysługuje skarga                  do sądu.</w:t>
      </w:r>
    </w:p>
    <w:p>
      <w:pPr>
        <w:pStyle w:val="ListParagraph"/>
        <w:spacing w:before="0" w:after="200"/>
        <w:ind w:left="0"/>
        <w:contextualSpacing/>
        <w:jc w:val="both"/>
        <w:rPr/>
      </w:pPr>
      <w:r>
        <w:rPr/>
        <w:t>9. W postępowaniu toczącym się wskutek wniesienia skargi stosuje się odpowiednio przepisy Ustawy z dnia 17 listopada 1964 r. - Kodeks Postępowania Cywilnego o Apelacji, jeżeli przepisy niniejszego rozdziału nie stanowią inaczej.</w:t>
      </w:r>
    </w:p>
    <w:p>
      <w:pPr>
        <w:pStyle w:val="ListParagraph"/>
        <w:spacing w:before="0" w:after="200"/>
        <w:ind w:left="0"/>
        <w:contextualSpacing/>
        <w:jc w:val="both"/>
        <w:rPr/>
      </w:pPr>
      <w:r>
        <w:rPr/>
        <w:t>10. Skargę wnosi się do Sądu Okręgowego w Warszawie - Sądu Zamówień Publicznych, zwanego dalej "sądem zamówień publicznych".</w:t>
      </w:r>
    </w:p>
    <w:p>
      <w:pPr>
        <w:pStyle w:val="ListParagraph"/>
        <w:spacing w:before="0" w:after="200"/>
        <w:ind w:left="0"/>
        <w:contextualSpacing/>
        <w:jc w:val="both"/>
        <w:rPr/>
      </w:pPr>
      <w:r>
        <w:rPr/>
        <w:t>11. 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pPr>
        <w:pStyle w:val="ListParagraph"/>
        <w:spacing w:before="0" w:after="200"/>
        <w:ind w:left="0"/>
        <w:contextualSpacing/>
        <w:jc w:val="both"/>
        <w:rPr/>
      </w:pPr>
      <w:r>
        <w:rPr/>
        <w:t>12. Prezes Izby przekazuje skargę wraz z aktami postępowania odwoławczego do sądu zamówień publicznych w terminie 7 dni od dnia jej otrzymania.</w:t>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Arial"/>
          <w:b/>
          <w:bCs/>
          <w:kern w:val="0"/>
          <w:lang w:eastAsia="en-US"/>
        </w:rPr>
        <w:t>XXIII. INFORMACJA DOTYCZĄCA OCHRONY DANYCH OSOBOWYCH – KLAUZULA RODO:</w:t>
      </w:r>
    </w:p>
    <w:p>
      <w:pPr>
        <w:pStyle w:val="Normal"/>
        <w:spacing w:before="0" w:after="0"/>
        <w:contextualSpacing/>
        <w:jc w:val="both"/>
        <w:rPr>
          <w:rFonts w:eastAsia="Calibri"/>
          <w:i/>
          <w:iCs/>
        </w:rPr>
      </w:pPr>
      <w:r>
        <w:rPr>
          <w:rFonts w:eastAsia="Calibri"/>
          <w:i/>
          <w:iCs/>
        </w:rPr>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rozporządzenia o ochronie danych (Dz. Urz. UE L 119                             z 04.05.2016r., str. 1, dalej „RODO” informuję że:</w:t>
      </w:r>
    </w:p>
    <w:p>
      <w:pPr>
        <w:pStyle w:val="Normal"/>
        <w:spacing w:before="0" w:after="0"/>
        <w:contextualSpacing/>
        <w:jc w:val="both"/>
        <w:rPr/>
      </w:pPr>
      <w:r>
        <w:rPr/>
        <w:t xml:space="preserve">1. Administratorem Pani/Pana danych osobowych jest Wojewódzki Szpital Psychiatryczny </w:t>
        <w:br/>
        <w:t>z siedzibą ul. Dąbrowskiego 19, 34-120 Andrychów;</w:t>
      </w:r>
    </w:p>
    <w:p>
      <w:pPr>
        <w:pStyle w:val="Normal"/>
        <w:spacing w:before="0" w:after="0"/>
        <w:contextualSpacing/>
        <w:jc w:val="both"/>
        <w:rPr/>
      </w:pPr>
      <w:r>
        <w:rPr/>
        <w:t xml:space="preserve">2. Kontakt z Inspektorem Ochrony Danych osobowych w Wojewódzkim Szpitalu Psychiatrycznym w Andrychowie jest możliwy pod nr telefonu 33 875 24 46 wew. 218 oraz pod adresem e-mail: </w:t>
      </w:r>
      <w:hyperlink r:id="rId21">
        <w:r>
          <w:rPr>
            <w:rStyle w:val="Hyperlink"/>
            <w:color w:val="auto"/>
          </w:rPr>
          <w:t>mguzdek@szpital.info.pl.*</w:t>
        </w:r>
      </w:hyperlink>
      <w:r>
        <w:rPr/>
        <w:t>;</w:t>
      </w:r>
    </w:p>
    <w:p>
      <w:pPr>
        <w:pStyle w:val="Normal"/>
        <w:spacing w:before="0" w:after="0"/>
        <w:contextualSpacing/>
        <w:jc w:val="both"/>
        <w:rPr>
          <w:rFonts w:eastAsia="Calibri"/>
        </w:rPr>
      </w:pPr>
      <w:r>
        <w:rPr/>
        <w:t xml:space="preserve">3. </w:t>
      </w:r>
      <w:r>
        <w:rPr>
          <w:rFonts w:eastAsia="Calibri"/>
        </w:rPr>
        <w:t>Pani/Pana dane osobowe przetwarzane będą na podstawie art.6 ust. 1 lit. c RODO w celu związanym z postępowaniem o udzielenie zamówienia publicznego oraz jego rozstrzygnięcia, jak również zawarcia umowy w sprawie zamówienia publicznego oraz jej realizacji, a także udokumentowania postępowania o udzielenie zamówienia publicznego i jego archiwizacji;</w:t>
      </w:r>
    </w:p>
    <w:p>
      <w:pPr>
        <w:pStyle w:val="Normal"/>
        <w:spacing w:before="0" w:after="0"/>
        <w:contextualSpacing/>
        <w:jc w:val="both"/>
        <w:rPr>
          <w:rFonts w:eastAsia="Calibri"/>
        </w:rPr>
      </w:pPr>
      <w:r>
        <w:rPr>
          <w:rFonts w:eastAsia="Calibri"/>
        </w:rPr>
        <w:t xml:space="preserve">4. Odbiorcami Pani/Pana danych osobowych będą osoby lub podmioty, którym udostępniona zostanie dokumentacja postępowania w oparciu o art. 18 oraz art. 74 ust. 1 i 2 ustawy z dnia </w:t>
        <w:br/>
        <w:t>11 września 2019r. – Prawo zamówień publicznych;</w:t>
      </w:r>
    </w:p>
    <w:p>
      <w:pPr>
        <w:pStyle w:val="Normal"/>
        <w:spacing w:before="0" w:after="0"/>
        <w:contextualSpacing/>
        <w:jc w:val="both"/>
        <w:rPr>
          <w:rFonts w:eastAsia="Calibri"/>
        </w:rPr>
      </w:pPr>
      <w:r>
        <w:rPr>
          <w:rFonts w:eastAsia="Calibri"/>
        </w:rPr>
        <w:t>5. Pani/Pana dane osobowe będą przechowywane, zgodnie z art. 78 ust. 1 ustawy Pzp, przez okres 4 lat od dnia zakończenia postępowania o udzielenie zmówienia;</w:t>
      </w:r>
    </w:p>
    <w:p>
      <w:pPr>
        <w:pStyle w:val="Normal"/>
        <w:spacing w:before="0" w:after="0"/>
        <w:contextualSpacing/>
        <w:jc w:val="both"/>
        <w:rPr>
          <w:rFonts w:eastAsia="Calibri"/>
        </w:rPr>
      </w:pPr>
      <w:r>
        <w:rPr>
          <w:rFonts w:eastAsia="Calibri"/>
        </w:rPr>
        <w:t>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pPr>
        <w:pStyle w:val="Normal"/>
        <w:spacing w:before="0" w:after="0"/>
        <w:contextualSpacing/>
        <w:jc w:val="both"/>
        <w:rPr>
          <w:rFonts w:eastAsia="Calibri"/>
        </w:rPr>
      </w:pPr>
      <w:r>
        <w:rPr>
          <w:rFonts w:eastAsia="Calibri"/>
        </w:rPr>
        <w:t>7. W odniesieniu do Pani/Pana danych osobowych decyzje nie będą podejmowane w sposób zautomatyzowany, stosownie do art. 22 RODO;</w:t>
      </w:r>
    </w:p>
    <w:p>
      <w:pPr>
        <w:pStyle w:val="Normal"/>
        <w:spacing w:before="0" w:after="0"/>
        <w:contextualSpacing/>
        <w:jc w:val="both"/>
        <w:rPr>
          <w:i/>
          <w:iCs/>
        </w:rPr>
      </w:pPr>
      <w:r>
        <w:rPr>
          <w:rFonts w:eastAsia="Calibri"/>
        </w:rPr>
        <w:t>8. Posiada Pani/Pan:</w:t>
      </w:r>
    </w:p>
    <w:p>
      <w:pPr>
        <w:pStyle w:val="Normal"/>
        <w:spacing w:before="0" w:after="0"/>
        <w:ind w:left="214"/>
        <w:contextualSpacing/>
        <w:jc w:val="both"/>
        <w:rPr>
          <w:rFonts w:eastAsia="Calibri"/>
        </w:rPr>
      </w:pPr>
      <w:r>
        <w:rPr>
          <w:rFonts w:eastAsia="Calibri"/>
        </w:rPr>
        <w:t>- na podstawie art. 15 RODO prawo dostępu do danych osobowych Pani/Pana dotyczących;</w:t>
      </w:r>
    </w:p>
    <w:p>
      <w:pPr>
        <w:pStyle w:val="Normal"/>
        <w:spacing w:before="0" w:after="0"/>
        <w:ind w:left="214"/>
        <w:contextualSpacing/>
        <w:jc w:val="both"/>
        <w:rPr>
          <w:rFonts w:eastAsia="Calibri"/>
        </w:rPr>
      </w:pPr>
      <w:r>
        <w:rPr>
          <w:rFonts w:eastAsia="Calibri"/>
        </w:rPr>
        <w:t>- na podstawie art. 16 RODO prawo do sprostowania Pani/Pana danych osobowych**;</w:t>
      </w:r>
    </w:p>
    <w:p>
      <w:pPr>
        <w:pStyle w:val="Normal"/>
        <w:spacing w:before="0" w:after="0"/>
        <w:ind w:left="214"/>
        <w:contextualSpacing/>
        <w:jc w:val="both"/>
        <w:rPr/>
      </w:pPr>
      <w:r>
        <w:rPr>
          <w:rFonts w:eastAsia="Calibri"/>
        </w:rPr>
        <w:t>- na podstawie art. 18 RODO prawo żądania od administratora ograniczenia przetwarzania danych osobowych z zastrzeżeniem przypadków, o których mowa w art. 18 ust. 2***;</w:t>
      </w:r>
    </w:p>
    <w:p>
      <w:pPr>
        <w:pStyle w:val="Normal"/>
        <w:tabs>
          <w:tab w:val="clear" w:pos="720"/>
          <w:tab w:val="left" w:pos="225" w:leader="none"/>
        </w:tabs>
        <w:spacing w:before="0" w:after="0"/>
        <w:ind w:hanging="426" w:left="356"/>
        <w:contextualSpacing/>
        <w:jc w:val="both"/>
        <w:rPr>
          <w:rFonts w:eastAsia="Calibri"/>
        </w:rPr>
      </w:pPr>
      <w:r>
        <w:rPr/>
        <w:tab/>
      </w:r>
      <w:r>
        <w:rPr>
          <w:rFonts w:eastAsia="Calibri"/>
        </w:rPr>
        <w:t>- prawo wniesienia skargi do</w:t>
      </w:r>
      <w:r>
        <w:rPr/>
        <w:t xml:space="preserve"> organu nadzorczego,</w:t>
      </w:r>
      <w:r>
        <w:rPr>
          <w:rFonts w:eastAsia="Calibri"/>
        </w:rPr>
        <w:t xml:space="preserve"> gdy uzna Pani/Pan, iż przetwarzanie danych osobowych Pani/Pana dotyczących narusza przepisy ogólnego rozporządzenia                  o ochronie danych osobowych z dnia 27 kwietnia 2016r.;</w:t>
      </w:r>
    </w:p>
    <w:p>
      <w:pPr>
        <w:pStyle w:val="Normal"/>
        <w:spacing w:before="0" w:after="0"/>
        <w:contextualSpacing/>
        <w:jc w:val="both"/>
        <w:rPr>
          <w:rFonts w:eastAsia="Calibri"/>
        </w:rPr>
      </w:pPr>
      <w:r>
        <w:rPr>
          <w:rFonts w:eastAsia="Calibri"/>
        </w:rPr>
        <w:t>9. Nie przysługuje Pani/Panu:</w:t>
      </w:r>
    </w:p>
    <w:p>
      <w:pPr>
        <w:pStyle w:val="Normal"/>
        <w:spacing w:before="0" w:after="0"/>
        <w:ind w:left="227"/>
        <w:contextualSpacing/>
        <w:jc w:val="both"/>
        <w:rPr>
          <w:rFonts w:eastAsia="Calibri"/>
        </w:rPr>
      </w:pPr>
      <w:r>
        <w:rPr>
          <w:rFonts w:eastAsia="Calibri"/>
        </w:rPr>
        <w:t>- w związku z art. 17 ust. 3 lit b, d, lub e RODO prawo do usunięcia danych osobowych;</w:t>
      </w:r>
    </w:p>
    <w:p>
      <w:pPr>
        <w:pStyle w:val="Normal"/>
        <w:spacing w:before="0" w:after="0"/>
        <w:ind w:left="227"/>
        <w:contextualSpacing/>
        <w:jc w:val="both"/>
        <w:rPr>
          <w:rFonts w:eastAsia="Calibri"/>
        </w:rPr>
      </w:pPr>
      <w:r>
        <w:rPr>
          <w:rFonts w:eastAsia="Calibri"/>
        </w:rPr>
        <w:t>- prawo do przenoszenia danych osobowych, o którym mowa w art. 20 RODO;</w:t>
      </w:r>
    </w:p>
    <w:p>
      <w:pPr>
        <w:pStyle w:val="Normal"/>
        <w:spacing w:before="0" w:after="0"/>
        <w:ind w:left="227"/>
        <w:contextualSpacing/>
        <w:jc w:val="both"/>
        <w:rPr>
          <w:rFonts w:eastAsia="Calibri"/>
        </w:rPr>
      </w:pPr>
      <w:r>
        <w:rPr>
          <w:rFonts w:eastAsia="Calibri"/>
        </w:rPr>
        <w:t>- na podstawie art. 21 RODO prawo sprzeciwu, wobec przetwarzania danych osobowych, gdyż podstawą prawną przetwarzania Pani/Pana danych osobowych jest art. 6 ust. 1 lit c RODO.</w:t>
      </w:r>
    </w:p>
    <w:p>
      <w:pPr>
        <w:pStyle w:val="Normal"/>
        <w:spacing w:before="0" w:after="150"/>
        <w:contextualSpacing/>
        <w:jc w:val="both"/>
        <w:rPr>
          <w:rFonts w:eastAsia="Calibri"/>
        </w:rPr>
      </w:pPr>
      <w:r>
        <w:rPr>
          <w:rFonts w:eastAsia="Calibri"/>
        </w:rPr>
      </w:r>
    </w:p>
    <w:p>
      <w:pPr>
        <w:pStyle w:val="Normal"/>
        <w:spacing w:before="0" w:after="0"/>
        <w:contextualSpacing/>
        <w:jc w:val="both"/>
        <w:rPr>
          <w:rFonts w:eastAsia="Calibri"/>
          <w:i/>
          <w:iCs/>
          <w:sz w:val="16"/>
          <w:szCs w:val="16"/>
        </w:rPr>
      </w:pPr>
      <w:r>
        <w:rPr>
          <w:rFonts w:eastAsia="Calibri"/>
          <w:i/>
          <w:iCs/>
          <w:sz w:val="16"/>
          <w:szCs w:val="16"/>
        </w:rPr>
        <w:t xml:space="preserve">* </w:t>
      </w:r>
      <w:r>
        <w:rPr>
          <w:bCs/>
          <w:i/>
          <w:sz w:val="16"/>
          <w:szCs w:val="16"/>
        </w:rPr>
        <w:t>Wyjaśnienie:</w:t>
      </w:r>
      <w:r>
        <w:rPr>
          <w:i/>
          <w:sz w:val="16"/>
          <w:szCs w:val="16"/>
        </w:rPr>
        <w:t xml:space="preserve"> informacja w tym zakresie jest wymagana, jeżeli w odniesieniu do danego administratora lub podmiotu przetwarzającego istnieje obowiązek wyznaczenia inspektora ochrony danych osobowych.</w:t>
      </w:r>
    </w:p>
    <w:p>
      <w:pPr>
        <w:pStyle w:val="Normal"/>
        <w:spacing w:before="0" w:after="0"/>
        <w:contextualSpacing/>
        <w:jc w:val="both"/>
        <w:rPr>
          <w:rFonts w:eastAsia="Calibri"/>
          <w:b/>
          <w:bCs/>
          <w:sz w:val="16"/>
          <w:szCs w:val="16"/>
        </w:rPr>
      </w:pPr>
      <w:r>
        <w:rPr>
          <w:rFonts w:eastAsia="Calibri"/>
          <w:i/>
          <w:iCs/>
          <w:sz w:val="16"/>
          <w:szCs w:val="16"/>
        </w:rPr>
        <w:t>** Wyjaśnienie: skorzystanie z prawa do sprostowania nie może skutkować zmianą wyniku postępowania o udzielenie zamówienia ani zmianą postanowień umowy w zakresie niezgodnym z ustawą Pzp oraz nie może naruszać integralności protokołu oraz jego załączników.</w:t>
        <w:b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pPr>
        <w:pStyle w:val="Normal"/>
        <w:spacing w:before="0" w:after="0"/>
        <w:contextualSpacing/>
        <w:jc w:val="both"/>
        <w:rPr>
          <w:color w:val="FF0000"/>
        </w:rPr>
      </w:pPr>
      <w:r>
        <w:rPr>
          <w:color w:val="FF0000"/>
        </w:rPr>
      </w:r>
    </w:p>
    <w:p>
      <w:pPr>
        <w:pStyle w:val="Standard"/>
        <w:shd w:val="clear" w:color="auto" w:fill="E5E5E5"/>
        <w:tabs>
          <w:tab w:val="clear" w:pos="720"/>
          <w:tab w:val="left" w:pos="142" w:leader="none"/>
        </w:tabs>
        <w:suppressAutoHyphens w:val="false"/>
        <w:spacing w:before="0" w:after="120"/>
        <w:contextualSpacing/>
        <w:jc w:val="both"/>
        <w:textAlignment w:val="auto"/>
        <w:rPr/>
      </w:pPr>
      <w:r>
        <w:rPr>
          <w:rFonts w:eastAsia="Arial"/>
          <w:b/>
          <w:bCs/>
          <w:kern w:val="0"/>
          <w:lang w:eastAsia="en-US"/>
        </w:rPr>
        <w:t>XXIV. ZAŁĄCZNIKI:</w:t>
      </w:r>
    </w:p>
    <w:p>
      <w:pPr>
        <w:pStyle w:val="Standard"/>
        <w:spacing w:before="0" w:after="0"/>
        <w:contextualSpacing/>
        <w:jc w:val="both"/>
        <w:rPr>
          <w:i w:val="false"/>
          <w:iCs w:val="false"/>
          <w:sz w:val="20"/>
          <w:szCs w:val="20"/>
        </w:rPr>
      </w:pPr>
      <w:r>
        <w:rPr>
          <w:i w:val="false"/>
          <w:iCs w:val="false"/>
          <w:sz w:val="20"/>
          <w:szCs w:val="20"/>
        </w:rPr>
        <w:t>Opis przedmiotu zamówienia – Załącznik nr 1</w:t>
      </w:r>
    </w:p>
    <w:p>
      <w:pPr>
        <w:pStyle w:val="Standard"/>
        <w:spacing w:before="0" w:after="0"/>
        <w:contextualSpacing/>
        <w:jc w:val="both"/>
        <w:rPr>
          <w:i w:val="false"/>
          <w:iCs w:val="false"/>
          <w:sz w:val="20"/>
          <w:szCs w:val="20"/>
        </w:rPr>
      </w:pPr>
      <w:r>
        <w:rPr>
          <w:i w:val="false"/>
          <w:iCs w:val="false"/>
          <w:sz w:val="20"/>
          <w:szCs w:val="20"/>
        </w:rPr>
        <w:t>Program Funkcjoinalno - Użytkowy – załącznik nr 1a</w:t>
      </w:r>
    </w:p>
    <w:p>
      <w:pPr>
        <w:pStyle w:val="Standard"/>
        <w:spacing w:before="0" w:after="0"/>
        <w:contextualSpacing/>
        <w:jc w:val="both"/>
        <w:rPr>
          <w:i w:val="false"/>
          <w:iCs w:val="false"/>
          <w:sz w:val="20"/>
          <w:szCs w:val="20"/>
        </w:rPr>
      </w:pPr>
      <w:r>
        <w:rPr>
          <w:i w:val="false"/>
          <w:iCs w:val="false"/>
          <w:sz w:val="20"/>
          <w:szCs w:val="20"/>
        </w:rPr>
        <w:t>Audyt energetyczny – załącznik nr 1b</w:t>
      </w:r>
    </w:p>
    <w:p>
      <w:pPr>
        <w:pStyle w:val="Standard"/>
        <w:spacing w:before="0" w:after="0"/>
        <w:contextualSpacing/>
        <w:jc w:val="both"/>
        <w:rPr>
          <w:i w:val="false"/>
          <w:iCs w:val="false"/>
          <w:sz w:val="20"/>
          <w:szCs w:val="20"/>
        </w:rPr>
      </w:pPr>
      <w:r>
        <w:rPr>
          <w:i w:val="false"/>
          <w:iCs w:val="false"/>
          <w:sz w:val="20"/>
          <w:szCs w:val="20"/>
        </w:rPr>
        <w:t>Formularz oferty – Załącznik nr 2</w:t>
      </w:r>
    </w:p>
    <w:p>
      <w:pPr>
        <w:pStyle w:val="Standard"/>
        <w:spacing w:before="0" w:after="0"/>
        <w:contextualSpacing/>
        <w:jc w:val="both"/>
        <w:rPr>
          <w:i w:val="false"/>
          <w:iCs w:val="false"/>
          <w:sz w:val="20"/>
          <w:szCs w:val="20"/>
        </w:rPr>
      </w:pPr>
      <w:r>
        <w:rPr>
          <w:i w:val="false"/>
          <w:iCs w:val="false"/>
          <w:sz w:val="20"/>
          <w:szCs w:val="20"/>
        </w:rPr>
        <w:t xml:space="preserve">Oświadczenie dotyczące braku podstaw do wykluczenia z postępowania – Załącznik nr 3  </w:t>
      </w:r>
    </w:p>
    <w:p>
      <w:pPr>
        <w:pStyle w:val="Standard"/>
        <w:spacing w:before="0" w:after="0"/>
        <w:contextualSpacing/>
        <w:jc w:val="both"/>
        <w:rPr>
          <w:i w:val="false"/>
          <w:iCs w:val="false"/>
          <w:sz w:val="20"/>
          <w:szCs w:val="20"/>
        </w:rPr>
      </w:pPr>
      <w:r>
        <w:rPr>
          <w:i w:val="false"/>
          <w:iCs w:val="false"/>
          <w:sz w:val="20"/>
          <w:szCs w:val="20"/>
        </w:rPr>
        <w:t>Oświadczenie dotyczące spełniania warunków udziału w postępowaniu – Załącznik nr 4</w:t>
      </w:r>
    </w:p>
    <w:p>
      <w:pPr>
        <w:pStyle w:val="Standard"/>
        <w:spacing w:before="0" w:after="0"/>
        <w:contextualSpacing/>
        <w:jc w:val="both"/>
        <w:rPr>
          <w:i w:val="false"/>
          <w:iCs w:val="false"/>
          <w:sz w:val="20"/>
          <w:szCs w:val="20"/>
        </w:rPr>
      </w:pPr>
      <w:r>
        <w:rPr>
          <w:i w:val="false"/>
          <w:iCs w:val="false"/>
          <w:sz w:val="20"/>
          <w:szCs w:val="20"/>
        </w:rPr>
        <w:t>Propozycja treści zobowiązanie podmiotu udostępniającego zasoby – Załącznik nr 5</w:t>
      </w:r>
    </w:p>
    <w:p>
      <w:pPr>
        <w:pStyle w:val="Standard"/>
        <w:spacing w:before="0" w:after="0"/>
        <w:contextualSpacing/>
        <w:jc w:val="both"/>
        <w:rPr>
          <w:i w:val="false"/>
          <w:iCs w:val="false"/>
          <w:sz w:val="20"/>
          <w:szCs w:val="20"/>
        </w:rPr>
      </w:pPr>
      <w:r>
        <w:rPr>
          <w:i w:val="false"/>
          <w:iCs w:val="false"/>
          <w:sz w:val="20"/>
          <w:szCs w:val="20"/>
        </w:rPr>
        <w:t>Oświadczenie Wykonawców wspólnie ubiegających się o udzielenie zamówienia – Załącznik nr 6</w:t>
      </w:r>
    </w:p>
    <w:p>
      <w:pPr>
        <w:pStyle w:val="Standard"/>
        <w:spacing w:before="0" w:after="0"/>
        <w:contextualSpacing/>
        <w:jc w:val="both"/>
        <w:rPr>
          <w:i w:val="false"/>
          <w:iCs w:val="false"/>
          <w:sz w:val="20"/>
          <w:szCs w:val="20"/>
        </w:rPr>
      </w:pPr>
      <w:r>
        <w:rPr>
          <w:i w:val="false"/>
          <w:iCs w:val="false"/>
          <w:sz w:val="20"/>
          <w:szCs w:val="20"/>
        </w:rPr>
        <w:t>Wykaz robót – Załącznik nr 7</w:t>
      </w:r>
    </w:p>
    <w:p>
      <w:pPr>
        <w:pStyle w:val="Standard"/>
        <w:spacing w:before="0" w:after="0"/>
        <w:contextualSpacing/>
        <w:jc w:val="both"/>
        <w:rPr>
          <w:i w:val="false"/>
          <w:iCs w:val="false"/>
          <w:sz w:val="20"/>
          <w:szCs w:val="20"/>
        </w:rPr>
      </w:pPr>
      <w:r>
        <w:rPr>
          <w:i w:val="false"/>
          <w:iCs w:val="false"/>
          <w:sz w:val="20"/>
          <w:szCs w:val="20"/>
        </w:rPr>
        <w:t>Wykaz osób – Załącznik nr 8</w:t>
      </w:r>
    </w:p>
    <w:p>
      <w:pPr>
        <w:pStyle w:val="Standard"/>
        <w:spacing w:before="0" w:after="0"/>
        <w:contextualSpacing/>
        <w:jc w:val="both"/>
        <w:rPr>
          <w:i w:val="false"/>
          <w:iCs w:val="false"/>
          <w:sz w:val="20"/>
          <w:szCs w:val="20"/>
        </w:rPr>
      </w:pPr>
      <w:r>
        <w:rPr>
          <w:i w:val="false"/>
          <w:iCs w:val="false"/>
          <w:sz w:val="20"/>
          <w:szCs w:val="20"/>
        </w:rPr>
        <w:t>Oświadczenie dotyczące zatrudnienia – Załącznik nr 9</w:t>
      </w:r>
    </w:p>
    <w:p>
      <w:pPr>
        <w:pStyle w:val="Standard"/>
        <w:spacing w:before="0" w:after="0"/>
        <w:contextualSpacing/>
        <w:jc w:val="both"/>
        <w:rPr>
          <w:i w:val="false"/>
          <w:iCs w:val="false"/>
          <w:sz w:val="20"/>
          <w:szCs w:val="20"/>
        </w:rPr>
      </w:pPr>
      <w:r>
        <w:rPr>
          <w:i w:val="false"/>
          <w:iCs w:val="false"/>
          <w:color w:val="000000"/>
          <w:sz w:val="20"/>
          <w:szCs w:val="20"/>
        </w:rPr>
        <w:t>Istotne postanowienia do umowy – Załącznik nr 10</w:t>
      </w:r>
    </w:p>
    <w:p>
      <w:pPr>
        <w:pStyle w:val="Normal"/>
        <w:jc w:val="both"/>
        <w:rPr>
          <w:i w:val="false"/>
          <w:iCs w:val="false"/>
          <w:sz w:val="20"/>
          <w:szCs w:val="20"/>
        </w:rPr>
      </w:pPr>
      <w:r>
        <w:rPr>
          <w:i w:val="false"/>
          <w:iCs w:val="false"/>
          <w:sz w:val="20"/>
          <w:szCs w:val="20"/>
        </w:rPr>
        <w:t>Załącznik nr 11 - Zdjęcia więźby dachowej</w:t>
      </w:r>
    </w:p>
    <w:p>
      <w:pPr>
        <w:pStyle w:val="Normal"/>
        <w:jc w:val="both"/>
        <w:rPr>
          <w:i w:val="false"/>
          <w:iCs w:val="false"/>
          <w:sz w:val="20"/>
          <w:szCs w:val="20"/>
        </w:rPr>
      </w:pPr>
      <w:r>
        <w:rPr>
          <w:i w:val="false"/>
          <w:iCs w:val="false"/>
          <w:sz w:val="20"/>
          <w:szCs w:val="20"/>
        </w:rPr>
        <w:t>Załącznik nr 12 uzbrojenie sip</w:t>
      </w:r>
    </w:p>
    <w:p>
      <w:pPr>
        <w:pStyle w:val="Normal"/>
        <w:jc w:val="both"/>
        <w:rPr>
          <w:i w:val="false"/>
          <w:iCs w:val="false"/>
          <w:sz w:val="20"/>
          <w:szCs w:val="20"/>
        </w:rPr>
      </w:pPr>
      <w:r>
        <w:rPr>
          <w:i w:val="false"/>
          <w:iCs w:val="false"/>
          <w:sz w:val="20"/>
          <w:szCs w:val="20"/>
        </w:rPr>
        <w:t>Załącznik 13 Planowane umiejscowienie zbiornika</w:t>
      </w:r>
    </w:p>
    <w:p>
      <w:pPr>
        <w:pStyle w:val="Normal"/>
        <w:jc w:val="both"/>
        <w:rPr>
          <w:i w:val="false"/>
          <w:iCs w:val="false"/>
          <w:sz w:val="20"/>
          <w:szCs w:val="20"/>
        </w:rPr>
      </w:pPr>
      <w:r>
        <w:rPr>
          <w:i w:val="false"/>
          <w:iCs w:val="false"/>
          <w:sz w:val="20"/>
          <w:szCs w:val="20"/>
        </w:rPr>
        <w:t xml:space="preserve">Załącznik 14  - </w:t>
      </w:r>
      <w:bookmarkStart w:id="4" w:name="informacja_o_przetwarzaniu_danych_941ce9"/>
      <w:r>
        <w:rPr>
          <w:b w:val="false"/>
          <w:bCs w:val="false"/>
          <w:i w:val="false"/>
          <w:iCs w:val="false"/>
          <w:sz w:val="20"/>
          <w:szCs w:val="20"/>
        </w:rPr>
        <w:t>INFORMACJA O PRZETWARZANIU DANYCH OSOBOWYCH</w:t>
      </w:r>
      <w:bookmarkEnd w:id="4"/>
    </w:p>
    <w:p>
      <w:pPr>
        <w:pStyle w:val="Normal"/>
        <w:jc w:val="both"/>
        <w:rPr>
          <w:b/>
          <w:bCs/>
          <w:i w:val="false"/>
          <w:iCs w:val="false"/>
          <w:sz w:val="22"/>
          <w:szCs w:val="22"/>
        </w:rPr>
      </w:pPr>
      <w:r>
        <w:rPr>
          <w:b/>
          <w:bCs/>
          <w:i w:val="false"/>
          <w:iCs w:val="false"/>
          <w:sz w:val="22"/>
          <w:szCs w:val="22"/>
        </w:rPr>
      </w:r>
    </w:p>
    <w:p>
      <w:pPr>
        <w:pStyle w:val="Normal"/>
        <w:jc w:val="right"/>
        <w:rPr>
          <w:b/>
          <w:bCs/>
          <w:i/>
          <w:iCs/>
        </w:rPr>
      </w:pPr>
      <w:r>
        <w:rPr>
          <w:b/>
          <w:bCs/>
          <w:i/>
          <w:iCs/>
        </w:rPr>
        <w:t>Załącznik nr 2 do SWZ</w:t>
      </w:r>
    </w:p>
    <w:p>
      <w:pPr>
        <w:pStyle w:val="Standard"/>
        <w:widowControl w:val="false"/>
        <w:spacing w:before="0" w:after="0"/>
        <w:contextualSpacing/>
        <w:rPr>
          <w:b/>
          <w:bCs/>
          <w:lang w:eastAsia="ar-SA"/>
        </w:rPr>
      </w:pPr>
      <w:r>
        <w:rPr>
          <w:b/>
          <w:bCs/>
          <w:lang w:eastAsia="ar-SA"/>
        </w:rPr>
      </w:r>
    </w:p>
    <w:p>
      <w:pPr>
        <w:pStyle w:val="Standard"/>
        <w:widowControl w:val="false"/>
        <w:spacing w:before="0" w:after="0"/>
        <w:contextualSpacing/>
        <w:jc w:val="center"/>
        <w:rPr/>
      </w:pPr>
      <w:r>
        <w:rPr>
          <w:b/>
          <w:bCs/>
          <w:lang w:eastAsia="ar-SA"/>
        </w:rPr>
        <w:t>FORMULARZ OFERTY</w:t>
      </w:r>
    </w:p>
    <w:p>
      <w:pPr>
        <w:pStyle w:val="Standard"/>
        <w:spacing w:before="0" w:after="0"/>
        <w:contextualSpacing/>
        <w:jc w:val="center"/>
        <w:rPr/>
      </w:pPr>
      <w:r>
        <w:rPr>
          <w:b/>
          <w:bCs/>
          <w:i/>
          <w:iCs/>
          <w:sz w:val="28"/>
          <w:szCs w:val="28"/>
        </w:rPr>
        <w:t xml:space="preserve"> „</w:t>
      </w:r>
      <w:bookmarkStart w:id="5" w:name="_Hlk119346384_kopia_1"/>
      <w:r>
        <w:rPr>
          <w:b/>
          <w:bCs/>
          <w:i/>
          <w:iCs/>
          <w:sz w:val="28"/>
          <w:szCs w:val="28"/>
        </w:rPr>
        <w:t>Przebudowa, rozbudowa i kompleksowa transformacja energetyczna budynku OTUA Wojewódzkiego Szpitala Psychiatrycznego w Andrychowie - w formule zaprojektuj i wybuduj ”</w:t>
      </w:r>
      <w:bookmarkEnd w:id="5"/>
    </w:p>
    <w:p>
      <w:pPr>
        <w:pStyle w:val="Normal"/>
        <w:spacing w:before="0" w:after="0"/>
        <w:contextualSpacing/>
        <w:rPr>
          <w:b/>
          <w:bCs/>
          <w:i/>
          <w:iCs/>
          <w:sz w:val="28"/>
          <w:szCs w:val="28"/>
        </w:rPr>
      </w:pPr>
      <w:r>
        <w:rPr>
          <w:b/>
          <w:bCs/>
          <w:i/>
          <w:iCs/>
          <w:sz w:val="28"/>
          <w:szCs w:val="28"/>
        </w:rPr>
      </w:r>
    </w:p>
    <w:p>
      <w:pPr>
        <w:pStyle w:val="Standard"/>
        <w:keepNext w:val="true"/>
        <w:widowControl w:val="false"/>
        <w:spacing w:before="0" w:after="0"/>
        <w:contextualSpacing/>
        <w:rPr>
          <w:lang w:eastAsia="ar-SA"/>
        </w:rPr>
      </w:pPr>
      <w:r>
        <w:rPr>
          <w:lang w:eastAsia="ar-SA"/>
        </w:rPr>
        <w:t>Nazwa Wykonawcy (Wykonawców – w przypadku oferty wspólnej):</w:t>
      </w:r>
    </w:p>
    <w:p>
      <w:pPr>
        <w:pStyle w:val="Standard"/>
        <w:widowControl w:val="false"/>
        <w:spacing w:before="0" w:after="0"/>
        <w:contextualSpacing/>
        <w:rPr>
          <w:lang w:val="en-US" w:eastAsia="ar-SA"/>
        </w:rPr>
      </w:pPr>
      <w:r>
        <w:rPr>
          <w:lang w:val="en-US" w:eastAsia="ar-SA"/>
        </w:rPr>
        <w:t>…………………………………………………………………………………………………</w:t>
      </w:r>
      <w:r>
        <w:rPr>
          <w:lang w:val="en-US" w:eastAsia="ar-SA"/>
        </w:rPr>
        <w:t>.</w:t>
      </w:r>
    </w:p>
    <w:p>
      <w:pPr>
        <w:pStyle w:val="Standard"/>
        <w:widowControl w:val="false"/>
        <w:spacing w:before="0" w:after="0"/>
        <w:contextualSpacing/>
        <w:rPr>
          <w:lang w:val="en-US" w:eastAsia="ar-SA"/>
        </w:rPr>
      </w:pPr>
      <w:r>
        <w:rPr>
          <w:lang w:val="en-US" w:eastAsia="ar-SA"/>
        </w:rPr>
        <w:t>…………………………………………………………………………………………………</w:t>
      </w:r>
      <w:r>
        <w:rPr>
          <w:lang w:val="en-US" w:eastAsia="ar-SA"/>
        </w:rPr>
        <w:t>.</w:t>
      </w:r>
    </w:p>
    <w:p>
      <w:pPr>
        <w:pStyle w:val="Standard"/>
        <w:widowControl w:val="false"/>
        <w:spacing w:before="0" w:after="0"/>
        <w:contextualSpacing/>
        <w:rPr>
          <w:lang w:val="de-DE" w:eastAsia="ar-SA"/>
        </w:rPr>
      </w:pPr>
      <w:r>
        <w:rPr>
          <w:lang w:val="de-DE" w:eastAsia="ar-SA"/>
        </w:rPr>
        <w:t>NIP................................................…………….REGON................................................……….</w:t>
      </w:r>
    </w:p>
    <w:p>
      <w:pPr>
        <w:pStyle w:val="Standard"/>
        <w:widowControl w:val="false"/>
        <w:spacing w:before="0" w:after="0"/>
        <w:contextualSpacing/>
        <w:rPr>
          <w:bCs/>
          <w:lang w:val="de-DE" w:eastAsia="ar-SA"/>
        </w:rPr>
      </w:pPr>
      <w:r>
        <w:rPr>
          <w:bCs/>
          <w:lang w:val="de-DE" w:eastAsia="ar-SA"/>
        </w:rPr>
        <w:t>tel /fax: ………………………………………….……..….………….………….…………….. email:……………………………………………………………………………………………</w:t>
      </w:r>
    </w:p>
    <w:p>
      <w:pPr>
        <w:pStyle w:val="Standard"/>
        <w:spacing w:before="0" w:after="0"/>
        <w:contextualSpacing/>
        <w:rPr>
          <w:bCs/>
          <w:lang w:eastAsia="ar-SA"/>
        </w:rPr>
      </w:pPr>
      <w:r>
        <w:rPr>
          <w:bCs/>
          <w:lang w:eastAsia="ar-SA"/>
        </w:rPr>
        <w:t>wpisany do Krajowego Rejestru Sądowego pod nr …………………………………………….</w:t>
      </w:r>
    </w:p>
    <w:p>
      <w:pPr>
        <w:pStyle w:val="Standard"/>
        <w:spacing w:before="0" w:after="0"/>
        <w:contextualSpacing/>
        <w:jc w:val="both"/>
        <w:rPr>
          <w:bCs/>
          <w:lang w:eastAsia="ar-SA"/>
        </w:rPr>
      </w:pPr>
      <w:r>
        <w:rPr>
          <w:bCs/>
          <w:lang w:eastAsia="ar-SA"/>
        </w:rPr>
        <w:t>lub</w:t>
      </w:r>
    </w:p>
    <w:p>
      <w:pPr>
        <w:pStyle w:val="Standard"/>
        <w:spacing w:before="0" w:after="0"/>
        <w:contextualSpacing/>
        <w:rPr>
          <w:lang w:eastAsia="ar-SA"/>
        </w:rPr>
      </w:pPr>
      <w:r>
        <w:rPr>
          <w:bCs/>
          <w:lang w:eastAsia="ar-SA"/>
        </w:rPr>
        <w:t xml:space="preserve">wpisany do </w:t>
      </w:r>
      <w:r>
        <w:rPr>
          <w:lang w:eastAsia="ar-SA"/>
        </w:rPr>
        <w:t>Centralnej Ewidencji i Informacji o Działalności Gospodarczej, prowadzącym działalność gospodarczą pod nazwą.............................................................................................</w:t>
      </w:r>
    </w:p>
    <w:p>
      <w:pPr>
        <w:pStyle w:val="Standard"/>
        <w:spacing w:before="0" w:after="0"/>
        <w:contextualSpacing/>
        <w:rPr/>
      </w:pPr>
      <w:r>
        <w:rPr>
          <w:lang w:eastAsia="ar-SA"/>
        </w:rPr>
        <w:t>…………………………………………………………………………………………………</w:t>
      </w:r>
      <w:r>
        <w:rPr>
          <w:lang w:eastAsia="ar-SA"/>
        </w:rPr>
        <w:t>..</w:t>
      </w:r>
    </w:p>
    <w:p>
      <w:pPr>
        <w:pStyle w:val="Standard"/>
        <w:spacing w:before="0" w:after="0"/>
        <w:contextualSpacing/>
        <w:rPr>
          <w:bCs/>
          <w:lang w:val="de-DE" w:eastAsia="ar-SA"/>
        </w:rPr>
      </w:pPr>
      <w:r>
        <w:rPr>
          <w:bCs/>
          <w:lang w:val="de-DE" w:eastAsia="ar-SA"/>
        </w:rPr>
      </w:r>
    </w:p>
    <w:p>
      <w:pPr>
        <w:pStyle w:val="Standard"/>
        <w:spacing w:before="0" w:after="0"/>
        <w:contextualSpacing/>
        <w:rPr>
          <w:bCs/>
          <w:lang w:val="de-DE" w:eastAsia="ar-SA"/>
        </w:rPr>
      </w:pPr>
      <w:r>
        <w:rPr>
          <w:bCs/>
          <w:lang w:val="de-DE" w:eastAsia="ar-SA"/>
        </w:rPr>
        <w:t>Osoba do kontaktów z Zamawiającym:..........................................................…….……………</w:t>
      </w:r>
    </w:p>
    <w:p>
      <w:pPr>
        <w:pStyle w:val="Standard"/>
        <w:widowControl w:val="false"/>
        <w:spacing w:before="0" w:after="0"/>
        <w:contextualSpacing/>
        <w:rPr>
          <w:bCs/>
          <w:lang w:val="de-DE" w:eastAsia="ar-SA"/>
        </w:rPr>
      </w:pPr>
      <w:r>
        <w:rPr>
          <w:bCs/>
          <w:lang w:val="de-DE" w:eastAsia="ar-SA"/>
        </w:rPr>
        <w:t>tel/fax:...............................................................email………………………………………….</w:t>
      </w:r>
    </w:p>
    <w:p>
      <w:pPr>
        <w:pStyle w:val="Standard"/>
        <w:widowControl w:val="false"/>
        <w:spacing w:before="0" w:after="0"/>
        <w:ind w:hanging="576" w:left="576"/>
        <w:contextualSpacing/>
        <w:rPr>
          <w:bCs/>
          <w:lang w:val="de-DE" w:eastAsia="ar-SA"/>
        </w:rPr>
      </w:pPr>
      <w:r>
        <w:rPr>
          <w:bCs/>
          <w:lang w:val="de-DE" w:eastAsia="ar-SA"/>
        </w:rPr>
      </w:r>
    </w:p>
    <w:p>
      <w:pPr>
        <w:pStyle w:val="Standard"/>
        <w:widowControl w:val="false"/>
        <w:spacing w:before="0" w:after="0"/>
        <w:ind w:hanging="576" w:left="576"/>
        <w:contextualSpacing/>
        <w:rPr>
          <w:bCs/>
          <w:lang w:val="de-DE" w:eastAsia="ar-SA"/>
        </w:rPr>
      </w:pPr>
      <w:r>
        <w:rPr>
          <w:bCs/>
          <w:lang w:val="de-DE" w:eastAsia="ar-SA"/>
        </w:rPr>
        <w:t>Osoba upoważniona do zawarcia umowy: ……………………………………………………</w:t>
      </w:r>
    </w:p>
    <w:p>
      <w:pPr>
        <w:pStyle w:val="Standard"/>
        <w:widowControl w:val="false"/>
        <w:spacing w:before="0" w:after="0"/>
        <w:ind w:hanging="576" w:left="576"/>
        <w:contextualSpacing/>
        <w:rPr>
          <w:bCs/>
          <w:i/>
          <w:iCs/>
          <w:sz w:val="16"/>
          <w:szCs w:val="16"/>
          <w:lang w:val="de-DE" w:eastAsia="ar-SA"/>
        </w:rPr>
      </w:pPr>
      <w:r>
        <w:rPr>
          <w:bCs/>
          <w:lang w:val="de-DE" w:eastAsia="ar-SA"/>
        </w:rPr>
        <w:tab/>
        <w:tab/>
        <w:tab/>
        <w:tab/>
        <w:tab/>
        <w:tab/>
      </w:r>
      <w:r>
        <w:rPr>
          <w:bCs/>
          <w:i/>
          <w:iCs/>
          <w:sz w:val="16"/>
          <w:szCs w:val="16"/>
          <w:lang w:val="de-DE" w:eastAsia="ar-SA"/>
        </w:rPr>
        <w:t>(imię, nazwisko, stanowisko)</w:t>
      </w:r>
    </w:p>
    <w:p>
      <w:pPr>
        <w:pStyle w:val="Standard"/>
        <w:widowControl w:val="false"/>
        <w:spacing w:before="0" w:after="0"/>
        <w:ind w:hanging="576" w:left="576"/>
        <w:contextualSpacing/>
        <w:rPr>
          <w:bCs/>
          <w:lang w:val="de-DE" w:eastAsia="ar-SA"/>
        </w:rPr>
      </w:pPr>
      <w:r>
        <w:rPr>
          <w:bCs/>
          <w:lang w:val="de-DE" w:eastAsia="ar-SA"/>
        </w:rPr>
      </w:r>
    </w:p>
    <w:p>
      <w:pPr>
        <w:pStyle w:val="Standard"/>
        <w:widowControl w:val="false"/>
        <w:spacing w:before="0" w:after="0"/>
        <w:ind w:hanging="576" w:left="576"/>
        <w:contextualSpacing/>
        <w:rPr>
          <w:bCs/>
          <w:lang w:val="de-DE" w:eastAsia="ar-SA"/>
        </w:rPr>
      </w:pPr>
      <w:r>
        <w:rPr>
          <w:bCs/>
          <w:lang w:val="de-DE" w:eastAsia="ar-SA"/>
        </w:rPr>
        <w:t xml:space="preserve">Osoba odpowiedzialna za realizację umowy: ……………………………………………….. </w:t>
      </w:r>
    </w:p>
    <w:p>
      <w:pPr>
        <w:pStyle w:val="Standard"/>
        <w:widowControl w:val="false"/>
        <w:spacing w:before="0" w:after="0"/>
        <w:ind w:hanging="576" w:left="576"/>
        <w:contextualSpacing/>
        <w:rPr>
          <w:i/>
          <w:iCs/>
          <w:sz w:val="16"/>
          <w:szCs w:val="16"/>
        </w:rPr>
      </w:pPr>
      <w:r>
        <w:rPr>
          <w:bCs/>
          <w:lang w:val="de-DE" w:eastAsia="ar-SA"/>
        </w:rPr>
        <w:tab/>
        <w:tab/>
        <w:tab/>
        <w:tab/>
        <w:tab/>
        <w:tab/>
      </w:r>
      <w:r>
        <w:rPr>
          <w:bCs/>
          <w:i/>
          <w:iCs/>
          <w:sz w:val="16"/>
          <w:szCs w:val="16"/>
          <w:lang w:val="de-DE" w:eastAsia="ar-SA"/>
        </w:rPr>
        <w:t>(imię, nazwisko, stanowisko)</w:t>
      </w:r>
    </w:p>
    <w:p>
      <w:pPr>
        <w:pStyle w:val="Standard"/>
        <w:widowControl w:val="false"/>
        <w:spacing w:before="0" w:after="57"/>
        <w:contextualSpacing/>
        <w:rPr>
          <w:b/>
          <w:bCs/>
          <w:color w:val="FF0000"/>
          <w:u w:val="single"/>
          <w:lang w:eastAsia="ar-SA"/>
        </w:rPr>
      </w:pPr>
      <w:r>
        <w:rPr>
          <w:b/>
          <w:bCs/>
          <w:color w:val="FF0000"/>
          <w:u w:val="single"/>
          <w:lang w:eastAsia="ar-SA"/>
        </w:rPr>
      </w:r>
    </w:p>
    <w:p>
      <w:pPr>
        <w:pStyle w:val="Normal"/>
        <w:spacing w:before="0" w:after="57"/>
        <w:contextualSpacing/>
        <w:jc w:val="both"/>
        <w:rPr>
          <w:b/>
          <w:bCs/>
          <w:i/>
          <w:iCs/>
          <w:u w:val="single"/>
          <w:lang w:eastAsia="ar-SA"/>
        </w:rPr>
      </w:pPr>
      <w:r>
        <w:rPr>
          <w:b/>
          <w:bCs/>
          <w:i/>
          <w:iCs/>
          <w:u w:val="single"/>
          <w:lang w:eastAsia="ar-SA"/>
        </w:rPr>
        <w:t>Oferuję wykonanie przedmiotu zamówienia w zakresie objętym w SWZ za całkowitą wartość:</w:t>
      </w:r>
    </w:p>
    <w:p>
      <w:pPr>
        <w:pStyle w:val="Standard1"/>
        <w:shd w:val="clear" w:color="auto" w:fill="FFFFFF"/>
        <w:spacing w:before="0" w:after="0"/>
        <w:contextualSpacing/>
        <w:jc w:val="both"/>
        <w:rPr>
          <w:spacing w:val="-1"/>
        </w:rPr>
      </w:pPr>
      <w:r>
        <w:rPr>
          <w:spacing w:val="-1"/>
        </w:rPr>
        <w:t>Cena ogółem netto:……………………………………….</w:t>
      </w:r>
    </w:p>
    <w:p>
      <w:pPr>
        <w:pStyle w:val="Standard1"/>
        <w:shd w:val="clear" w:color="auto" w:fill="FFFFFF"/>
        <w:spacing w:before="0" w:after="0"/>
        <w:contextualSpacing/>
        <w:jc w:val="both"/>
        <w:rPr>
          <w:spacing w:val="-1"/>
        </w:rPr>
      </w:pPr>
      <w:r>
        <w:rPr>
          <w:spacing w:val="-1"/>
        </w:rPr>
        <w:t>Wartość podatku VAT: ………………………….</w:t>
      </w:r>
    </w:p>
    <w:p>
      <w:pPr>
        <w:pStyle w:val="Standard1"/>
        <w:shd w:val="clear" w:color="auto" w:fill="FFFFFF"/>
        <w:spacing w:before="0" w:after="0"/>
        <w:contextualSpacing/>
        <w:jc w:val="both"/>
        <w:rPr>
          <w:spacing w:val="-1"/>
        </w:rPr>
      </w:pPr>
      <w:r>
        <w:rPr>
          <w:spacing w:val="-1"/>
        </w:rPr>
        <w:t>Cena ogółem brutto: …………………………………….</w:t>
      </w:r>
    </w:p>
    <w:p>
      <w:pPr>
        <w:pStyle w:val="Standard1"/>
        <w:shd w:val="clear" w:color="auto" w:fill="FFFFFF"/>
        <w:spacing w:before="0" w:after="0"/>
        <w:contextualSpacing/>
        <w:jc w:val="both"/>
        <w:rPr>
          <w:spacing w:val="-1"/>
        </w:rPr>
      </w:pPr>
      <w:r>
        <w:rPr>
          <w:spacing w:val="-1"/>
        </w:rPr>
      </w:r>
    </w:p>
    <w:p>
      <w:pPr>
        <w:pStyle w:val="Standard1"/>
        <w:shd w:val="clear" w:color="auto" w:fill="FFFFFF"/>
        <w:spacing w:before="0" w:after="0"/>
        <w:contextualSpacing/>
        <w:jc w:val="both"/>
        <w:rPr>
          <w:spacing w:val="-1"/>
        </w:rPr>
      </w:pPr>
      <w:r>
        <w:rPr>
          <w:spacing w:val="-1"/>
        </w:rPr>
        <w:t>w tym:</w:t>
      </w:r>
    </w:p>
    <w:p>
      <w:pPr>
        <w:pStyle w:val="Standard1"/>
        <w:shd w:val="clear" w:color="auto" w:fill="FFFFFF"/>
        <w:spacing w:before="0" w:after="0"/>
        <w:contextualSpacing/>
        <w:jc w:val="both"/>
        <w:rPr>
          <w:spacing w:val="-1"/>
        </w:rPr>
      </w:pPr>
      <w:r>
        <w:rPr>
          <w:spacing w:val="-1"/>
        </w:rPr>
        <w:t>Dokumentacja projektowa:</w:t>
      </w:r>
    </w:p>
    <w:p>
      <w:pPr>
        <w:pStyle w:val="Standard1"/>
        <w:shd w:val="clear" w:color="auto" w:fill="FFFFFF"/>
        <w:spacing w:before="0" w:after="0"/>
        <w:contextualSpacing/>
        <w:jc w:val="both"/>
        <w:rPr>
          <w:spacing w:val="-1"/>
        </w:rPr>
      </w:pPr>
      <w:r>
        <w:rPr>
          <w:spacing w:val="-1"/>
        </w:rPr>
        <w:t>Cena netto:……………………………………….</w:t>
      </w:r>
    </w:p>
    <w:p>
      <w:pPr>
        <w:pStyle w:val="Standard1"/>
        <w:shd w:val="clear" w:color="auto" w:fill="FFFFFF"/>
        <w:spacing w:before="0" w:after="0"/>
        <w:contextualSpacing/>
        <w:jc w:val="both"/>
        <w:rPr>
          <w:spacing w:val="-1"/>
        </w:rPr>
      </w:pPr>
      <w:r>
        <w:rPr>
          <w:spacing w:val="-1"/>
        </w:rPr>
        <w:t>Wartość podatku VAT: ………………………….</w:t>
      </w:r>
    </w:p>
    <w:p>
      <w:pPr>
        <w:pStyle w:val="Standard1"/>
        <w:shd w:val="clear" w:color="auto" w:fill="FFFFFF"/>
        <w:spacing w:before="0" w:after="0"/>
        <w:contextualSpacing/>
        <w:jc w:val="both"/>
        <w:rPr>
          <w:spacing w:val="-1"/>
        </w:rPr>
      </w:pPr>
      <w:r>
        <w:rPr>
          <w:spacing w:val="-1"/>
        </w:rPr>
        <w:t>Cena  brutto: …………………………………….</w:t>
      </w:r>
    </w:p>
    <w:p>
      <w:pPr>
        <w:pStyle w:val="Standard1"/>
        <w:shd w:val="clear" w:color="auto" w:fill="FFFFFF"/>
        <w:spacing w:before="0" w:after="0"/>
        <w:contextualSpacing/>
        <w:jc w:val="both"/>
        <w:rPr>
          <w:spacing w:val="-1"/>
        </w:rPr>
      </w:pPr>
      <w:r>
        <w:rPr>
          <w:spacing w:val="-1"/>
        </w:rPr>
        <w:t>oraz</w:t>
      </w:r>
    </w:p>
    <w:p>
      <w:pPr>
        <w:pStyle w:val="Standard1"/>
        <w:shd w:val="clear" w:color="auto" w:fill="FFFFFF"/>
        <w:spacing w:before="0" w:after="0"/>
        <w:contextualSpacing/>
        <w:jc w:val="both"/>
        <w:rPr>
          <w:spacing w:val="-1"/>
        </w:rPr>
      </w:pPr>
      <w:r>
        <w:rPr>
          <w:spacing w:val="-1"/>
        </w:rPr>
      </w:r>
    </w:p>
    <w:p>
      <w:pPr>
        <w:pStyle w:val="Standard1"/>
        <w:shd w:val="clear" w:color="auto" w:fill="FFFFFF"/>
        <w:spacing w:before="0" w:after="0"/>
        <w:contextualSpacing/>
        <w:jc w:val="both"/>
        <w:rPr>
          <w:spacing w:val="-1"/>
        </w:rPr>
      </w:pPr>
      <w:r>
        <w:rPr>
          <w:spacing w:val="-1"/>
        </w:rPr>
        <w:t>Roboty budowlano – montażowe:</w:t>
      </w:r>
    </w:p>
    <w:p>
      <w:pPr>
        <w:pStyle w:val="Standard1"/>
        <w:shd w:val="clear" w:color="auto" w:fill="FFFFFF"/>
        <w:spacing w:before="0" w:after="0"/>
        <w:contextualSpacing/>
        <w:jc w:val="both"/>
        <w:rPr>
          <w:spacing w:val="-1"/>
        </w:rPr>
      </w:pPr>
      <w:r>
        <w:rPr>
          <w:spacing w:val="-1"/>
        </w:rPr>
        <w:t>Cena netto:……………………………………….</w:t>
      </w:r>
    </w:p>
    <w:p>
      <w:pPr>
        <w:pStyle w:val="Standard1"/>
        <w:shd w:val="clear" w:color="auto" w:fill="FFFFFF"/>
        <w:spacing w:before="0" w:after="0"/>
        <w:contextualSpacing/>
        <w:jc w:val="both"/>
        <w:rPr>
          <w:spacing w:val="-1"/>
        </w:rPr>
      </w:pPr>
      <w:r>
        <w:rPr>
          <w:spacing w:val="-1"/>
        </w:rPr>
        <w:t>Wartość podatku VAT: ………………………….</w:t>
      </w:r>
    </w:p>
    <w:p>
      <w:pPr>
        <w:pStyle w:val="Standard1"/>
        <w:shd w:val="clear" w:color="auto" w:fill="FFFFFF"/>
        <w:spacing w:before="0" w:after="0"/>
        <w:contextualSpacing/>
        <w:jc w:val="both"/>
        <w:rPr>
          <w:spacing w:val="-1"/>
        </w:rPr>
      </w:pPr>
      <w:r>
        <w:rPr>
          <w:spacing w:val="-1"/>
        </w:rPr>
        <w:t>Cena  brutto: …………………………………….….</w:t>
      </w:r>
    </w:p>
    <w:p>
      <w:pPr>
        <w:pStyle w:val="Standard"/>
        <w:shd w:val="clear" w:color="auto" w:fill="FFFFFF"/>
        <w:spacing w:before="0" w:after="0"/>
        <w:contextualSpacing/>
        <w:jc w:val="both"/>
        <w:rPr>
          <w:color w:val="EE0000"/>
          <w:spacing w:val="-1"/>
        </w:rPr>
      </w:pPr>
      <w:r>
        <w:rPr>
          <w:color w:val="EE0000"/>
          <w:spacing w:val="-1"/>
        </w:rPr>
      </w:r>
    </w:p>
    <w:p>
      <w:pPr>
        <w:pStyle w:val="normaltableau"/>
        <w:shd w:val="clear" w:color="auto" w:fill="FFFFFF"/>
        <w:spacing w:before="0" w:after="0"/>
        <w:contextualSpacing/>
        <w:rPr>
          <w:i/>
          <w:iCs/>
        </w:rPr>
      </w:pPr>
      <w:r>
        <w:rPr>
          <w:rFonts w:eastAsia="Times New Roman" w:cs="Times New Roman" w:ascii="Times New Roman" w:hAnsi="Times New Roman"/>
          <w:b/>
          <w:bCs/>
          <w:i/>
          <w:iCs/>
          <w:spacing w:val="-1"/>
          <w:sz w:val="24"/>
          <w:szCs w:val="24"/>
          <w:lang w:val="pl-PL" w:eastAsia="en-US"/>
        </w:rPr>
        <w:t xml:space="preserve">Powyższa cena brutto zawiera wszystkie koszty, jakie ponosi Zamawiający w przypadku wyboru niniejszej oferty do realizacji przedmiotu zamówienia. Cena ta będzie                                  podstawiana do obliczenia kryterium ceny określonych w SWZ. </w:t>
      </w:r>
    </w:p>
    <w:p>
      <w:pPr>
        <w:pStyle w:val="Standard"/>
        <w:widowControl w:val="false"/>
        <w:spacing w:before="0" w:after="0"/>
        <w:contextualSpacing/>
        <w:rPr>
          <w:color w:val="EE0000"/>
          <w:spacing w:val="-1"/>
          <w:lang w:val="de-DE"/>
        </w:rPr>
      </w:pPr>
      <w:r>
        <w:rPr>
          <w:color w:val="EE0000"/>
          <w:spacing w:val="-1"/>
          <w:lang w:val="de-DE"/>
        </w:rPr>
      </w:r>
    </w:p>
    <w:p>
      <w:pPr>
        <w:pStyle w:val="Standard"/>
        <w:widowControl w:val="false"/>
        <w:tabs>
          <w:tab w:val="clear" w:pos="720"/>
          <w:tab w:val="left" w:pos="567" w:leader="none"/>
        </w:tabs>
        <w:spacing w:before="0" w:after="0"/>
        <w:contextualSpacing/>
        <w:jc w:val="both"/>
        <w:rPr/>
      </w:pPr>
      <w:r>
        <w:rPr>
          <w:b/>
          <w:bCs/>
        </w:rPr>
        <w:t>Gwarancja na wykonane roboty budowlane, instalacje wodno-kanalizacyjne oraz instalacje elektroniczne</w:t>
      </w:r>
      <w:r>
        <w:rPr/>
        <w:t xml:space="preserve"> wyrażona w miesiącach</w:t>
      </w:r>
      <w:r>
        <w:rPr>
          <w:b/>
          <w:bCs/>
        </w:rPr>
        <w:t xml:space="preserve">………………. ** miesiące </w:t>
      </w:r>
      <w:r>
        <w:rPr/>
        <w:t xml:space="preserve">/24, 48, 60 mies./ licząc od dnia podpisania bezusterkowego protokołu odbioru końcowego. </w:t>
      </w:r>
    </w:p>
    <w:p>
      <w:pPr>
        <w:pStyle w:val="Standard"/>
        <w:widowControl w:val="false"/>
        <w:spacing w:before="0" w:after="0"/>
        <w:contextualSpacing/>
        <w:jc w:val="both"/>
        <w:rPr/>
      </w:pPr>
      <w:r>
        <w:rPr>
          <w:i/>
          <w:iCs/>
          <w:sz w:val="14"/>
          <w:szCs w:val="14"/>
        </w:rPr>
        <w:t xml:space="preserve">Uwaga! Brak wpisania ocenianego parametru nie powoduje odrzucenia oferty. W przypadku, gdy Wykonawca nie wskaże w formularzu ofertowym okresu gwarancji, Zamawiający przyjmie do oceny ofert oraz przyszłej umowy, że okres udzielonej gwarancji jest równy minimalnym wymaganiom określonym w SWZ                                            i wynosi 24 miesiące.  </w:t>
      </w:r>
    </w:p>
    <w:p>
      <w:pPr>
        <w:pStyle w:val="Standard"/>
        <w:widowControl w:val="false"/>
        <w:spacing w:before="0" w:after="0"/>
        <w:contextualSpacing/>
        <w:jc w:val="both"/>
        <w:rPr>
          <w:i/>
          <w:iCs/>
          <w:sz w:val="14"/>
          <w:szCs w:val="14"/>
        </w:rPr>
      </w:pPr>
      <w:r>
        <w:rPr>
          <w:i/>
          <w:iCs/>
          <w:sz w:val="14"/>
          <w:szCs w:val="14"/>
        </w:rPr>
      </w:r>
    </w:p>
    <w:p>
      <w:pPr>
        <w:pStyle w:val="Standard"/>
        <w:widowControl w:val="false"/>
        <w:spacing w:before="0" w:after="0"/>
        <w:contextualSpacing/>
        <w:rPr>
          <w:color w:val="auto"/>
        </w:rPr>
      </w:pPr>
      <w:r>
        <w:rPr>
          <w:b/>
          <w:color w:val="auto"/>
        </w:rPr>
        <w:t>Doświadczenie Kierownika Budowy;</w:t>
      </w:r>
    </w:p>
    <w:p>
      <w:pPr>
        <w:pStyle w:val="Standard"/>
        <w:widowControl w:val="false"/>
        <w:spacing w:before="0" w:after="0"/>
        <w:contextualSpacing/>
        <w:rPr>
          <w:b/>
          <w:color w:val="auto"/>
        </w:rPr>
      </w:pPr>
      <w:r>
        <w:rPr>
          <w:b/>
          <w:color w:val="auto"/>
        </w:rPr>
      </w:r>
    </w:p>
    <w:p>
      <w:pPr>
        <w:pStyle w:val="Standard"/>
        <w:widowControl w:val="false"/>
        <w:spacing w:before="0" w:after="0"/>
        <w:contextualSpacing/>
        <w:rPr>
          <w:color w:val="auto"/>
        </w:rPr>
      </w:pPr>
      <w:r>
        <w:rPr>
          <w:b/>
          <w:color w:val="auto"/>
        </w:rPr>
        <w:t>Imię i nazwisko Kierownika Budowy            ……………………………………..</w:t>
      </w:r>
    </w:p>
    <w:p>
      <w:pPr>
        <w:pStyle w:val="Standard"/>
        <w:widowControl w:val="false"/>
        <w:spacing w:before="0" w:after="0"/>
        <w:contextualSpacing/>
        <w:rPr>
          <w:b/>
          <w:color w:val="auto"/>
        </w:rPr>
      </w:pPr>
      <w:r>
        <w:rPr>
          <w:b/>
          <w:color w:val="auto"/>
        </w:rPr>
      </w:r>
    </w:p>
    <w:tbl>
      <w:tblPr>
        <w:tblStyle w:val="Tabela-Siatka"/>
        <w:tblW w:w="8474" w:type="dxa"/>
        <w:jc w:val="left"/>
        <w:tblInd w:w="586" w:type="dxa"/>
        <w:tblLayout w:type="fixed"/>
        <w:tblCellMar>
          <w:top w:w="0" w:type="dxa"/>
          <w:left w:w="108" w:type="dxa"/>
          <w:bottom w:w="0" w:type="dxa"/>
          <w:right w:w="108" w:type="dxa"/>
        </w:tblCellMar>
        <w:tblLook w:firstRow="1" w:noVBand="1" w:lastRow="0" w:firstColumn="1" w:lastColumn="0" w:noHBand="0" w:val="04a0"/>
      </w:tblPr>
      <w:tblGrid>
        <w:gridCol w:w="616"/>
        <w:gridCol w:w="2499"/>
        <w:gridCol w:w="2643"/>
        <w:gridCol w:w="2716"/>
      </w:tblGrid>
      <w:tr>
        <w:trPr/>
        <w:tc>
          <w:tcPr>
            <w:tcW w:w="616" w:type="dxa"/>
            <w:tcBorders/>
          </w:tcPr>
          <w:p>
            <w:pPr>
              <w:pStyle w:val="Standard"/>
              <w:widowControl w:val="false"/>
              <w:suppressAutoHyphens w:val="true"/>
              <w:spacing w:before="0" w:after="0"/>
              <w:contextualSpacing/>
              <w:jc w:val="both"/>
              <w:rPr>
                <w:b/>
                <w:color w:val="auto"/>
                <w:kern w:val="2"/>
                <w:sz w:val="22"/>
                <w:szCs w:val="22"/>
                <w:lang w:val="pl-PL" w:eastAsia="en-US"/>
              </w:rPr>
            </w:pPr>
            <w:r>
              <w:rPr>
                <w:b/>
                <w:color w:val="auto"/>
                <w:kern w:val="2"/>
                <w:sz w:val="22"/>
                <w:szCs w:val="22"/>
                <w:lang w:val="pl-PL" w:eastAsia="en-US"/>
              </w:rPr>
            </w:r>
          </w:p>
          <w:p>
            <w:pPr>
              <w:pStyle w:val="Standard"/>
              <w:widowControl w:val="false"/>
              <w:suppressAutoHyphens w:val="true"/>
              <w:spacing w:before="0" w:after="0"/>
              <w:contextualSpacing/>
              <w:jc w:val="both"/>
              <w:rPr>
                <w:color w:val="auto"/>
                <w:kern w:val="2"/>
                <w:sz w:val="22"/>
                <w:szCs w:val="22"/>
                <w:lang w:val="pl-PL" w:eastAsia="en-US"/>
              </w:rPr>
            </w:pPr>
            <w:r>
              <w:rPr>
                <w:b/>
                <w:color w:val="auto"/>
                <w:kern w:val="2"/>
                <w:sz w:val="22"/>
                <w:szCs w:val="22"/>
                <w:lang w:val="pl-PL" w:eastAsia="en-US"/>
              </w:rPr>
              <w:t>Lp.</w:t>
            </w:r>
          </w:p>
        </w:tc>
        <w:tc>
          <w:tcPr>
            <w:tcW w:w="2499" w:type="dxa"/>
            <w:tcBorders/>
            <w:vAlign w:val="center"/>
          </w:tcPr>
          <w:p>
            <w:pPr>
              <w:pStyle w:val="Standard"/>
              <w:widowControl w:val="false"/>
              <w:suppressAutoHyphens w:val="true"/>
              <w:spacing w:before="0" w:after="0"/>
              <w:contextualSpacing/>
              <w:jc w:val="center"/>
              <w:rPr>
                <w:color w:val="auto"/>
                <w:kern w:val="2"/>
                <w:sz w:val="22"/>
                <w:szCs w:val="22"/>
                <w:lang w:val="pl-PL" w:eastAsia="en-US"/>
              </w:rPr>
            </w:pPr>
            <w:r>
              <w:rPr>
                <w:b/>
                <w:color w:val="auto"/>
                <w:kern w:val="2"/>
                <w:sz w:val="22"/>
                <w:szCs w:val="22"/>
                <w:lang w:val="pl-PL" w:eastAsia="en-US"/>
              </w:rPr>
              <w:t>Doświadczenie Kierownika budowy</w:t>
            </w:r>
          </w:p>
          <w:p>
            <w:pPr>
              <w:pStyle w:val="Standard"/>
              <w:widowControl w:val="false"/>
              <w:suppressAutoHyphens w:val="true"/>
              <w:spacing w:before="0" w:after="0"/>
              <w:contextualSpacing/>
              <w:jc w:val="center"/>
              <w:rPr>
                <w:b w:val="false"/>
                <w:bCs w:val="false"/>
                <w:i/>
                <w:iCs/>
                <w:color w:val="auto"/>
                <w:kern w:val="2"/>
                <w:sz w:val="20"/>
                <w:szCs w:val="20"/>
                <w:lang w:val="pl-PL" w:eastAsia="en-US"/>
              </w:rPr>
            </w:pPr>
            <w:r>
              <w:rPr>
                <w:b w:val="false"/>
                <w:bCs w:val="false"/>
                <w:i/>
                <w:iCs/>
                <w:color w:val="auto"/>
                <w:kern w:val="2"/>
                <w:sz w:val="20"/>
                <w:szCs w:val="20"/>
                <w:lang w:val="pl-PL" w:eastAsia="en-US"/>
              </w:rPr>
              <w:t>(Nazwa inwestycji)</w:t>
            </w:r>
          </w:p>
          <w:p>
            <w:pPr>
              <w:pStyle w:val="Standard"/>
              <w:widowControl w:val="false"/>
              <w:suppressAutoHyphens w:val="true"/>
              <w:spacing w:before="0" w:after="0"/>
              <w:contextualSpacing/>
              <w:jc w:val="center"/>
              <w:rPr>
                <w:b/>
                <w:color w:val="auto"/>
                <w:kern w:val="2"/>
                <w:sz w:val="22"/>
                <w:szCs w:val="22"/>
                <w:lang w:val="pl-PL" w:eastAsia="en-US"/>
              </w:rPr>
            </w:pPr>
            <w:r>
              <w:rPr>
                <w:b/>
                <w:color w:val="auto"/>
                <w:kern w:val="2"/>
                <w:sz w:val="22"/>
                <w:szCs w:val="22"/>
                <w:lang w:val="pl-PL" w:eastAsia="en-US"/>
              </w:rPr>
            </w:r>
          </w:p>
        </w:tc>
        <w:tc>
          <w:tcPr>
            <w:tcW w:w="2643" w:type="dxa"/>
            <w:tcBorders/>
          </w:tcPr>
          <w:p>
            <w:pPr>
              <w:pStyle w:val="Standard"/>
              <w:widowControl w:val="false"/>
              <w:suppressAutoHyphens w:val="true"/>
              <w:spacing w:before="0" w:after="0"/>
              <w:contextualSpacing/>
              <w:jc w:val="center"/>
              <w:rPr>
                <w:color w:val="auto"/>
                <w:kern w:val="2"/>
                <w:sz w:val="22"/>
                <w:szCs w:val="22"/>
                <w:lang w:val="pl-PL" w:eastAsia="en-US"/>
              </w:rPr>
            </w:pPr>
            <w:r>
              <w:rPr>
                <w:b/>
                <w:color w:val="auto"/>
                <w:kern w:val="2"/>
                <w:sz w:val="22"/>
                <w:szCs w:val="22"/>
                <w:lang w:val="pl-PL" w:eastAsia="en-US"/>
              </w:rPr>
              <w:t>Podmiot, na rzecz którego usługi zostały wykonane</w:t>
            </w:r>
          </w:p>
        </w:tc>
        <w:tc>
          <w:tcPr>
            <w:tcW w:w="2716" w:type="dxa"/>
            <w:tcBorders/>
            <w:vAlign w:val="center"/>
          </w:tcPr>
          <w:p>
            <w:pPr>
              <w:pStyle w:val="Standard"/>
              <w:widowControl w:val="false"/>
              <w:suppressAutoHyphens w:val="true"/>
              <w:spacing w:before="0" w:after="0"/>
              <w:contextualSpacing/>
              <w:jc w:val="center"/>
              <w:rPr>
                <w:color w:val="auto"/>
                <w:kern w:val="2"/>
                <w:sz w:val="22"/>
                <w:szCs w:val="22"/>
                <w:vertAlign w:val="superscript"/>
                <w:lang w:val="pl-PL" w:eastAsia="en-US"/>
              </w:rPr>
            </w:pPr>
            <w:r>
              <w:rPr>
                <w:b/>
                <w:color w:val="auto"/>
                <w:kern w:val="2"/>
                <w:sz w:val="22"/>
                <w:szCs w:val="22"/>
                <w:lang w:val="pl-PL" w:eastAsia="en-US"/>
              </w:rPr>
              <w:t>Termin wykonania (data rozpoczęcia i zakończenia) oraz m</w:t>
            </w:r>
            <w:r>
              <w:rPr>
                <w:b/>
                <w:color w:val="auto"/>
                <w:kern w:val="2"/>
                <w:sz w:val="22"/>
                <w:szCs w:val="22"/>
                <w:vertAlign w:val="superscript"/>
                <w:lang w:val="pl-PL" w:eastAsia="en-US"/>
              </w:rPr>
              <w:t xml:space="preserve">2 </w:t>
            </w:r>
            <w:r>
              <w:rPr>
                <w:b/>
                <w:color w:val="auto"/>
                <w:kern w:val="2"/>
                <w:position w:val="0"/>
                <w:sz w:val="22"/>
                <w:szCs w:val="22"/>
                <w:vertAlign w:val="baseline"/>
                <w:lang w:val="pl-PL" w:eastAsia="en-US"/>
              </w:rPr>
              <w:t>obiektu</w:t>
            </w:r>
          </w:p>
        </w:tc>
      </w:tr>
      <w:tr>
        <w:trPr>
          <w:trHeight w:val="341" w:hRule="atLeast"/>
        </w:trPr>
        <w:tc>
          <w:tcPr>
            <w:tcW w:w="616" w:type="dxa"/>
            <w:tcBorders/>
          </w:tcPr>
          <w:p>
            <w:pPr>
              <w:pStyle w:val="Standard"/>
              <w:widowControl w:val="false"/>
              <w:suppressAutoHyphens w:val="true"/>
              <w:spacing w:before="0" w:after="0"/>
              <w:contextualSpacing/>
              <w:jc w:val="left"/>
              <w:rPr>
                <w:color w:val="auto"/>
                <w:kern w:val="2"/>
                <w:sz w:val="22"/>
                <w:szCs w:val="22"/>
                <w:lang w:val="pl-PL" w:eastAsia="en-US"/>
              </w:rPr>
            </w:pPr>
            <w:r>
              <w:rPr>
                <w:b/>
                <w:color w:val="auto"/>
                <w:kern w:val="2"/>
                <w:sz w:val="22"/>
                <w:szCs w:val="22"/>
                <w:lang w:val="pl-PL" w:eastAsia="en-US"/>
              </w:rPr>
              <w:t>1.</w:t>
            </w:r>
          </w:p>
        </w:tc>
        <w:tc>
          <w:tcPr>
            <w:tcW w:w="2499" w:type="dxa"/>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c>
          <w:tcPr>
            <w:tcW w:w="2643" w:type="dxa"/>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c>
          <w:tcPr>
            <w:tcW w:w="2716" w:type="dxa"/>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r>
      <w:tr>
        <w:trPr>
          <w:trHeight w:val="327" w:hRule="atLeast"/>
        </w:trPr>
        <w:tc>
          <w:tcPr>
            <w:tcW w:w="616" w:type="dxa"/>
            <w:tcBorders/>
          </w:tcPr>
          <w:p>
            <w:pPr>
              <w:pStyle w:val="Standard"/>
              <w:widowControl w:val="false"/>
              <w:suppressAutoHyphens w:val="true"/>
              <w:spacing w:before="0" w:after="0"/>
              <w:contextualSpacing/>
              <w:jc w:val="left"/>
              <w:rPr>
                <w:color w:val="auto"/>
                <w:kern w:val="2"/>
                <w:sz w:val="22"/>
                <w:szCs w:val="22"/>
                <w:lang w:val="pl-PL" w:eastAsia="en-US"/>
              </w:rPr>
            </w:pPr>
            <w:r>
              <w:rPr>
                <w:b/>
                <w:color w:val="auto"/>
                <w:kern w:val="2"/>
                <w:sz w:val="22"/>
                <w:szCs w:val="22"/>
                <w:lang w:val="pl-PL" w:eastAsia="en-US"/>
              </w:rPr>
              <w:t>2.</w:t>
            </w:r>
          </w:p>
        </w:tc>
        <w:tc>
          <w:tcPr>
            <w:tcW w:w="2499" w:type="dxa"/>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c>
          <w:tcPr>
            <w:tcW w:w="2643" w:type="dxa"/>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c>
          <w:tcPr>
            <w:tcW w:w="2716" w:type="dxa"/>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r>
      <w:tr>
        <w:trPr>
          <w:trHeight w:val="215" w:hRule="atLeast"/>
        </w:trPr>
        <w:tc>
          <w:tcPr>
            <w:tcW w:w="616" w:type="dxa"/>
            <w:tcBorders>
              <w:top w:val="nil"/>
            </w:tcBorders>
          </w:tcPr>
          <w:p>
            <w:pPr>
              <w:pStyle w:val="Standard"/>
              <w:widowControl w:val="false"/>
              <w:suppressAutoHyphens w:val="true"/>
              <w:spacing w:before="0" w:after="0"/>
              <w:contextualSpacing/>
              <w:jc w:val="left"/>
              <w:rPr>
                <w:color w:val="auto"/>
                <w:kern w:val="2"/>
                <w:sz w:val="22"/>
                <w:szCs w:val="22"/>
                <w:lang w:val="pl-PL" w:eastAsia="en-US"/>
              </w:rPr>
            </w:pPr>
            <w:r>
              <w:rPr>
                <w:color w:val="auto"/>
                <w:kern w:val="2"/>
                <w:sz w:val="22"/>
                <w:szCs w:val="22"/>
                <w:lang w:val="pl-PL" w:eastAsia="en-US"/>
              </w:rPr>
            </w:r>
          </w:p>
        </w:tc>
        <w:tc>
          <w:tcPr>
            <w:tcW w:w="2499" w:type="dxa"/>
            <w:tcBorders>
              <w:top w:val="nil"/>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c>
          <w:tcPr>
            <w:tcW w:w="2643" w:type="dxa"/>
            <w:tcBorders>
              <w:top w:val="nil"/>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c>
          <w:tcPr>
            <w:tcW w:w="2716" w:type="dxa"/>
            <w:tcBorders>
              <w:top w:val="nil"/>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r>
      <w:tr>
        <w:trPr>
          <w:trHeight w:val="240" w:hRule="atLeast"/>
        </w:trPr>
        <w:tc>
          <w:tcPr>
            <w:tcW w:w="616" w:type="dxa"/>
            <w:tcBorders>
              <w:top w:val="nil"/>
            </w:tcBorders>
          </w:tcPr>
          <w:p>
            <w:pPr>
              <w:pStyle w:val="Standard"/>
              <w:widowControl w:val="false"/>
              <w:suppressAutoHyphens w:val="true"/>
              <w:spacing w:before="0" w:after="0"/>
              <w:contextualSpacing/>
              <w:jc w:val="left"/>
              <w:rPr>
                <w:color w:val="auto"/>
                <w:kern w:val="2"/>
                <w:sz w:val="22"/>
                <w:szCs w:val="22"/>
                <w:lang w:val="pl-PL" w:eastAsia="en-US"/>
              </w:rPr>
            </w:pPr>
            <w:r>
              <w:rPr>
                <w:color w:val="auto"/>
                <w:kern w:val="2"/>
                <w:sz w:val="22"/>
                <w:szCs w:val="22"/>
                <w:lang w:val="pl-PL" w:eastAsia="en-US"/>
              </w:rPr>
            </w:r>
          </w:p>
        </w:tc>
        <w:tc>
          <w:tcPr>
            <w:tcW w:w="2499" w:type="dxa"/>
            <w:tcBorders>
              <w:top w:val="nil"/>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c>
          <w:tcPr>
            <w:tcW w:w="2643" w:type="dxa"/>
            <w:tcBorders>
              <w:top w:val="nil"/>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c>
          <w:tcPr>
            <w:tcW w:w="2716" w:type="dxa"/>
            <w:tcBorders>
              <w:top w:val="nil"/>
            </w:tcBorders>
          </w:tcPr>
          <w:p>
            <w:pPr>
              <w:pStyle w:val="Standard"/>
              <w:widowControl w:val="false"/>
              <w:suppressAutoHyphens w:val="true"/>
              <w:spacing w:before="0" w:after="0"/>
              <w:contextualSpacing/>
              <w:jc w:val="left"/>
              <w:rPr>
                <w:b/>
                <w:color w:val="auto"/>
                <w:kern w:val="2"/>
                <w:sz w:val="22"/>
                <w:szCs w:val="22"/>
                <w:lang w:val="pl-PL" w:eastAsia="en-US"/>
              </w:rPr>
            </w:pPr>
            <w:r>
              <w:rPr>
                <w:b/>
                <w:color w:val="auto"/>
                <w:kern w:val="2"/>
                <w:sz w:val="22"/>
                <w:szCs w:val="22"/>
                <w:lang w:val="pl-PL" w:eastAsia="en-US"/>
              </w:rPr>
            </w:r>
          </w:p>
        </w:tc>
      </w:tr>
    </w:tbl>
    <w:p>
      <w:pPr>
        <w:pStyle w:val="Standard"/>
        <w:widowControl w:val="false"/>
        <w:spacing w:before="0" w:after="0"/>
        <w:contextualSpacing/>
        <w:jc w:val="both"/>
        <w:rPr>
          <w:color w:val="auto"/>
        </w:rPr>
      </w:pPr>
      <w:r>
        <w:rPr>
          <w:color w:val="auto"/>
        </w:rPr>
      </w:r>
    </w:p>
    <w:p>
      <w:pPr>
        <w:pStyle w:val="Standard"/>
        <w:widowControl w:val="false"/>
        <w:spacing w:before="0" w:after="0"/>
        <w:contextualSpacing/>
        <w:jc w:val="both"/>
        <w:rPr>
          <w:sz w:val="20"/>
          <w:szCs w:val="20"/>
          <w:u w:val="single"/>
        </w:rPr>
      </w:pPr>
      <w:r>
        <w:rPr>
          <w:sz w:val="20"/>
          <w:szCs w:val="20"/>
          <w:u w:val="single"/>
        </w:rPr>
        <w:t>Uwaga: Jeżeli Wykonawca nie wykaże dodatkowego doświadczenia osoby skierowanej do realizacji zamówienia, Zamawiający w  ramach kryterium oceny ofert Doświadczenie personelu przyzna Wykonawcy 0 punktów. W przypadku, gdy taka oferta zostanie najwyżej oceniona Zamawiający  wezwie Wykonawcę do złożenia Wykazu  zgodnie z pkt. 7.1.2 rozdz. VII SWZ.</w:t>
      </w:r>
    </w:p>
    <w:p>
      <w:pPr>
        <w:pStyle w:val="Standard"/>
        <w:widowControl w:val="false"/>
        <w:spacing w:before="0" w:after="0"/>
        <w:contextualSpacing/>
        <w:jc w:val="both"/>
        <w:rPr/>
      </w:pPr>
      <w:r>
        <w:rPr>
          <w:u w:val="single"/>
        </w:rPr>
        <w:t>Oświadczamy, że:</w:t>
      </w:r>
    </w:p>
    <w:p>
      <w:pPr>
        <w:pStyle w:val="Standard"/>
        <w:widowControl w:val="false"/>
        <w:spacing w:before="0" w:after="0"/>
        <w:contextualSpacing/>
        <w:jc w:val="both"/>
        <w:rPr/>
      </w:pPr>
      <w:r>
        <w:rPr/>
        <w:t>1. Zapoznałem/liśmy się z warunkami określonymi w Specyfikacji Warunków Zamówienia                         i załącznikach będących jej integralną częścią i przyjmuję/my je bez zastrzeżeń.</w:t>
      </w:r>
    </w:p>
    <w:p>
      <w:pPr>
        <w:pStyle w:val="Standard"/>
        <w:widowControl w:val="false"/>
        <w:spacing w:before="0" w:after="0"/>
        <w:contextualSpacing/>
        <w:jc w:val="both"/>
        <w:rPr/>
      </w:pPr>
      <w:r>
        <w:rPr/>
        <w:t xml:space="preserve">2. Złożona oferta spełnia wszystkie wymagania określone w Specyfikacji Warunków Zamówienia i załącznikach będących jej integralną częścią. </w:t>
      </w:r>
    </w:p>
    <w:p>
      <w:pPr>
        <w:pStyle w:val="Standard"/>
        <w:widowControl w:val="false"/>
        <w:spacing w:before="0" w:after="0"/>
        <w:contextualSpacing/>
        <w:jc w:val="both"/>
        <w:rPr/>
      </w:pPr>
      <w:r>
        <w:rPr/>
        <w:t>3. Pozostajemy związani ofertą przez 30 dni, licząc od dnia, w którym upłynął termin                             składania ofert.</w:t>
      </w:r>
    </w:p>
    <w:p>
      <w:pPr>
        <w:pStyle w:val="Standard"/>
        <w:widowControl w:val="false"/>
        <w:spacing w:before="0" w:after="0"/>
        <w:contextualSpacing/>
        <w:jc w:val="both"/>
        <w:rPr/>
      </w:pPr>
      <w:r>
        <w:rPr/>
        <w:t xml:space="preserve">4. Oświadczam(y), że przedmiot zamówienia zrealizujemy sami / przy współudziale* podwykonawców. </w:t>
      </w:r>
    </w:p>
    <w:p>
      <w:pPr>
        <w:pStyle w:val="Normal"/>
        <w:spacing w:before="0" w:after="120"/>
        <w:contextualSpacing/>
        <w:jc w:val="both"/>
        <w:rPr/>
      </w:pPr>
      <w:r>
        <w:rPr/>
        <w:t>4.1 Następujący(e) element(y) i/lub zakres(y) zamówienia zostanie(ą) zlecona(e) podwykonawcy(om):</w:t>
      </w:r>
    </w:p>
    <w:p>
      <w:pPr>
        <w:pStyle w:val="Normal"/>
        <w:tabs>
          <w:tab w:val="clear" w:pos="720"/>
          <w:tab w:val="left" w:pos="709" w:leader="none"/>
        </w:tabs>
        <w:spacing w:before="0" w:after="0"/>
        <w:contextualSpacing/>
        <w:jc w:val="both"/>
        <w:rPr/>
      </w:pPr>
      <w:r>
        <w:rPr/>
        <w:t>4.1.1 robota budowlana polegająca na ………………………..……………………….., którą wykona  …………………………………………………………………………........................</w:t>
      </w:r>
    </w:p>
    <w:p>
      <w:pPr>
        <w:pStyle w:val="Normal"/>
        <w:spacing w:before="0" w:after="0"/>
        <w:contextualSpacing/>
        <w:jc w:val="both"/>
        <w:rPr/>
      </w:pPr>
      <w:r>
        <w:rPr>
          <w:i/>
          <w:sz w:val="22"/>
          <w:szCs w:val="22"/>
        </w:rPr>
        <w:tab/>
        <w:tab/>
        <w:tab/>
        <w:tab/>
        <w:tab/>
      </w:r>
      <w:r>
        <w:rPr>
          <w:i/>
          <w:sz w:val="18"/>
          <w:szCs w:val="18"/>
        </w:rPr>
        <w:t>(podać nazwę i adres podwykonawcy)</w:t>
      </w:r>
    </w:p>
    <w:p>
      <w:pPr>
        <w:pStyle w:val="Normal"/>
        <w:tabs>
          <w:tab w:val="clear" w:pos="720"/>
          <w:tab w:val="left" w:pos="709" w:leader="none"/>
        </w:tabs>
        <w:spacing w:before="0" w:after="0"/>
        <w:contextualSpacing/>
        <w:rPr/>
      </w:pPr>
      <w:r>
        <w:rPr/>
        <w:t>4.1.2 dostawa o wartości równej i większej niż 0,5% wartości umowy polegająca na:</w:t>
      </w:r>
    </w:p>
    <w:p>
      <w:pPr>
        <w:pStyle w:val="Normal"/>
        <w:spacing w:before="0" w:after="0"/>
        <w:contextualSpacing/>
        <w:jc w:val="both"/>
        <w:rPr/>
      </w:pPr>
      <w:r>
        <w:rPr/>
        <w:t>.……………………………………………………………………………………………, którą wykona ………………………………………………………………………………</w:t>
      </w:r>
    </w:p>
    <w:p>
      <w:pPr>
        <w:pStyle w:val="Normal"/>
        <w:spacing w:before="0" w:after="0"/>
        <w:contextualSpacing/>
        <w:jc w:val="both"/>
        <w:rPr/>
      </w:pPr>
      <w:r>
        <w:rPr>
          <w:i/>
          <w:sz w:val="20"/>
          <w:szCs w:val="22"/>
        </w:rPr>
        <w:tab/>
        <w:tab/>
        <w:tab/>
      </w:r>
      <w:r>
        <w:rPr>
          <w:i/>
          <w:sz w:val="22"/>
          <w:szCs w:val="22"/>
        </w:rPr>
        <w:tab/>
        <w:tab/>
      </w:r>
      <w:r>
        <w:rPr>
          <w:i/>
          <w:sz w:val="18"/>
          <w:szCs w:val="18"/>
        </w:rPr>
        <w:t>(podać nazwę i adres podwykonawcy)</w:t>
      </w:r>
    </w:p>
    <w:p>
      <w:pPr>
        <w:pStyle w:val="Normal"/>
        <w:tabs>
          <w:tab w:val="clear" w:pos="720"/>
          <w:tab w:val="left" w:pos="709" w:leader="none"/>
        </w:tabs>
        <w:spacing w:before="0" w:after="0"/>
        <w:contextualSpacing/>
        <w:jc w:val="both"/>
        <w:rPr/>
      </w:pPr>
      <w:r>
        <w:rPr>
          <w:sz w:val="22"/>
          <w:szCs w:val="22"/>
        </w:rPr>
        <w:t>4.1.3 u</w:t>
      </w:r>
      <w:r>
        <w:rPr/>
        <w:t>sługa o wartości równej i większej niż 0,5% wartości umowy polegająca na:</w:t>
      </w:r>
      <w:r>
        <w:rPr>
          <w:sz w:val="22"/>
          <w:szCs w:val="22"/>
        </w:rPr>
        <w:t xml:space="preserve"> </w:t>
      </w:r>
      <w:r>
        <w:rPr>
          <w:sz w:val="20"/>
          <w:szCs w:val="22"/>
        </w:rPr>
        <w:t>…………………………………………………………………………………………..………,</w:t>
      </w:r>
      <w:r>
        <w:rPr/>
        <w:t xml:space="preserve"> którą wykona </w:t>
      </w:r>
      <w:r>
        <w:rPr>
          <w:sz w:val="20"/>
          <w:szCs w:val="22"/>
        </w:rPr>
        <w:t>………………………………………………………………………………….....................................</w:t>
      </w:r>
    </w:p>
    <w:p>
      <w:pPr>
        <w:pStyle w:val="Standard"/>
        <w:widowControl w:val="false"/>
        <w:spacing w:before="0" w:after="0"/>
        <w:contextualSpacing/>
        <w:jc w:val="both"/>
        <w:rPr/>
      </w:pPr>
      <w:r>
        <w:rPr>
          <w:i/>
          <w:iCs/>
          <w:sz w:val="22"/>
          <w:szCs w:val="22"/>
        </w:rPr>
        <w:tab/>
        <w:tab/>
        <w:tab/>
        <w:tab/>
        <w:tab/>
      </w:r>
      <w:r>
        <w:rPr>
          <w:i/>
          <w:iCs/>
          <w:sz w:val="18"/>
          <w:szCs w:val="18"/>
        </w:rPr>
        <w:t>(podać nazwę i adres podwykonawcy)</w:t>
      </w:r>
    </w:p>
    <w:p>
      <w:pPr>
        <w:pStyle w:val="Standard"/>
        <w:widowControl w:val="false"/>
        <w:spacing w:before="0" w:after="0"/>
        <w:contextualSpacing/>
        <w:jc w:val="both"/>
        <w:rPr/>
      </w:pPr>
      <w:r>
        <w:rPr/>
        <w:t>5. Oświadczam/my, że: *</w:t>
      </w:r>
    </w:p>
    <w:p>
      <w:pPr>
        <w:pStyle w:val="Standard"/>
        <w:widowControl w:val="false"/>
        <w:spacing w:before="0" w:after="0"/>
        <w:contextualSpacing/>
        <w:jc w:val="both"/>
        <w:rPr/>
      </w:pPr>
      <w:r>
        <w:rPr/>
        <w:t>5.1. wybór oferty nie będzie prowadził do powstania u Zamawiającego obowiązku podatkowego **</w:t>
      </w:r>
    </w:p>
    <w:p>
      <w:pPr>
        <w:pStyle w:val="Standard"/>
        <w:widowControl w:val="false"/>
        <w:spacing w:before="0" w:after="0"/>
        <w:contextualSpacing/>
        <w:jc w:val="both"/>
        <w:rPr/>
      </w:pPr>
      <w:r>
        <w:rPr/>
        <w:t>5.2. wybór oferty będzie prowadzić do powstania u Zamawiającego obowiązku podatkowego                       w  odniesieniu do następujących towarów………………………., których dostawa będzie prowadzić do jego powstania. Wartość towaru lub usług powodująca obowiązek podatkowy                                            u Zamawiającego to………...zł netto**</w:t>
      </w:r>
    </w:p>
    <w:p>
      <w:pPr>
        <w:pStyle w:val="Standard"/>
        <w:widowControl w:val="false"/>
        <w:spacing w:before="0" w:after="0"/>
        <w:contextualSpacing/>
        <w:jc w:val="both"/>
        <w:rPr/>
      </w:pPr>
      <w:r>
        <w:rPr/>
        <w:t xml:space="preserve">6. Oświadczam/y, że w przypadku wyboru mojej/naszej oferty za najkorzystniejszą zobowiązuję/emy się do zawarcia umowy w miejscu i terminie określonym przez Zamawiającego na warunkach określonych w projekcie umowy będącym integralną                     częścią SWZ.  </w:t>
      </w:r>
    </w:p>
    <w:p>
      <w:pPr>
        <w:pStyle w:val="Standard"/>
        <w:widowControl w:val="false"/>
        <w:spacing w:before="0" w:after="0"/>
        <w:contextualSpacing/>
        <w:jc w:val="both"/>
        <w:rPr/>
      </w:pPr>
      <w:r>
        <w:rPr/>
        <w:t xml:space="preserve">7. W przypadku wyboru naszej oferty, zobowiązujemy się, przed podpisaniem umowy, przedłożyć umowę regulującą naszą współpracę </w:t>
      </w:r>
      <w:r>
        <w:rPr>
          <w:i/>
          <w:iCs/>
          <w:sz w:val="18"/>
          <w:szCs w:val="18"/>
        </w:rPr>
        <w:t>(dot. Wykonawców wspólnie składających ofertę</w:t>
      </w:r>
      <w:r>
        <w:rPr>
          <w:sz w:val="18"/>
          <w:szCs w:val="18"/>
        </w:rPr>
        <w:t>).</w:t>
      </w:r>
      <w:r>
        <w:rPr/>
        <w:br/>
        <w:t>8. Informuję/my, że jestem/jesteśmy***:</w:t>
      </w:r>
    </w:p>
    <w:p>
      <w:pPr>
        <w:pStyle w:val="Standard"/>
        <w:widowControl w:val="false"/>
        <w:spacing w:before="0" w:after="0"/>
        <w:contextualSpacing/>
        <w:jc w:val="both"/>
        <w:rPr/>
      </w:pPr>
      <w:r>
        <w:rPr/>
        <w:t>8.1 mikroprzedsiębiorstwem</w:t>
      </w:r>
    </w:p>
    <w:p>
      <w:pPr>
        <w:pStyle w:val="Standard"/>
        <w:widowControl w:val="false"/>
        <w:spacing w:before="0" w:after="0"/>
        <w:contextualSpacing/>
        <w:jc w:val="both"/>
        <w:rPr/>
      </w:pPr>
      <w:r>
        <w:rPr/>
        <w:t>8.2 małym przedsiębiorstwem</w:t>
      </w:r>
    </w:p>
    <w:p>
      <w:pPr>
        <w:pStyle w:val="Standard"/>
        <w:widowControl w:val="false"/>
        <w:spacing w:before="0" w:after="0"/>
        <w:contextualSpacing/>
        <w:jc w:val="both"/>
        <w:rPr/>
      </w:pPr>
      <w:r>
        <w:rPr/>
        <w:t>8.3 średnim przedsiębiorstwem</w:t>
      </w:r>
    </w:p>
    <w:p>
      <w:pPr>
        <w:pStyle w:val="Standard"/>
        <w:widowControl w:val="false"/>
        <w:spacing w:before="0" w:after="0"/>
        <w:contextualSpacing/>
        <w:jc w:val="both"/>
        <w:rPr/>
      </w:pPr>
      <w:r>
        <w:rPr/>
        <w:t>8.4 dużym przedsiębiorstwem</w:t>
      </w:r>
    </w:p>
    <w:p>
      <w:pPr>
        <w:pStyle w:val="Standard"/>
        <w:widowControl w:val="false"/>
        <w:spacing w:before="0" w:after="0"/>
        <w:contextualSpacing/>
        <w:jc w:val="both"/>
        <w:rPr/>
      </w:pPr>
      <w:r>
        <w:rPr/>
        <w:t>9. Zostałem poinformowany zgodnie z art. 13 ust. 1 i 2 RODO</w:t>
      </w:r>
      <w:r>
        <w:rPr>
          <w:rStyle w:val="FootnoteReference"/>
        </w:rPr>
        <w:footnoteReference w:id="3"/>
      </w:r>
      <w:r>
        <w:rPr/>
        <w:t xml:space="preserve"> o przetwarzaniu moich danych osobowych na potrzeby niniejszego postępowania o udzielenie zamówienia publicznego oraz zawarcia i realizacji umowy</w:t>
      </w:r>
      <w:r>
        <w:rPr>
          <w:rStyle w:val="FootnoteReference"/>
        </w:rPr>
        <w:footnoteReference w:id="4"/>
      </w:r>
    </w:p>
    <w:p>
      <w:pPr>
        <w:pStyle w:val="Standard"/>
        <w:widowControl w:val="false"/>
        <w:spacing w:before="0" w:after="0"/>
        <w:contextualSpacing/>
        <w:jc w:val="both"/>
        <w:rPr/>
      </w:pPr>
      <w:r>
        <w:rPr/>
        <w:t>10. Oświadczam/my, że wypełniłem/wypełniliśmy obowiązki informacyjne przewidziane                    w art. 13 lub art. 14 RODO wobec osób fizycznych, od których dane osobowe bezpośrednio lub pośrednio pozyskałem  celu ubiegania się o zamówienie publiczne i zobowiązuję się wypełnić je wobec osób fizycznych, od których dane osobowe bezpośrednio lub pośrednio pozyskam w celu zawarcia i realizacji umowy</w:t>
      </w:r>
      <w:r>
        <w:rPr>
          <w:rStyle w:val="FootnoteReference"/>
        </w:rPr>
        <w:footnoteReference w:id="5"/>
      </w:r>
    </w:p>
    <w:p>
      <w:pPr>
        <w:pStyle w:val="Standard"/>
        <w:widowControl w:val="false"/>
        <w:spacing w:before="0" w:after="0"/>
        <w:contextualSpacing/>
        <w:jc w:val="both"/>
        <w:rPr/>
      </w:pPr>
      <w:r>
        <w:rPr/>
        <w:t>11. Informuję/emy, że Zamawiający posiada następujące aktualne oświadczenia lub dokumenty lub może je uzyskać za pomocą bezpłatnych i ogólnodostępnych baz danych,                  w szczególności rejestrów publicznych w rozumieniu ustawy z dnia 17 lutego 2005 r. o informatyzacji działalności podmiotów realizujących zadania publiczne (Dz. U. z 2020 r., poz. 346 ze zm.):</w:t>
      </w:r>
    </w:p>
    <w:p>
      <w:pPr>
        <w:pStyle w:val="Standard"/>
        <w:widowControl w:val="false"/>
        <w:spacing w:before="0" w:after="0"/>
        <w:contextualSpacing/>
        <w:jc w:val="both"/>
        <w:rPr/>
      </w:pPr>
      <w:r>
        <w:rPr/>
      </w:r>
    </w:p>
    <w:tbl>
      <w:tblPr>
        <w:tblW w:w="4750" w:type="pct"/>
        <w:jc w:val="left"/>
        <w:tblInd w:w="284" w:type="dxa"/>
        <w:tblLayout w:type="fixed"/>
        <w:tblCellMar>
          <w:top w:w="0" w:type="dxa"/>
          <w:left w:w="108" w:type="dxa"/>
          <w:bottom w:w="0" w:type="dxa"/>
          <w:right w:w="108" w:type="dxa"/>
        </w:tblCellMar>
        <w:tblLook w:firstRow="1" w:noVBand="1" w:lastRow="0" w:firstColumn="1" w:lastColumn="0" w:noHBand="0" w:val="04a0"/>
      </w:tblPr>
      <w:tblGrid>
        <w:gridCol w:w="553"/>
        <w:gridCol w:w="3062"/>
        <w:gridCol w:w="5001"/>
      </w:tblGrid>
      <w:tr>
        <w:trPr>
          <w:tblHeader w:val="true"/>
          <w:trHeight w:val="632" w:hRule="atLeast"/>
        </w:trPr>
        <w:tc>
          <w:tcPr>
            <w:tcW w:w="553" w:type="dxa"/>
            <w:tcBorders>
              <w:top w:val="single" w:sz="2" w:space="0" w:color="808080"/>
              <w:left w:val="single" w:sz="2" w:space="0" w:color="808080"/>
              <w:bottom w:val="single" w:sz="2" w:space="0" w:color="808080"/>
              <w:right w:val="single" w:sz="2" w:space="0" w:color="808080"/>
            </w:tcBorders>
            <w:vAlign w:val="center"/>
          </w:tcPr>
          <w:p>
            <w:pPr>
              <w:pStyle w:val="Standard"/>
              <w:widowControl w:val="false"/>
              <w:spacing w:before="0" w:after="0"/>
              <w:contextualSpacing/>
              <w:jc w:val="center"/>
              <w:rPr/>
            </w:pPr>
            <w:r>
              <w:rPr/>
              <w:t>LP</w:t>
            </w:r>
          </w:p>
        </w:tc>
        <w:tc>
          <w:tcPr>
            <w:tcW w:w="3062" w:type="dxa"/>
            <w:tcBorders>
              <w:top w:val="single" w:sz="2" w:space="0" w:color="808080"/>
              <w:left w:val="single" w:sz="2" w:space="0" w:color="808080"/>
              <w:bottom w:val="single" w:sz="2" w:space="0" w:color="808080"/>
              <w:right w:val="single" w:sz="2" w:space="0" w:color="808080"/>
            </w:tcBorders>
            <w:vAlign w:val="center"/>
          </w:tcPr>
          <w:p>
            <w:pPr>
              <w:pStyle w:val="Standard"/>
              <w:widowControl w:val="false"/>
              <w:spacing w:before="0" w:after="0"/>
              <w:contextualSpacing/>
              <w:jc w:val="center"/>
              <w:rPr/>
            </w:pPr>
            <w:r>
              <w:rPr/>
              <w:t>Nazwa oświadczenia lub dokumentu</w:t>
            </w:r>
          </w:p>
        </w:tc>
        <w:tc>
          <w:tcPr>
            <w:tcW w:w="5001" w:type="dxa"/>
            <w:tcBorders>
              <w:top w:val="single" w:sz="2" w:space="0" w:color="808080"/>
              <w:left w:val="single" w:sz="2" w:space="0" w:color="808080"/>
              <w:bottom w:val="single" w:sz="2" w:space="0" w:color="808080"/>
              <w:right w:val="single" w:sz="2" w:space="0" w:color="808080"/>
            </w:tcBorders>
            <w:vAlign w:val="center"/>
          </w:tcPr>
          <w:p>
            <w:pPr>
              <w:pStyle w:val="Standard"/>
              <w:widowControl w:val="false"/>
              <w:spacing w:before="0" w:after="0"/>
              <w:contextualSpacing/>
              <w:jc w:val="center"/>
              <w:rPr/>
            </w:pPr>
            <w:r>
              <w:rPr/>
              <w:t>Postępowanie, do którego zostało złożone oświadczenie lub dokument lub adres bezpłatnych i ogólnodostępnych baz danych</w:t>
            </w:r>
          </w:p>
        </w:tc>
      </w:tr>
      <w:tr>
        <w:trPr>
          <w:trHeight w:val="397" w:hRule="atLeast"/>
        </w:trPr>
        <w:tc>
          <w:tcPr>
            <w:tcW w:w="553" w:type="dxa"/>
            <w:tcBorders>
              <w:top w:val="single" w:sz="2" w:space="0" w:color="808080"/>
              <w:left w:val="single" w:sz="2" w:space="0" w:color="808080"/>
              <w:bottom w:val="single" w:sz="2" w:space="0" w:color="808080"/>
              <w:right w:val="single" w:sz="2" w:space="0" w:color="808080"/>
            </w:tcBorders>
            <w:vAlign w:val="center"/>
          </w:tcPr>
          <w:p>
            <w:pPr>
              <w:pStyle w:val="Standard"/>
              <w:widowControl w:val="false"/>
              <w:spacing w:before="0" w:after="0"/>
              <w:contextualSpacing/>
              <w:jc w:val="center"/>
              <w:rPr/>
            </w:pPr>
            <w:r>
              <w:rPr/>
              <w:t>1</w:t>
            </w:r>
          </w:p>
        </w:tc>
        <w:tc>
          <w:tcPr>
            <w:tcW w:w="3062" w:type="dxa"/>
            <w:tcBorders>
              <w:top w:val="single" w:sz="2" w:space="0" w:color="808080"/>
              <w:left w:val="single" w:sz="2" w:space="0" w:color="808080"/>
              <w:bottom w:val="single" w:sz="2" w:space="0" w:color="808080"/>
              <w:right w:val="single" w:sz="2" w:space="0" w:color="808080"/>
            </w:tcBorders>
            <w:vAlign w:val="center"/>
          </w:tcPr>
          <w:p>
            <w:pPr>
              <w:pStyle w:val="Standard"/>
              <w:widowControl w:val="false"/>
              <w:spacing w:before="0" w:after="0"/>
              <w:contextualSpacing/>
              <w:jc w:val="both"/>
              <w:rPr/>
            </w:pPr>
            <w:r>
              <w:rPr/>
            </w:r>
          </w:p>
        </w:tc>
        <w:tc>
          <w:tcPr>
            <w:tcW w:w="5001" w:type="dxa"/>
            <w:tcBorders>
              <w:top w:val="single" w:sz="2" w:space="0" w:color="808080"/>
              <w:left w:val="single" w:sz="2" w:space="0" w:color="808080"/>
              <w:bottom w:val="single" w:sz="2" w:space="0" w:color="808080"/>
              <w:right w:val="single" w:sz="2" w:space="0" w:color="808080"/>
            </w:tcBorders>
            <w:vAlign w:val="center"/>
          </w:tcPr>
          <w:p>
            <w:pPr>
              <w:pStyle w:val="Standard"/>
              <w:widowControl w:val="false"/>
              <w:spacing w:before="0" w:after="0"/>
              <w:contextualSpacing/>
              <w:jc w:val="both"/>
              <w:rPr/>
            </w:pPr>
            <w:r>
              <w:rPr/>
            </w:r>
          </w:p>
        </w:tc>
      </w:tr>
      <w:tr>
        <w:trPr>
          <w:trHeight w:val="397" w:hRule="atLeast"/>
        </w:trPr>
        <w:tc>
          <w:tcPr>
            <w:tcW w:w="553" w:type="dxa"/>
            <w:tcBorders>
              <w:top w:val="single" w:sz="2" w:space="0" w:color="808080"/>
              <w:left w:val="single" w:sz="2" w:space="0" w:color="808080"/>
              <w:bottom w:val="single" w:sz="2" w:space="0" w:color="808080"/>
              <w:right w:val="single" w:sz="2" w:space="0" w:color="808080"/>
            </w:tcBorders>
            <w:vAlign w:val="center"/>
          </w:tcPr>
          <w:p>
            <w:pPr>
              <w:pStyle w:val="Standard"/>
              <w:widowControl w:val="false"/>
              <w:spacing w:before="0" w:after="0"/>
              <w:contextualSpacing/>
              <w:jc w:val="center"/>
              <w:rPr/>
            </w:pPr>
            <w:r>
              <w:rPr/>
              <w:t>2</w:t>
            </w:r>
          </w:p>
        </w:tc>
        <w:tc>
          <w:tcPr>
            <w:tcW w:w="3062" w:type="dxa"/>
            <w:tcBorders>
              <w:top w:val="single" w:sz="2" w:space="0" w:color="808080"/>
              <w:left w:val="single" w:sz="2" w:space="0" w:color="808080"/>
              <w:bottom w:val="single" w:sz="2" w:space="0" w:color="808080"/>
              <w:right w:val="single" w:sz="2" w:space="0" w:color="808080"/>
            </w:tcBorders>
            <w:vAlign w:val="center"/>
          </w:tcPr>
          <w:p>
            <w:pPr>
              <w:pStyle w:val="Standard"/>
              <w:widowControl w:val="false"/>
              <w:spacing w:before="0" w:after="0"/>
              <w:contextualSpacing/>
              <w:jc w:val="both"/>
              <w:rPr/>
            </w:pPr>
            <w:r>
              <w:rPr/>
            </w:r>
          </w:p>
        </w:tc>
        <w:tc>
          <w:tcPr>
            <w:tcW w:w="5001" w:type="dxa"/>
            <w:tcBorders>
              <w:top w:val="single" w:sz="2" w:space="0" w:color="808080"/>
              <w:left w:val="single" w:sz="2" w:space="0" w:color="808080"/>
              <w:bottom w:val="single" w:sz="2" w:space="0" w:color="808080"/>
              <w:right w:val="single" w:sz="2" w:space="0" w:color="808080"/>
            </w:tcBorders>
            <w:vAlign w:val="center"/>
          </w:tcPr>
          <w:p>
            <w:pPr>
              <w:pStyle w:val="Standard"/>
              <w:widowControl w:val="false"/>
              <w:spacing w:before="0" w:after="0"/>
              <w:contextualSpacing/>
              <w:jc w:val="both"/>
              <w:rPr/>
            </w:pPr>
            <w:r>
              <w:rPr/>
            </w:r>
          </w:p>
        </w:tc>
      </w:tr>
    </w:tbl>
    <w:p>
      <w:pPr>
        <w:pStyle w:val="Standard"/>
        <w:widowControl w:val="false"/>
        <w:spacing w:before="0" w:after="0"/>
        <w:contextualSpacing/>
        <w:rPr>
          <w:bCs/>
          <w:i/>
          <w:iCs/>
        </w:rPr>
      </w:pPr>
      <w:r>
        <w:rPr>
          <w:bCs/>
          <w:i/>
          <w:iCs/>
        </w:rPr>
      </w:r>
    </w:p>
    <w:p>
      <w:pPr>
        <w:pStyle w:val="Standard"/>
        <w:widowControl w:val="false"/>
        <w:spacing w:before="0" w:after="0"/>
        <w:contextualSpacing/>
        <w:rPr>
          <w:bCs/>
          <w:sz w:val="22"/>
          <w:szCs w:val="22"/>
        </w:rPr>
      </w:pPr>
      <w:r>
        <w:rPr>
          <w:bCs/>
        </w:rPr>
        <w:t xml:space="preserve">12. </w:t>
      </w:r>
      <w:r>
        <w:rPr>
          <w:bCs/>
          <w:sz w:val="22"/>
          <w:szCs w:val="22"/>
        </w:rPr>
        <w:t>Wadium w wysokości …………….….……zł zostało wniesione w formie</w:t>
      </w:r>
      <w:r>
        <w:rPr/>
        <w:t xml:space="preserve"> </w:t>
      </w:r>
      <w:r>
        <w:rPr>
          <w:bCs/>
          <w:sz w:val="22"/>
          <w:szCs w:val="22"/>
        </w:rPr>
        <w:t>………………………</w:t>
      </w:r>
    </w:p>
    <w:p>
      <w:pPr>
        <w:pStyle w:val="Standard"/>
        <w:widowControl w:val="false"/>
        <w:spacing w:before="0" w:after="0"/>
        <w:contextualSpacing/>
        <w:rPr>
          <w:bCs/>
          <w:sz w:val="22"/>
          <w:szCs w:val="22"/>
        </w:rPr>
      </w:pPr>
      <w:r>
        <w:rPr>
          <w:bCs/>
          <w:sz w:val="22"/>
          <w:szCs w:val="22"/>
        </w:rPr>
      </w:r>
    </w:p>
    <w:p>
      <w:pPr>
        <w:pStyle w:val="Standard"/>
        <w:widowControl w:val="false"/>
        <w:spacing w:before="0" w:after="0"/>
        <w:contextualSpacing/>
        <w:rPr>
          <w:bCs/>
          <w:sz w:val="22"/>
          <w:szCs w:val="22"/>
        </w:rPr>
      </w:pPr>
      <w:r>
        <w:rPr>
          <w:bCs/>
          <w:sz w:val="22"/>
          <w:szCs w:val="22"/>
        </w:rPr>
      </w:r>
    </w:p>
    <w:p>
      <w:pPr>
        <w:pStyle w:val="Standard"/>
        <w:widowControl w:val="false"/>
        <w:spacing w:before="0" w:after="0"/>
        <w:contextualSpacing/>
        <w:rPr>
          <w:bCs/>
          <w:sz w:val="22"/>
          <w:szCs w:val="22"/>
        </w:rPr>
      </w:pPr>
      <w:r>
        <w:rPr>
          <w:bCs/>
          <w:sz w:val="22"/>
          <w:szCs w:val="22"/>
        </w:rPr>
      </w:r>
    </w:p>
    <w:p>
      <w:pPr>
        <w:pStyle w:val="Standard"/>
        <w:widowControl w:val="false"/>
        <w:spacing w:before="0" w:after="0"/>
        <w:contextualSpacing/>
        <w:rPr>
          <w:bCs/>
          <w:sz w:val="22"/>
          <w:szCs w:val="22"/>
        </w:rPr>
      </w:pPr>
      <w:r>
        <w:rPr>
          <w:bCs/>
          <w:sz w:val="22"/>
          <w:szCs w:val="22"/>
        </w:rPr>
      </w:r>
    </w:p>
    <w:p>
      <w:pPr>
        <w:pStyle w:val="Standard"/>
        <w:widowControl w:val="false"/>
        <w:spacing w:before="0" w:after="0"/>
        <w:contextualSpacing/>
        <w:rPr/>
      </w:pPr>
      <w:r>
        <w:rPr>
          <w:bCs/>
          <w:sz w:val="22"/>
          <w:szCs w:val="22"/>
        </w:rPr>
        <w:t xml:space="preserve">13. </w:t>
      </w:r>
      <w:r>
        <w:rPr>
          <w:sz w:val="22"/>
          <w:szCs w:val="22"/>
        </w:rPr>
        <w:t xml:space="preserve">Wadium wniesione w pieniądzu należy zwrócić na następujący rachunek bankowy: </w:t>
      </w:r>
    </w:p>
    <w:p>
      <w:pPr>
        <w:pStyle w:val="Normal"/>
        <w:spacing w:before="0" w:after="0"/>
        <w:contextualSpacing/>
        <w:jc w:val="both"/>
        <w:rPr/>
      </w:pPr>
      <w:r>
        <w:rPr>
          <w:sz w:val="22"/>
          <w:szCs w:val="22"/>
        </w:rPr>
        <w:t>……………………………………………………………………………………………………</w:t>
      </w:r>
    </w:p>
    <w:p>
      <w:pPr>
        <w:pStyle w:val="Normal"/>
        <w:spacing w:before="0" w:after="0"/>
        <w:contextualSpacing/>
        <w:jc w:val="center"/>
        <w:rPr/>
      </w:pPr>
      <w:r>
        <w:rPr>
          <w:i/>
          <w:sz w:val="16"/>
          <w:szCs w:val="16"/>
        </w:rPr>
        <w:t>(wpisać nazwę banku i nr konta)</w:t>
      </w:r>
    </w:p>
    <w:p>
      <w:pPr>
        <w:pStyle w:val="Normal"/>
        <w:spacing w:before="0" w:after="0"/>
        <w:contextualSpacing/>
        <w:jc w:val="both"/>
        <w:rPr>
          <w:shd w:fill="FFD320" w:val="clear"/>
        </w:rPr>
      </w:pPr>
      <w:r>
        <w:rPr>
          <w:sz w:val="22"/>
          <w:szCs w:val="22"/>
          <w:shd w:fill="FFD320" w:val="clear"/>
        </w:rPr>
        <w:t xml:space="preserve">14. Oświadczenie dotyczące zwolnienia wadium wniesionego w formie innej niż w pieniądzu należy przesłać na następujący adres e-mail: </w:t>
      </w:r>
    </w:p>
    <w:p>
      <w:pPr>
        <w:pStyle w:val="Normal"/>
        <w:spacing w:before="0" w:after="0"/>
        <w:ind w:left="284"/>
        <w:contextualSpacing/>
        <w:jc w:val="both"/>
        <w:rPr/>
      </w:pPr>
      <w:r>
        <w:rPr>
          <w:sz w:val="22"/>
          <w:szCs w:val="22"/>
        </w:rPr>
        <w:t>………………………………………………………………………………………………………</w:t>
      </w:r>
      <w:r>
        <w:rPr>
          <w:sz w:val="22"/>
          <w:szCs w:val="22"/>
        </w:rPr>
        <w:t>.</w:t>
      </w:r>
    </w:p>
    <w:p>
      <w:pPr>
        <w:pStyle w:val="Standard"/>
        <w:widowControl w:val="false"/>
        <w:spacing w:before="0" w:after="0"/>
        <w:contextualSpacing/>
        <w:rPr/>
      </w:pPr>
      <w:r>
        <w:rPr>
          <w:bCs/>
          <w:i/>
          <w:sz w:val="16"/>
          <w:szCs w:val="16"/>
        </w:rPr>
        <w:t xml:space="preserve">(wpisać adres e-mail </w:t>
      </w:r>
      <w:r>
        <w:rPr>
          <w:b/>
          <w:bCs/>
          <w:i/>
          <w:sz w:val="16"/>
          <w:szCs w:val="16"/>
        </w:rPr>
        <w:t>gwaranta lub poręczyciela</w:t>
      </w:r>
      <w:r>
        <w:rPr>
          <w:bCs/>
          <w:i/>
          <w:sz w:val="16"/>
          <w:szCs w:val="16"/>
        </w:rPr>
        <w:t xml:space="preserve">) </w:t>
      </w:r>
      <w:r>
        <w:rPr>
          <w:b/>
          <w:bCs/>
          <w:i/>
          <w:sz w:val="16"/>
          <w:szCs w:val="16"/>
          <w:u w:val="single"/>
        </w:rPr>
        <w:t>NIE MOŻE TO BYĆ ADRES E-MAIL WYKONAWCY!</w:t>
      </w:r>
    </w:p>
    <w:p>
      <w:pPr>
        <w:pStyle w:val="Standard"/>
        <w:widowControl w:val="false"/>
        <w:spacing w:before="0" w:after="0"/>
        <w:contextualSpacing/>
        <w:rPr>
          <w:bCs/>
          <w:i/>
          <w:iCs/>
        </w:rPr>
      </w:pPr>
      <w:r>
        <w:rPr>
          <w:bCs/>
          <w:i/>
          <w:iCs/>
        </w:rPr>
      </w:r>
    </w:p>
    <w:p>
      <w:pPr>
        <w:pStyle w:val="Standard"/>
        <w:widowControl w:val="false"/>
        <w:spacing w:before="0" w:after="0"/>
        <w:contextualSpacing/>
        <w:rPr>
          <w:bCs/>
          <w:i/>
          <w:iCs/>
        </w:rPr>
      </w:pPr>
      <w:r>
        <w:rPr>
          <w:bCs/>
          <w:i/>
          <w:iCs/>
        </w:rPr>
      </w:r>
    </w:p>
    <w:p>
      <w:pPr>
        <w:pStyle w:val="Standard"/>
        <w:widowControl w:val="false"/>
        <w:spacing w:before="0" w:after="0"/>
        <w:contextualSpacing/>
        <w:rPr>
          <w:b/>
          <w:bCs/>
        </w:rPr>
      </w:pPr>
      <w:r>
        <w:rPr>
          <w:b/>
          <w:bCs/>
          <w:i/>
          <w:iCs/>
          <w:sz w:val="14"/>
          <w:szCs w:val="14"/>
        </w:rPr>
        <w:t>* niepotrzebne skreślić</w:t>
      </w:r>
    </w:p>
    <w:p>
      <w:pPr>
        <w:pStyle w:val="Standard"/>
        <w:widowControl w:val="false"/>
        <w:spacing w:before="0" w:after="0"/>
        <w:contextualSpacing/>
        <w:rPr/>
      </w:pPr>
      <w:r>
        <w:rPr>
          <w:bCs/>
          <w:i/>
          <w:iCs/>
          <w:sz w:val="14"/>
          <w:szCs w:val="14"/>
        </w:rPr>
        <w:t>** dotyczy Wykonawców, których oferty będą prowadzić do powstania u Zamawiającego obowiązku podatkowego, tj. będą generować obowiązek doliczania do wartości netto podatku VAT  w przypadku:</w:t>
      </w:r>
    </w:p>
    <w:p>
      <w:pPr>
        <w:pStyle w:val="Standard"/>
        <w:widowControl w:val="false"/>
        <w:spacing w:before="0" w:after="0"/>
        <w:contextualSpacing/>
        <w:rPr/>
      </w:pPr>
      <w:r>
        <w:rPr>
          <w:bCs/>
          <w:i/>
          <w:iCs/>
          <w:sz w:val="14"/>
          <w:szCs w:val="14"/>
        </w:rPr>
        <w:t>- wewnątrzwspólnotowego nabycia towarów</w:t>
      </w:r>
    </w:p>
    <w:p>
      <w:pPr>
        <w:pStyle w:val="Standard"/>
        <w:widowControl w:val="false"/>
        <w:spacing w:before="0" w:after="0"/>
        <w:contextualSpacing/>
        <w:rPr/>
      </w:pPr>
      <w:r>
        <w:rPr>
          <w:bCs/>
          <w:i/>
          <w:iCs/>
          <w:sz w:val="14"/>
          <w:szCs w:val="14"/>
        </w:rPr>
        <w:t>- mechanizmu odwrotnego obciążenia, o którym mowa w art. 17 ust. 1 pkt. 7 ustawy o podatku od towarów i usług</w:t>
      </w:r>
    </w:p>
    <w:p>
      <w:pPr>
        <w:pStyle w:val="Standard"/>
        <w:widowControl w:val="false"/>
        <w:spacing w:before="0" w:after="0"/>
        <w:contextualSpacing/>
        <w:rPr/>
      </w:pPr>
      <w:r>
        <w:rPr>
          <w:bCs/>
          <w:i/>
          <w:iCs/>
          <w:sz w:val="14"/>
          <w:szCs w:val="14"/>
        </w:rPr>
        <w:t>- importu usług lub importu towarów, z którymi wiąże się obowiązek odliczenia przez Zamawiającego przy porównywaniu cen ofertowych podatku VAT</w:t>
      </w:r>
    </w:p>
    <w:p>
      <w:pPr>
        <w:pStyle w:val="Standard"/>
        <w:widowControl w:val="false"/>
        <w:spacing w:before="0" w:after="0"/>
        <w:contextualSpacing/>
        <w:rPr/>
      </w:pPr>
      <w:r>
        <w:rPr>
          <w:bCs/>
          <w:i/>
          <w:iCs/>
          <w:sz w:val="14"/>
          <w:szCs w:val="14"/>
        </w:rPr>
        <w:t>*** zaznaczyć właściwie</w:t>
      </w:r>
    </w:p>
    <w:p>
      <w:pPr>
        <w:pStyle w:val="Normal"/>
        <w:numPr>
          <w:ilvl w:val="1"/>
          <w:numId w:val="3"/>
        </w:numPr>
        <w:tabs>
          <w:tab w:val="clear" w:pos="720"/>
          <w:tab w:val="left" w:pos="426" w:leader="none"/>
          <w:tab w:val="left" w:pos="2621" w:leader="none"/>
        </w:tabs>
        <w:ind w:hanging="426" w:left="426"/>
        <w:jc w:val="both"/>
        <w:rPr/>
      </w:pPr>
      <w:r>
        <w:rPr>
          <w:i/>
          <w:sz w:val="16"/>
          <w:szCs w:val="16"/>
        </w:rPr>
        <w:t>Mikroprzedsiębiorstwo: przedsiębiorstwo, które zatrudnia mniej niż 10 osób i którego roczny obrót lub roczna suma bilansowa nie                    przekracza 2 milionów euro.</w:t>
      </w:r>
    </w:p>
    <w:p>
      <w:pPr>
        <w:pStyle w:val="Normal"/>
        <w:numPr>
          <w:ilvl w:val="1"/>
          <w:numId w:val="3"/>
        </w:numPr>
        <w:tabs>
          <w:tab w:val="clear" w:pos="720"/>
          <w:tab w:val="left" w:pos="426" w:leader="none"/>
          <w:tab w:val="left" w:pos="2621" w:leader="none"/>
        </w:tabs>
        <w:ind w:hanging="426" w:left="426"/>
        <w:jc w:val="both"/>
        <w:rPr/>
      </w:pPr>
      <w:r>
        <w:rPr>
          <w:i/>
          <w:sz w:val="16"/>
          <w:szCs w:val="16"/>
        </w:rPr>
        <w:t xml:space="preserve">Małe przedsiębiorstwo: przedsiębiorstwo, które zatrudnia mniej niż 50 osób i którego roczny obrót lub roczna suma bilansowa nie                     przekracza 10 milionów euro. </w:t>
      </w:r>
    </w:p>
    <w:p>
      <w:pPr>
        <w:pStyle w:val="Normal"/>
        <w:numPr>
          <w:ilvl w:val="1"/>
          <w:numId w:val="3"/>
        </w:numPr>
        <w:tabs>
          <w:tab w:val="clear" w:pos="720"/>
          <w:tab w:val="left" w:pos="426" w:leader="none"/>
          <w:tab w:val="left" w:pos="2621" w:leader="none"/>
        </w:tabs>
        <w:ind w:hanging="426" w:left="426"/>
        <w:jc w:val="both"/>
        <w:rPr/>
      </w:pPr>
      <w:r>
        <w:rPr>
          <w:i/>
          <w:sz w:val="16"/>
          <w:szCs w:val="16"/>
        </w:rPr>
        <w:t xml:space="preserve">Średnie przedsiębiorstwo: przedsiębiorstwo, które nie jest mikroprzedsiębiorstwem ani małym przedsiębiorstwem </w:t>
        <w:br/>
        <w:t>i które zatrudnia mniej niż 250 osób i którego roczny obrót nie przekracza 50 milionów euro lub roczna suma bilansowa nie przekracza 43 milionów euro.</w:t>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spacing w:before="0" w:after="0"/>
        <w:ind w:left="6381"/>
        <w:contextualSpacing/>
        <w:rPr/>
      </w:pPr>
      <w:r>
        <w:rPr>
          <w:b/>
          <w:bCs/>
          <w:i/>
          <w:iCs/>
        </w:rPr>
        <w:t xml:space="preserve">Załącznik nr 3 do SWZ </w:t>
      </w:r>
    </w:p>
    <w:p>
      <w:pPr>
        <w:pStyle w:val="Standard"/>
        <w:spacing w:before="0" w:after="0"/>
        <w:contextualSpacing/>
        <w:rPr/>
      </w:pPr>
      <w:r>
        <w:rPr>
          <w:sz w:val="20"/>
          <w:szCs w:val="20"/>
        </w:rPr>
        <w:t>.........................................................</w:t>
      </w:r>
    </w:p>
    <w:p>
      <w:pPr>
        <w:pStyle w:val="Standard"/>
        <w:spacing w:before="0" w:after="0"/>
        <w:contextualSpacing/>
        <w:rPr/>
      </w:pPr>
      <w:r>
        <w:rPr>
          <w:sz w:val="20"/>
          <w:szCs w:val="20"/>
        </w:rPr>
        <w:t>.........................................................</w:t>
      </w:r>
    </w:p>
    <w:p>
      <w:pPr>
        <w:pStyle w:val="Standard"/>
        <w:spacing w:before="0" w:after="0"/>
        <w:contextualSpacing/>
        <w:rPr/>
      </w:pPr>
      <w:r>
        <w:rPr>
          <w:i/>
          <w:iCs/>
          <w:sz w:val="16"/>
          <w:szCs w:val="16"/>
        </w:rPr>
        <w:t>(pełna nazwa/firma, adres</w:t>
      </w:r>
    </w:p>
    <w:p>
      <w:pPr>
        <w:pStyle w:val="Standard"/>
        <w:spacing w:before="0" w:after="0"/>
        <w:contextualSpacing/>
        <w:rPr/>
      </w:pPr>
      <w:r>
        <w:rPr>
          <w:i/>
          <w:iCs/>
          <w:sz w:val="16"/>
          <w:szCs w:val="16"/>
        </w:rPr>
        <w:t>w zależności od podmiotu:</w:t>
      </w:r>
    </w:p>
    <w:p>
      <w:pPr>
        <w:pStyle w:val="Standard"/>
        <w:spacing w:before="0" w:after="0"/>
        <w:contextualSpacing/>
        <w:rPr/>
      </w:pPr>
      <w:r>
        <w:rPr>
          <w:i/>
          <w:iCs/>
          <w:sz w:val="16"/>
          <w:szCs w:val="16"/>
        </w:rPr>
        <w:t>NIP/PESEL, KRS/CEiDG)</w:t>
      </w:r>
    </w:p>
    <w:p>
      <w:pPr>
        <w:pStyle w:val="Standard"/>
        <w:spacing w:before="0" w:after="0"/>
        <w:contextualSpacing/>
        <w:rPr>
          <w:i/>
          <w:iCs/>
          <w:sz w:val="20"/>
          <w:szCs w:val="20"/>
        </w:rPr>
      </w:pPr>
      <w:r>
        <w:rPr>
          <w:i/>
          <w:iCs/>
          <w:sz w:val="20"/>
          <w:szCs w:val="20"/>
        </w:rPr>
      </w:r>
    </w:p>
    <w:p>
      <w:pPr>
        <w:pStyle w:val="Standard"/>
        <w:spacing w:before="0" w:after="0"/>
        <w:contextualSpacing/>
        <w:rPr/>
      </w:pPr>
      <w:r>
        <w:rPr>
          <w:i/>
          <w:iCs/>
          <w:sz w:val="20"/>
          <w:szCs w:val="20"/>
        </w:rPr>
        <w:t>reprezentowany przez:</w:t>
      </w:r>
    </w:p>
    <w:p>
      <w:pPr>
        <w:pStyle w:val="Standard"/>
        <w:spacing w:before="0" w:after="0"/>
        <w:contextualSpacing/>
        <w:rPr/>
      </w:pPr>
      <w:r>
        <w:rPr>
          <w:sz w:val="20"/>
          <w:szCs w:val="20"/>
        </w:rPr>
        <w:t>.........................................................</w:t>
      </w:r>
    </w:p>
    <w:p>
      <w:pPr>
        <w:pStyle w:val="Standard"/>
        <w:spacing w:before="0" w:after="0"/>
        <w:contextualSpacing/>
        <w:rPr/>
      </w:pPr>
      <w:r>
        <w:rPr>
          <w:sz w:val="20"/>
          <w:szCs w:val="20"/>
        </w:rPr>
        <w:t>.........................................................</w:t>
      </w:r>
    </w:p>
    <w:p>
      <w:pPr>
        <w:pStyle w:val="Standard"/>
        <w:spacing w:before="0" w:after="0"/>
        <w:contextualSpacing/>
        <w:rPr/>
      </w:pPr>
      <w:r>
        <w:rPr>
          <w:i/>
          <w:iCs/>
          <w:sz w:val="16"/>
          <w:szCs w:val="16"/>
        </w:rPr>
        <w:t>(imię i nazwisko, stanowisko/podstawa</w:t>
      </w:r>
    </w:p>
    <w:p>
      <w:pPr>
        <w:pStyle w:val="Standard"/>
        <w:spacing w:before="0" w:after="0"/>
        <w:contextualSpacing/>
        <w:rPr/>
      </w:pPr>
      <w:r>
        <w:rPr>
          <w:i/>
          <w:iCs/>
          <w:sz w:val="16"/>
          <w:szCs w:val="16"/>
        </w:rPr>
        <w:t>do reprezentacji)</w:t>
      </w:r>
    </w:p>
    <w:p>
      <w:pPr>
        <w:pStyle w:val="Standard"/>
        <w:spacing w:before="0" w:after="0"/>
        <w:contextualSpacing/>
        <w:rPr>
          <w:b/>
          <w:bCs/>
          <w:i/>
          <w:iCs/>
        </w:rPr>
      </w:pPr>
      <w:r>
        <w:rPr>
          <w:b/>
          <w:bCs/>
          <w:i/>
          <w:iCs/>
        </w:rPr>
      </w:r>
    </w:p>
    <w:p>
      <w:pPr>
        <w:pStyle w:val="Normalny1"/>
        <w:spacing w:lineRule="auto" w:line="240" w:before="0" w:after="0"/>
        <w:contextualSpacing/>
        <w:jc w:val="center"/>
        <w:rPr>
          <w:rFonts w:ascii="Times New Roman" w:hAnsi="Times New Roman" w:cs="Times New Roman"/>
        </w:rPr>
      </w:pPr>
      <w:r>
        <w:rPr>
          <w:rFonts w:cs="Times New Roman" w:ascii="Times New Roman" w:hAnsi="Times New Roman"/>
          <w:b/>
          <w:bCs/>
        </w:rPr>
        <w:t>OŚWIADCZENIE WYKONAWCY</w:t>
      </w:r>
    </w:p>
    <w:p>
      <w:pPr>
        <w:pStyle w:val="Standard"/>
        <w:suppressAutoHyphens w:val="false"/>
        <w:spacing w:before="0" w:after="0"/>
        <w:contextualSpacing/>
        <w:textAlignment w:val="auto"/>
        <w:rPr>
          <w:b/>
          <w:bCs/>
        </w:rPr>
      </w:pPr>
      <w:r>
        <w:rPr>
          <w:b/>
          <w:bCs/>
        </w:rPr>
      </w:r>
    </w:p>
    <w:p>
      <w:pPr>
        <w:pStyle w:val="Standard"/>
        <w:suppressAutoHyphens w:val="false"/>
        <w:spacing w:before="0" w:after="0"/>
        <w:contextualSpacing/>
        <w:jc w:val="center"/>
        <w:textAlignment w:val="auto"/>
        <w:rPr/>
      </w:pPr>
      <w:r>
        <w:rPr>
          <w:i/>
          <w:iCs/>
        </w:rPr>
        <w:t>składane na podstawie art. 125 ust. 1 ustawy z dnia 11 września 2019 r.</w:t>
      </w:r>
    </w:p>
    <w:p>
      <w:pPr>
        <w:pStyle w:val="Standard"/>
        <w:suppressAutoHyphens w:val="false"/>
        <w:spacing w:before="0" w:after="0"/>
        <w:contextualSpacing/>
        <w:jc w:val="center"/>
        <w:textAlignment w:val="auto"/>
        <w:rPr/>
      </w:pPr>
      <w:r>
        <w:rPr>
          <w:i/>
          <w:iCs/>
        </w:rPr>
        <w:t>Prawo Zamówień Publicznych, dalej „ustawa Pzp”</w:t>
      </w:r>
    </w:p>
    <w:p>
      <w:pPr>
        <w:pStyle w:val="Standard"/>
        <w:suppressAutoHyphens w:val="false"/>
        <w:spacing w:before="0" w:after="0"/>
        <w:contextualSpacing/>
        <w:jc w:val="center"/>
        <w:textAlignment w:val="auto"/>
        <w:rPr>
          <w:rFonts w:eastAsia="Calibri"/>
          <w:kern w:val="0"/>
          <w:lang w:eastAsia="en-US"/>
        </w:rPr>
      </w:pPr>
      <w:r>
        <w:rPr>
          <w:rFonts w:eastAsia="Calibri"/>
          <w:kern w:val="0"/>
          <w:lang w:eastAsia="en-US"/>
        </w:rPr>
      </w:r>
    </w:p>
    <w:p>
      <w:pPr>
        <w:pStyle w:val="Standard"/>
        <w:suppressAutoHyphens w:val="false"/>
        <w:spacing w:before="0" w:after="0"/>
        <w:contextualSpacing/>
        <w:jc w:val="center"/>
        <w:textAlignment w:val="auto"/>
        <w:rPr/>
      </w:pPr>
      <w:r>
        <w:rPr>
          <w:rFonts w:eastAsia="Calibri"/>
          <w:b/>
          <w:bCs/>
          <w:kern w:val="0"/>
          <w:u w:val="single"/>
          <w:lang w:eastAsia="en-US"/>
        </w:rPr>
        <w:t>DOTYCZĄCE BRAKU PODSTAW DO WYKLUCZENIA Z POSTĘPOWANIA</w:t>
      </w:r>
    </w:p>
    <w:p>
      <w:pPr>
        <w:pStyle w:val="Standard"/>
        <w:suppressAutoHyphens w:val="false"/>
        <w:spacing w:before="0" w:after="0"/>
        <w:contextualSpacing/>
        <w:jc w:val="both"/>
        <w:textAlignment w:val="auto"/>
        <w:rPr>
          <w:rFonts w:eastAsia="Calibri"/>
          <w:kern w:val="0"/>
          <w:lang w:eastAsia="en-US"/>
        </w:rPr>
      </w:pPr>
      <w:r>
        <w:rPr>
          <w:rFonts w:eastAsia="Calibri"/>
          <w:kern w:val="0"/>
          <w:lang w:eastAsia="en-US"/>
        </w:rPr>
      </w:r>
    </w:p>
    <w:p>
      <w:pPr>
        <w:pStyle w:val="Standard"/>
        <w:widowControl w:val="false"/>
        <w:spacing w:before="0" w:after="0"/>
        <w:contextualSpacing/>
        <w:jc w:val="center"/>
        <w:rPr/>
      </w:pPr>
      <w:r>
        <w:rPr/>
        <w:t xml:space="preserve">składając ofertę w postępowaniu o udzielenie zamówienia publicznego na zadanie pn.: </w:t>
      </w:r>
      <w:r>
        <w:rPr>
          <w:b/>
          <w:bCs/>
          <w:i/>
          <w:iCs/>
          <w:sz w:val="28"/>
          <w:szCs w:val="28"/>
        </w:rPr>
        <w:t xml:space="preserve"> „</w:t>
      </w:r>
      <w:bookmarkStart w:id="6" w:name="_Hlk119346384_kopia_1_kopia_2"/>
      <w:r>
        <w:rPr>
          <w:b/>
          <w:bCs/>
          <w:i/>
          <w:iCs/>
          <w:sz w:val="28"/>
          <w:szCs w:val="28"/>
        </w:rPr>
        <w:t>Przebudowa, rozbudowa i kompleksowa transformacja energetyczna budynku OTUA Wojewódzkiego Szpitala Psychiatrycznego w Andrychowie - w formule zaprojektuj i wybuduj ”</w:t>
      </w:r>
      <w:bookmarkEnd w:id="6"/>
    </w:p>
    <w:p>
      <w:pPr>
        <w:pStyle w:val="Standard"/>
        <w:spacing w:before="0" w:after="0"/>
        <w:contextualSpacing/>
        <w:jc w:val="both"/>
        <w:rPr>
          <w:color w:val="EE0000"/>
        </w:rPr>
      </w:pPr>
      <w:r>
        <w:rPr>
          <w:color w:val="EE0000"/>
        </w:rPr>
      </w:r>
    </w:p>
    <w:p>
      <w:pPr>
        <w:pStyle w:val="Standard"/>
        <w:shd w:val="clear" w:color="auto" w:fill="B3B3B3"/>
        <w:spacing w:before="0" w:after="0"/>
        <w:contextualSpacing/>
        <w:rPr/>
      </w:pPr>
      <w:r>
        <w:rPr>
          <w:b/>
          <w:bCs/>
        </w:rPr>
        <w:t>OŚWIADCZENIA DOTYCZĄCE WYKONAWCY:</w:t>
      </w:r>
    </w:p>
    <w:p>
      <w:pPr>
        <w:pStyle w:val="Standard"/>
        <w:suppressAutoHyphens w:val="false"/>
        <w:spacing w:before="0" w:after="0"/>
        <w:contextualSpacing/>
        <w:jc w:val="both"/>
        <w:textAlignment w:val="auto"/>
        <w:rPr>
          <w:rFonts w:eastAsia="Calibri"/>
          <w:kern w:val="0"/>
          <w:lang w:eastAsia="en-US"/>
        </w:rPr>
      </w:pPr>
      <w:r>
        <w:rPr>
          <w:rFonts w:eastAsia="Calibri"/>
          <w:kern w:val="0"/>
          <w:lang w:eastAsia="en-US"/>
        </w:rPr>
        <w:t>1. Oświadczam, że nie podlegam wykluczeniu z postępowania na podstawie                                                   art. 108 ust. 1 ustawy Pzp.</w:t>
      </w:r>
    </w:p>
    <w:p>
      <w:pPr>
        <w:pStyle w:val="Standard"/>
        <w:suppressAutoHyphens w:val="false"/>
        <w:spacing w:before="0" w:after="0"/>
        <w:contextualSpacing/>
        <w:jc w:val="both"/>
        <w:textAlignment w:val="auto"/>
        <w:rPr>
          <w:rFonts w:eastAsia="Calibri"/>
          <w:b/>
          <w:bCs/>
          <w:i/>
          <w:iCs/>
          <w:kern w:val="0"/>
          <w:sz w:val="18"/>
          <w:szCs w:val="18"/>
          <w:lang w:eastAsia="en-US"/>
        </w:rPr>
      </w:pPr>
      <w:r>
        <w:rPr>
          <w:rFonts w:eastAsia="Calibri"/>
          <w:kern w:val="0"/>
          <w:lang w:eastAsia="en-US"/>
        </w:rPr>
        <w:t xml:space="preserve">2. Oświadczam, że zachodzą w stosunku do mnie podstawy wykluczenia z postępowania na podstawie art. …………. ustawy Pzp </w:t>
      </w:r>
      <w:r>
        <w:rPr>
          <w:rFonts w:eastAsia="Calibri"/>
          <w:i/>
          <w:iCs/>
          <w:kern w:val="0"/>
          <w:sz w:val="18"/>
          <w:szCs w:val="18"/>
          <w:lang w:eastAsia="en-US"/>
        </w:rPr>
        <w:t xml:space="preserve">(podać mającą zastosowanie podstawę wykluczenia spośród wymienionych  art. 108 ust. 1, 2 i 5.) </w:t>
      </w:r>
      <w:r>
        <w:rPr>
          <w:rFonts w:eastAsia="Calibri"/>
          <w:kern w:val="0"/>
          <w:lang w:eastAsia="en-US"/>
        </w:rPr>
        <w:t xml:space="preserve">Jednocześnie oświadczam, że w związku z w/w okolicznością, na podstawie art. 110 ust. 2 ustawy Pzp, podjąłem następujące środki naprawcze i zapobiegawcze ………………………………………………………………………………………………………………………………………………….………………………………………………………………………………………………………….…………………………………………. </w:t>
      </w:r>
      <w:r>
        <w:rPr>
          <w:rFonts w:eastAsia="Calibri"/>
          <w:b/>
          <w:bCs/>
          <w:i/>
          <w:iCs/>
          <w:kern w:val="0"/>
          <w:sz w:val="18"/>
          <w:szCs w:val="18"/>
          <w:lang w:eastAsia="en-US"/>
        </w:rPr>
        <w:t>/PKT. 2 WYPEŁNIĆ, JEŻELI ZACHODZĄ PRZESŁANKI WYKLUCZENIA, O KTÓRYCH MOWA W ART. 108 UST. 1 PKT. 1, 2 i 5 A WYKONAWCA KORZYSTA Z PROCEDURY SAMOOCZYSZCZENIA, O KTÓREJ MOWA W ART. 110 UST. 2 USTAWY PZP,</w:t>
      </w:r>
      <w:r>
        <w:rPr>
          <w:rFonts w:eastAsia="Calibri"/>
          <w:b/>
          <w:bCs/>
          <w:i/>
          <w:iCs/>
          <w:kern w:val="0"/>
          <w:sz w:val="18"/>
          <w:szCs w:val="18"/>
          <w:shd w:fill="FFD320" w:val="clear"/>
          <w:lang w:eastAsia="en-US"/>
        </w:rPr>
        <w:t xml:space="preserve"> </w:t>
      </w:r>
      <w:r>
        <w:rPr>
          <w:rFonts w:eastAsia="Calibri"/>
          <w:b/>
          <w:bCs/>
          <w:i/>
          <w:iCs/>
          <w:kern w:val="0"/>
          <w:sz w:val="18"/>
          <w:szCs w:val="18"/>
          <w:u w:val="single"/>
          <w:shd w:fill="FFD320" w:val="clear"/>
          <w:lang w:eastAsia="en-US"/>
        </w:rPr>
        <w:t>W POZOSTAŁYCH PRZYPADKACH WYKREŚLIĆ</w:t>
      </w:r>
      <w:r>
        <w:rPr>
          <w:rFonts w:eastAsia="Calibri"/>
          <w:b/>
          <w:bCs/>
          <w:i/>
          <w:iCs/>
          <w:kern w:val="0"/>
          <w:sz w:val="18"/>
          <w:szCs w:val="18"/>
          <w:shd w:fill="FFD320" w:val="clear"/>
          <w:lang w:eastAsia="en-US"/>
        </w:rPr>
        <w:t>/</w:t>
      </w:r>
    </w:p>
    <w:p>
      <w:pPr>
        <w:pStyle w:val="Standard"/>
        <w:suppressAutoHyphens w:val="false"/>
        <w:spacing w:before="0" w:after="0"/>
        <w:contextualSpacing/>
        <w:jc w:val="both"/>
        <w:textAlignment w:val="auto"/>
        <w:rPr>
          <w:rFonts w:eastAsia="Calibri"/>
          <w:i/>
          <w:iCs/>
          <w:kern w:val="0"/>
          <w:sz w:val="18"/>
          <w:szCs w:val="18"/>
          <w:lang w:eastAsia="en-US"/>
        </w:rPr>
      </w:pPr>
      <w:r>
        <w:rPr>
          <w:rFonts w:eastAsia="Calibri"/>
          <w:i/>
          <w:iCs/>
          <w:kern w:val="0"/>
          <w:sz w:val="18"/>
          <w:szCs w:val="18"/>
          <w:lang w:eastAsia="en-US"/>
        </w:rPr>
      </w:r>
    </w:p>
    <w:p>
      <w:pPr>
        <w:pStyle w:val="Standard"/>
        <w:suppressAutoHyphens w:val="false"/>
        <w:spacing w:before="0" w:after="0"/>
        <w:contextualSpacing/>
        <w:jc w:val="both"/>
        <w:textAlignment w:val="auto"/>
        <w:rPr>
          <w:rFonts w:eastAsia="Calibri"/>
          <w:kern w:val="0"/>
          <w:lang w:eastAsia="en-US"/>
        </w:rPr>
      </w:pPr>
      <w:r>
        <w:rPr>
          <w:rFonts w:eastAsia="Calibri"/>
          <w:kern w:val="0"/>
          <w:lang w:eastAsia="en-US"/>
        </w:rPr>
        <w:t xml:space="preserve">3. **Oświadczam,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
    <w:p>
      <w:pPr>
        <w:pStyle w:val="Standard"/>
        <w:suppressAutoHyphens w:val="false"/>
        <w:spacing w:before="0" w:after="0"/>
        <w:contextualSpacing/>
        <w:jc w:val="both"/>
        <w:textAlignment w:val="auto"/>
        <w:rPr>
          <w:rFonts w:eastAsia="Calibri"/>
          <w:kern w:val="0"/>
          <w:lang w:eastAsia="en-US"/>
        </w:rPr>
      </w:pPr>
      <w:r>
        <w:rPr>
          <w:rFonts w:eastAsia="Calibri"/>
          <w:kern w:val="0"/>
          <w:lang w:eastAsia="en-US"/>
        </w:rPr>
        <w:t>4. **Oświadczam, że zachodzą w stosunku do mnie podstawy wykluczenia z postępowania na podstawie art. 7 ust. 1 ustawy z dnia 13 kwietnia 2022 r. o szczególnych rozwiązaniach                               w zakresie przeciwdziałania wspieraniu agresji na Ukrainę oraz służących ochronie                                            bezpieczeństwa narodowego</w:t>
      </w:r>
    </w:p>
    <w:p>
      <w:pPr>
        <w:pStyle w:val="Standard"/>
        <w:suppressAutoHyphens w:val="false"/>
        <w:spacing w:before="0" w:after="0"/>
        <w:contextualSpacing/>
        <w:textAlignment w:val="auto"/>
        <w:rPr>
          <w:rFonts w:eastAsia="Calibri"/>
          <w:kern w:val="0"/>
          <w:lang w:eastAsia="en-US"/>
        </w:rPr>
      </w:pPr>
      <w:r>
        <w:rPr>
          <w:rFonts w:eastAsia="Calibri"/>
          <w:kern w:val="0"/>
          <w:lang w:eastAsia="en-US"/>
        </w:rPr>
        <w:t>……………………………………………………………………………………………………………………………………………………………………………………………………………………………………………………………………………………………………</w:t>
      </w:r>
    </w:p>
    <w:p>
      <w:pPr>
        <w:pStyle w:val="Textbody1"/>
        <w:spacing w:before="0" w:after="0"/>
        <w:contextualSpacing/>
        <w:rPr>
          <w:b/>
          <w:bCs/>
        </w:rPr>
      </w:pPr>
      <w:r>
        <w:rPr>
          <w:rFonts w:eastAsia="Calibri"/>
          <w:b/>
          <w:bCs/>
          <w:i/>
          <w:iCs/>
          <w:sz w:val="18"/>
          <w:szCs w:val="18"/>
          <w:lang w:eastAsia="en-US"/>
        </w:rPr>
        <w:t xml:space="preserve">** WSKAZAĆ WŁAŚCIWIE (PKT. 3 LUB PKT. 4) CZY WOBEC WYKONAWCY ZACHODZĄ PRZESŁANKI WYKLUCZENIA Z POSTĘPOWANIA. </w:t>
      </w:r>
    </w:p>
    <w:p>
      <w:pPr>
        <w:pStyle w:val="Textbody1"/>
        <w:spacing w:before="0" w:after="0"/>
        <w:contextualSpacing/>
        <w:rPr>
          <w:b/>
          <w:bCs/>
        </w:rPr>
      </w:pPr>
      <w:r>
        <w:rPr>
          <w:b/>
          <w:bCs/>
        </w:rPr>
      </w:r>
    </w:p>
    <w:p>
      <w:pPr>
        <w:pStyle w:val="Textbody1"/>
        <w:spacing w:before="0" w:after="0"/>
        <w:contextualSpacing/>
        <w:rPr>
          <w:b/>
          <w:bCs/>
        </w:rPr>
      </w:pPr>
      <w:r>
        <w:rPr>
          <w:rFonts w:eastAsia="Calibri"/>
          <w:b/>
          <w:bCs/>
          <w:i/>
          <w:iCs/>
          <w:sz w:val="18"/>
          <w:szCs w:val="18"/>
          <w:lang w:eastAsia="en-US"/>
        </w:rPr>
        <w:t xml:space="preserve">UWAGA!! Jeżeli wobec Wykonawcy nie zachodzą przesłanki wykluczenia z postępowania, </w:t>
      </w:r>
      <w:r>
        <w:rPr>
          <w:rFonts w:eastAsia="Calibri"/>
          <w:b/>
          <w:bCs/>
          <w:i/>
          <w:iCs/>
          <w:sz w:val="18"/>
          <w:szCs w:val="18"/>
          <w:u w:val="single"/>
          <w:lang w:eastAsia="en-US"/>
        </w:rPr>
        <w:t>należy wykreślić pkt. 4</w:t>
      </w:r>
    </w:p>
    <w:p>
      <w:pPr>
        <w:pStyle w:val="Textbody"/>
        <w:spacing w:before="0" w:after="0"/>
        <w:ind w:firstLine="709" w:left="6381"/>
        <w:contextualSpacing/>
        <w:rPr>
          <w:color w:val="FF0000"/>
        </w:rPr>
      </w:pPr>
      <w:r>
        <w:rPr>
          <w:color w:val="FF0000"/>
        </w:rPr>
      </w:r>
    </w:p>
    <w:p>
      <w:pPr>
        <w:pStyle w:val="Standard"/>
        <w:shd w:val="clear" w:color="auto" w:fill="B3B3B3"/>
        <w:spacing w:before="0" w:after="0"/>
        <w:contextualSpacing/>
        <w:rPr>
          <w:b/>
          <w:bCs/>
          <w:shd w:fill="B3B3B3" w:val="clear"/>
        </w:rPr>
      </w:pPr>
      <w:r>
        <w:rPr>
          <w:b/>
          <w:bCs/>
          <w:shd w:fill="B3B3B3" w:val="clear"/>
        </w:rPr>
        <w:t>OŚWIADCZENIE DOTYCZĄCE PODANYCH INFORMACJI:</w:t>
      </w:r>
    </w:p>
    <w:p>
      <w:pPr>
        <w:pStyle w:val="Standard"/>
        <w:spacing w:before="0" w:after="0"/>
        <w:contextualSpacing/>
        <w:jc w:val="both"/>
        <w:rPr>
          <w:rFonts w:eastAsia="Calibri"/>
          <w:color w:val="FF0000"/>
          <w:kern w:val="0"/>
          <w:lang w:eastAsia="en-US"/>
        </w:rPr>
      </w:pPr>
      <w:r>
        <w:rPr>
          <w:rFonts w:eastAsia="Calibri"/>
          <w:kern w:val="0"/>
          <w:lang w:eastAsia="en-US"/>
        </w:rPr>
        <w:t xml:space="preserve">Oświadczam, że wszystkie informacje podane w powyższych oświadczeniach są aktualne i zgodne z prawdą oraz zostały przedstawione z pełną świadomością konsekwencji wprowadzenia Zamawiającego w błąd przy przedstawianiu informacji. </w:t>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widowControl w:val="false"/>
        <w:spacing w:before="0" w:after="0"/>
        <w:contextualSpacing/>
        <w:rPr>
          <w:bCs/>
          <w:i/>
          <w:iCs/>
          <w:color w:val="EE0000"/>
          <w:sz w:val="14"/>
          <w:szCs w:val="14"/>
        </w:rPr>
      </w:pPr>
      <w:r>
        <w:rPr>
          <w:bCs/>
          <w:i/>
          <w:iCs/>
          <w:color w:val="EE0000"/>
          <w:sz w:val="14"/>
          <w:szCs w:val="14"/>
        </w:rPr>
      </w:r>
    </w:p>
    <w:p>
      <w:pPr>
        <w:pStyle w:val="Standard"/>
        <w:spacing w:before="0" w:after="0"/>
        <w:ind w:left="6480"/>
        <w:contextualSpacing/>
        <w:rPr>
          <w:b/>
          <w:bCs/>
          <w:i/>
          <w:iCs/>
        </w:rPr>
      </w:pPr>
      <w:r>
        <w:rPr>
          <w:b/>
          <w:bCs/>
          <w:i/>
          <w:iCs/>
        </w:rPr>
        <w:t xml:space="preserve">Załącznik nr 4 do SWZ </w:t>
      </w:r>
    </w:p>
    <w:p>
      <w:pPr>
        <w:pStyle w:val="Standard"/>
        <w:spacing w:before="0" w:after="0"/>
        <w:ind w:left="6480"/>
        <w:contextualSpacing/>
        <w:rPr/>
      </w:pPr>
      <w:r>
        <w:rPr/>
      </w:r>
    </w:p>
    <w:p>
      <w:pPr>
        <w:pStyle w:val="Standard"/>
        <w:spacing w:before="0" w:after="0"/>
        <w:contextualSpacing/>
        <w:rPr/>
      </w:pPr>
      <w:r>
        <w:rPr>
          <w:sz w:val="20"/>
          <w:szCs w:val="20"/>
        </w:rPr>
        <w:t>.........................................................</w:t>
      </w:r>
    </w:p>
    <w:p>
      <w:pPr>
        <w:pStyle w:val="Standard"/>
        <w:spacing w:before="0" w:after="0"/>
        <w:contextualSpacing/>
        <w:rPr/>
      </w:pPr>
      <w:r>
        <w:rPr>
          <w:sz w:val="20"/>
          <w:szCs w:val="20"/>
        </w:rPr>
        <w:t>.........................................................</w:t>
      </w:r>
    </w:p>
    <w:p>
      <w:pPr>
        <w:pStyle w:val="Standard"/>
        <w:spacing w:before="0" w:after="0"/>
        <w:contextualSpacing/>
        <w:rPr/>
      </w:pPr>
      <w:r>
        <w:rPr>
          <w:i/>
          <w:iCs/>
          <w:sz w:val="16"/>
          <w:szCs w:val="16"/>
        </w:rPr>
        <w:t>(pełna nazwa/firma, adres</w:t>
      </w:r>
    </w:p>
    <w:p>
      <w:pPr>
        <w:pStyle w:val="Standard"/>
        <w:spacing w:before="0" w:after="0"/>
        <w:contextualSpacing/>
        <w:rPr/>
      </w:pPr>
      <w:r>
        <w:rPr>
          <w:i/>
          <w:iCs/>
          <w:sz w:val="16"/>
          <w:szCs w:val="16"/>
        </w:rPr>
        <w:t>w zależności od podmiotu:</w:t>
      </w:r>
    </w:p>
    <w:p>
      <w:pPr>
        <w:pStyle w:val="Standard"/>
        <w:spacing w:before="0" w:after="0"/>
        <w:contextualSpacing/>
        <w:rPr/>
      </w:pPr>
      <w:r>
        <w:rPr>
          <w:i/>
          <w:iCs/>
          <w:sz w:val="16"/>
          <w:szCs w:val="16"/>
        </w:rPr>
        <w:t>NIP/PESEL, KRS/CEiDG)</w:t>
      </w:r>
    </w:p>
    <w:p>
      <w:pPr>
        <w:pStyle w:val="Standard"/>
        <w:spacing w:before="0" w:after="0"/>
        <w:contextualSpacing/>
        <w:rPr>
          <w:i/>
          <w:iCs/>
          <w:sz w:val="20"/>
          <w:szCs w:val="20"/>
        </w:rPr>
      </w:pPr>
      <w:r>
        <w:rPr>
          <w:i/>
          <w:iCs/>
          <w:sz w:val="20"/>
          <w:szCs w:val="20"/>
        </w:rPr>
      </w:r>
    </w:p>
    <w:p>
      <w:pPr>
        <w:pStyle w:val="Standard"/>
        <w:spacing w:before="0" w:after="0"/>
        <w:contextualSpacing/>
        <w:rPr/>
      </w:pPr>
      <w:r>
        <w:rPr>
          <w:i/>
          <w:iCs/>
          <w:sz w:val="20"/>
          <w:szCs w:val="20"/>
        </w:rPr>
        <w:t>reprezentowany przez:</w:t>
      </w:r>
    </w:p>
    <w:p>
      <w:pPr>
        <w:pStyle w:val="Standard"/>
        <w:spacing w:before="0" w:after="0"/>
        <w:contextualSpacing/>
        <w:rPr/>
      </w:pPr>
      <w:r>
        <w:rPr>
          <w:sz w:val="20"/>
          <w:szCs w:val="20"/>
        </w:rPr>
        <w:t>.........................................................</w:t>
      </w:r>
    </w:p>
    <w:p>
      <w:pPr>
        <w:pStyle w:val="Standard"/>
        <w:spacing w:before="0" w:after="0"/>
        <w:contextualSpacing/>
        <w:rPr/>
      </w:pPr>
      <w:r>
        <w:rPr>
          <w:sz w:val="20"/>
          <w:szCs w:val="20"/>
        </w:rPr>
        <w:t>.........................................................</w:t>
      </w:r>
    </w:p>
    <w:p>
      <w:pPr>
        <w:pStyle w:val="Standard"/>
        <w:spacing w:before="0" w:after="0"/>
        <w:contextualSpacing/>
        <w:rPr/>
      </w:pPr>
      <w:r>
        <w:rPr>
          <w:i/>
          <w:iCs/>
          <w:sz w:val="16"/>
          <w:szCs w:val="16"/>
        </w:rPr>
        <w:t>(imię i nazwisko, stanowisko/podstawa</w:t>
      </w:r>
    </w:p>
    <w:p>
      <w:pPr>
        <w:pStyle w:val="Standard"/>
        <w:spacing w:before="0" w:after="0"/>
        <w:contextualSpacing/>
        <w:rPr/>
      </w:pPr>
      <w:r>
        <w:rPr>
          <w:i/>
          <w:iCs/>
          <w:sz w:val="16"/>
          <w:szCs w:val="16"/>
        </w:rPr>
        <w:t>do reprezentacji)</w:t>
      </w:r>
    </w:p>
    <w:p>
      <w:pPr>
        <w:pStyle w:val="Standard"/>
        <w:spacing w:before="0" w:after="0"/>
        <w:contextualSpacing/>
        <w:rPr>
          <w:b/>
          <w:bCs/>
          <w:i/>
          <w:iCs/>
        </w:rPr>
      </w:pPr>
      <w:r>
        <w:rPr>
          <w:b/>
          <w:bCs/>
          <w:i/>
          <w:iCs/>
        </w:rPr>
      </w:r>
    </w:p>
    <w:p>
      <w:pPr>
        <w:pStyle w:val="Normalny1"/>
        <w:spacing w:lineRule="auto" w:line="240" w:before="0" w:after="0"/>
        <w:contextualSpacing/>
        <w:jc w:val="center"/>
        <w:rPr>
          <w:rFonts w:ascii="Times New Roman" w:hAnsi="Times New Roman" w:cs="Times New Roman"/>
        </w:rPr>
      </w:pPr>
      <w:r>
        <w:rPr>
          <w:rFonts w:cs="Times New Roman" w:ascii="Times New Roman" w:hAnsi="Times New Roman"/>
          <w:b/>
          <w:bCs/>
        </w:rPr>
        <w:t>OŚWIADCZENIE WYKONAWCY</w:t>
      </w:r>
    </w:p>
    <w:p>
      <w:pPr>
        <w:pStyle w:val="Standard"/>
        <w:suppressAutoHyphens w:val="false"/>
        <w:spacing w:before="0" w:after="0"/>
        <w:contextualSpacing/>
        <w:textAlignment w:val="auto"/>
        <w:rPr>
          <w:b/>
          <w:bCs/>
        </w:rPr>
      </w:pPr>
      <w:r>
        <w:rPr>
          <w:b/>
          <w:bCs/>
        </w:rPr>
      </w:r>
    </w:p>
    <w:p>
      <w:pPr>
        <w:pStyle w:val="Standard"/>
        <w:suppressAutoHyphens w:val="false"/>
        <w:spacing w:before="0" w:after="0"/>
        <w:contextualSpacing/>
        <w:jc w:val="center"/>
        <w:textAlignment w:val="auto"/>
        <w:rPr/>
      </w:pPr>
      <w:r>
        <w:rPr>
          <w:i/>
          <w:iCs/>
        </w:rPr>
        <w:t>składane na podstawie art. 125 ust. 1 ustawy z dnia 11 września 2019 r.</w:t>
      </w:r>
    </w:p>
    <w:p>
      <w:pPr>
        <w:pStyle w:val="Standard"/>
        <w:suppressAutoHyphens w:val="false"/>
        <w:spacing w:before="0" w:after="0"/>
        <w:contextualSpacing/>
        <w:jc w:val="center"/>
        <w:textAlignment w:val="auto"/>
        <w:rPr/>
      </w:pPr>
      <w:r>
        <w:rPr>
          <w:i/>
          <w:iCs/>
        </w:rPr>
        <w:t>Prawo Zamówień Publicznych, dalej „ustawa Pzp”</w:t>
      </w:r>
    </w:p>
    <w:p>
      <w:pPr>
        <w:pStyle w:val="Standard"/>
        <w:suppressAutoHyphens w:val="false"/>
        <w:spacing w:before="0" w:after="0"/>
        <w:contextualSpacing/>
        <w:jc w:val="center"/>
        <w:textAlignment w:val="auto"/>
        <w:rPr/>
      </w:pPr>
      <w:r>
        <w:rPr/>
      </w:r>
    </w:p>
    <w:p>
      <w:pPr>
        <w:pStyle w:val="Standard"/>
        <w:suppressAutoHyphens w:val="false"/>
        <w:spacing w:before="0" w:after="0"/>
        <w:contextualSpacing/>
        <w:jc w:val="center"/>
        <w:textAlignment w:val="auto"/>
        <w:rPr/>
      </w:pPr>
      <w:r>
        <w:rPr>
          <w:b/>
          <w:bCs/>
          <w:u w:val="single"/>
        </w:rPr>
        <w:t>DOTYCZĄCE SPEŁNIANIA WARUNKÓW UDZIAŁU W POSTĘPOWANIU</w:t>
      </w:r>
    </w:p>
    <w:p>
      <w:pPr>
        <w:pStyle w:val="Standard"/>
        <w:suppressAutoHyphens w:val="false"/>
        <w:spacing w:before="0" w:after="0"/>
        <w:contextualSpacing/>
        <w:jc w:val="center"/>
        <w:textAlignment w:val="auto"/>
        <w:rPr/>
      </w:pPr>
      <w:r>
        <w:rPr/>
      </w:r>
    </w:p>
    <w:p>
      <w:pPr>
        <w:pStyle w:val="Normal"/>
        <w:spacing w:before="0" w:after="0"/>
        <w:contextualSpacing/>
        <w:jc w:val="center"/>
        <w:rPr>
          <w:b/>
          <w:bCs/>
          <w:i/>
          <w:iCs/>
        </w:rPr>
      </w:pPr>
      <w:r>
        <w:rPr/>
        <w:t xml:space="preserve">składając ofertę w postępowaniu o udzielenie zamówienia publicznego na zadanie pn.: </w:t>
      </w:r>
      <w:r>
        <w:rPr>
          <w:b/>
          <w:bCs/>
          <w:i/>
          <w:iCs/>
          <w:sz w:val="28"/>
          <w:szCs w:val="28"/>
        </w:rPr>
        <w:t xml:space="preserve"> „</w:t>
      </w:r>
      <w:bookmarkStart w:id="7" w:name="_Hlk119346384_kopia_1_kopia_1"/>
      <w:r>
        <w:rPr>
          <w:b/>
          <w:bCs/>
          <w:i/>
          <w:iCs/>
          <w:sz w:val="28"/>
          <w:szCs w:val="28"/>
        </w:rPr>
        <w:t>Przebudowa, rozbudowa i kompleksowa transformacja energetyczna budynku OTUA Wojewódzkiego Szpitala Psychiatrycznego w Andrychowie - w formule zaprojektuj i wybuduj ”</w:t>
      </w:r>
      <w:bookmarkEnd w:id="7"/>
    </w:p>
    <w:p>
      <w:pPr>
        <w:pStyle w:val="Normal"/>
        <w:spacing w:before="0" w:after="0"/>
        <w:contextualSpacing/>
        <w:jc w:val="center"/>
        <w:rPr>
          <w:b/>
          <w:bCs/>
          <w:i/>
          <w:iCs/>
        </w:rPr>
      </w:pPr>
      <w:r>
        <w:rPr>
          <w:b/>
          <w:bCs/>
          <w:i/>
          <w:iCs/>
        </w:rPr>
      </w:r>
    </w:p>
    <w:p>
      <w:pPr>
        <w:pStyle w:val="Standard"/>
        <w:shd w:val="clear" w:color="auto" w:fill="B3B3B3"/>
        <w:spacing w:before="0" w:after="0"/>
        <w:contextualSpacing/>
        <w:rPr/>
      </w:pPr>
      <w:r>
        <w:rPr>
          <w:b/>
          <w:bCs/>
        </w:rPr>
        <w:t>OŚWIADCZENIA DOTYCZĄCE WYKONAWCY:</w:t>
      </w:r>
    </w:p>
    <w:p>
      <w:pPr>
        <w:pStyle w:val="Standard"/>
        <w:suppressAutoHyphens w:val="false"/>
        <w:spacing w:before="0" w:after="0"/>
        <w:contextualSpacing/>
        <w:jc w:val="both"/>
        <w:textAlignment w:val="auto"/>
        <w:rPr/>
      </w:pPr>
      <w:r>
        <w:rPr>
          <w:rFonts w:eastAsia="Calibri"/>
          <w:kern w:val="0"/>
          <w:lang w:eastAsia="en-US"/>
        </w:rPr>
        <w:t>Oświadczam, że spełniam warunki udziału w postępowaniu określone przez Zamawiającego w Specyfikacji Warunków Zamówienia.</w:t>
      </w:r>
    </w:p>
    <w:p>
      <w:pPr>
        <w:pStyle w:val="Standard"/>
        <w:spacing w:before="0" w:after="0"/>
        <w:contextualSpacing/>
        <w:rPr>
          <w:b/>
          <w:bCs/>
        </w:rPr>
      </w:pPr>
      <w:r>
        <w:rPr>
          <w:b/>
          <w:bCs/>
        </w:rPr>
      </w:r>
    </w:p>
    <w:p>
      <w:pPr>
        <w:pStyle w:val="Standard"/>
        <w:shd w:val="clear" w:color="auto" w:fill="B3B3B3"/>
        <w:spacing w:before="0" w:after="0"/>
        <w:contextualSpacing/>
        <w:rPr/>
      </w:pPr>
      <w:r>
        <w:rPr>
          <w:b/>
          <w:bCs/>
        </w:rPr>
        <w:t>INFORMACJA DOTYCZĄCA POLEGANIA NA ZASOBACH INNYCH PODMIOTÓW</w:t>
      </w:r>
    </w:p>
    <w:p>
      <w:pPr>
        <w:pStyle w:val="Standard"/>
        <w:suppressAutoHyphens w:val="false"/>
        <w:spacing w:before="0" w:after="0"/>
        <w:contextualSpacing/>
        <w:jc w:val="both"/>
        <w:textAlignment w:val="auto"/>
        <w:rPr/>
      </w:pPr>
      <w:r>
        <w:rPr>
          <w:rFonts w:eastAsia="Calibri"/>
          <w:kern w:val="0"/>
          <w:lang w:eastAsia="en-US"/>
        </w:rPr>
        <w:t>Oświadczam, że w celu wykazania spełniania warunków udziału w postępowaniu,                         określonych przez Zamawiającego w SWZ, polegam na zasobach                                                  następującego/następujących podmiotu/podmiotów udostępniającego/udostępniających                    zasoby ……………….</w:t>
      </w:r>
      <w:r>
        <w:rPr/>
        <w:t xml:space="preserve">.………………………… </w:t>
      </w:r>
      <w:r>
        <w:rPr>
          <w:rFonts w:eastAsia="Calibri"/>
          <w:kern w:val="0"/>
          <w:lang w:eastAsia="en-US"/>
        </w:rPr>
        <w:t>w następującym zakresie ………………………………………………………………………………………………….</w:t>
      </w:r>
    </w:p>
    <w:p>
      <w:pPr>
        <w:pStyle w:val="Standard"/>
        <w:suppressAutoHyphens w:val="false"/>
        <w:spacing w:before="0" w:after="0"/>
        <w:contextualSpacing/>
        <w:jc w:val="both"/>
        <w:textAlignment w:val="auto"/>
        <w:rPr>
          <w:b/>
          <w:bCs/>
        </w:rPr>
      </w:pPr>
      <w:r>
        <w:rPr>
          <w:rFonts w:eastAsia="Calibri"/>
          <w:i/>
          <w:iCs/>
          <w:kern w:val="0"/>
          <w:sz w:val="16"/>
          <w:szCs w:val="16"/>
          <w:lang w:eastAsia="en-US"/>
        </w:rPr>
        <w:tab/>
        <w:tab/>
      </w:r>
      <w:r>
        <w:rPr>
          <w:rFonts w:eastAsia="Calibri"/>
          <w:b/>
          <w:bCs/>
          <w:i/>
          <w:iCs/>
          <w:kern w:val="0"/>
          <w:sz w:val="16"/>
          <w:szCs w:val="16"/>
          <w:lang w:eastAsia="en-US"/>
        </w:rPr>
        <w:t xml:space="preserve">(wskazać podmiot i określić odpowiedni zakres dla wskazanego podmiotu). </w:t>
      </w:r>
      <w:r>
        <w:rPr>
          <w:rFonts w:eastAsia="Calibri"/>
          <w:b/>
          <w:bCs/>
          <w:i/>
          <w:iCs/>
          <w:kern w:val="0"/>
          <w:sz w:val="16"/>
          <w:szCs w:val="16"/>
          <w:u w:val="single"/>
          <w:lang w:eastAsia="en-US"/>
        </w:rPr>
        <w:t xml:space="preserve">/WYPEŁNIĆ JEŚLI DOTYCZY/ </w:t>
      </w:r>
    </w:p>
    <w:p>
      <w:pPr>
        <w:pStyle w:val="Standard"/>
        <w:suppressAutoHyphens w:val="false"/>
        <w:spacing w:before="0" w:after="0"/>
        <w:contextualSpacing/>
        <w:jc w:val="both"/>
        <w:textAlignment w:val="auto"/>
        <w:rPr>
          <w:b/>
          <w:bCs/>
        </w:rPr>
      </w:pPr>
      <w:r>
        <w:rPr>
          <w:rFonts w:eastAsia="Calibri"/>
          <w:b/>
          <w:bCs/>
          <w:i/>
          <w:iCs/>
          <w:kern w:val="0"/>
          <w:sz w:val="16"/>
          <w:szCs w:val="16"/>
          <w:u w:val="single"/>
          <w:lang w:eastAsia="en-US"/>
        </w:rPr>
        <w:t>Skreślić, jeżeli NIE DOTYCZY!!</w:t>
      </w:r>
    </w:p>
    <w:p>
      <w:pPr>
        <w:pStyle w:val="Textbody"/>
        <w:spacing w:before="0" w:after="0"/>
        <w:contextualSpacing/>
        <w:rPr/>
      </w:pPr>
      <w:r>
        <w:rPr/>
      </w:r>
    </w:p>
    <w:p>
      <w:pPr>
        <w:pStyle w:val="Standard"/>
        <w:shd w:val="clear" w:color="auto" w:fill="B3B3B3"/>
        <w:spacing w:before="0" w:after="0"/>
        <w:contextualSpacing/>
        <w:rPr/>
      </w:pPr>
      <w:r>
        <w:rPr>
          <w:b/>
          <w:bCs/>
        </w:rPr>
        <w:t>OŚWIADCZENIE DOTYCZĄCE PODANYCH INFORMACJI:</w:t>
      </w:r>
    </w:p>
    <w:p>
      <w:pPr>
        <w:pStyle w:val="Standard"/>
        <w:spacing w:before="0" w:after="0"/>
        <w:contextualSpacing/>
        <w:jc w:val="both"/>
        <w:rPr/>
      </w:pPr>
      <w:r>
        <w:rPr>
          <w:rFonts w:eastAsia="Calibri"/>
          <w:kern w:val="0"/>
          <w:lang w:eastAsia="en-US"/>
        </w:rPr>
        <w:t>Oświadczam, że wszystkie informacje podane w powyższych oświadczeniach są aktualne                  i zgodne z prawdą oraz zostały przedstawione z pełną świadomością konsekwencji wprowadzenia Zamawiającego w błąd przy przedstawianiu informacji.</w:t>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Normal"/>
        <w:spacing w:before="0" w:after="0"/>
        <w:contextualSpacing/>
        <w:rPr>
          <w:b/>
          <w:bCs/>
          <w:i/>
          <w:iCs/>
        </w:rPr>
      </w:pPr>
      <w:r>
        <w:rPr>
          <w:b/>
          <w:bCs/>
          <w:i/>
          <w:iCs/>
        </w:rPr>
      </w:r>
    </w:p>
    <w:p>
      <w:pPr>
        <w:pStyle w:val="Standard"/>
        <w:widowControl w:val="false"/>
        <w:spacing w:before="0" w:after="0"/>
        <w:contextualSpacing/>
        <w:rPr>
          <w:color w:val="EE0000"/>
        </w:rPr>
      </w:pPr>
      <w:r>
        <w:rPr>
          <w:color w:val="EE0000"/>
        </w:rPr>
      </w:r>
    </w:p>
    <w:p>
      <w:pPr>
        <w:pStyle w:val="Standard"/>
        <w:spacing w:before="0" w:after="0"/>
        <w:contextualSpacing/>
        <w:jc w:val="both"/>
        <w:rPr>
          <w:color w:val="EE0000"/>
        </w:rPr>
      </w:pPr>
      <w:r>
        <w:rPr>
          <w:color w:val="EE0000"/>
        </w:rPr>
      </w:r>
    </w:p>
    <w:p>
      <w:pPr>
        <w:pStyle w:val="Standard"/>
        <w:spacing w:before="0" w:after="0"/>
        <w:contextualSpacing/>
        <w:jc w:val="both"/>
        <w:rPr>
          <w:color w:val="EE0000"/>
        </w:rPr>
      </w:pPr>
      <w:r>
        <w:rPr>
          <w:color w:val="EE0000"/>
        </w:rPr>
      </w:r>
    </w:p>
    <w:p>
      <w:pPr>
        <w:pStyle w:val="Standard"/>
        <w:spacing w:before="0" w:after="0"/>
        <w:contextualSpacing/>
        <w:jc w:val="both"/>
        <w:rPr>
          <w:color w:val="EE0000"/>
        </w:rPr>
      </w:pPr>
      <w:r>
        <w:rPr>
          <w:color w:val="EE0000"/>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Normal"/>
        <w:spacing w:before="0" w:after="0"/>
        <w:contextualSpacing/>
        <w:jc w:val="right"/>
        <w:rPr/>
      </w:pPr>
      <w:r>
        <w:rPr>
          <w:b/>
          <w:bCs/>
          <w:i/>
          <w:iCs/>
        </w:rPr>
        <w:t xml:space="preserve">Załącznik nr 5 do SWZ </w:t>
      </w:r>
    </w:p>
    <w:p>
      <w:pPr>
        <w:pStyle w:val="Standard"/>
        <w:widowControl w:val="false"/>
        <w:spacing w:before="0" w:after="0"/>
        <w:contextualSpacing/>
        <w:rPr/>
      </w:pPr>
      <w:r>
        <w:rPr/>
      </w:r>
    </w:p>
    <w:p>
      <w:pPr>
        <w:pStyle w:val="Standard"/>
        <w:widowControl w:val="false"/>
        <w:spacing w:before="0" w:after="0"/>
        <w:contextualSpacing/>
        <w:rPr>
          <w:b/>
          <w:bCs/>
          <w:i/>
          <w:iCs/>
        </w:rPr>
      </w:pPr>
      <w:r>
        <w:rPr>
          <w:b/>
          <w:bCs/>
          <w:i/>
          <w:iCs/>
        </w:rPr>
      </w:r>
    </w:p>
    <w:p>
      <w:pPr>
        <w:pStyle w:val="Normal"/>
        <w:spacing w:before="0" w:after="0"/>
        <w:contextualSpacing/>
        <w:jc w:val="center"/>
        <w:rPr/>
      </w:pPr>
      <w:r>
        <w:rPr>
          <w:b/>
        </w:rPr>
        <w:t>PROPOZYCJA TREŚCI ZOBOWIĄZANIA PODMIOTU</w:t>
      </w:r>
    </w:p>
    <w:p>
      <w:pPr>
        <w:pStyle w:val="Normal"/>
        <w:spacing w:before="0" w:after="0"/>
        <w:contextualSpacing/>
        <w:jc w:val="center"/>
        <w:rPr>
          <w:b/>
        </w:rPr>
      </w:pPr>
      <w:r>
        <w:rPr>
          <w:b/>
        </w:rPr>
      </w:r>
    </w:p>
    <w:p>
      <w:pPr>
        <w:pStyle w:val="Normal"/>
        <w:spacing w:before="0" w:after="0"/>
        <w:contextualSpacing/>
        <w:jc w:val="center"/>
        <w:rPr>
          <w:b/>
        </w:rPr>
      </w:pPr>
      <w:r>
        <w:rPr>
          <w:b/>
        </w:rPr>
      </w:r>
    </w:p>
    <w:p>
      <w:pPr>
        <w:pStyle w:val="Zwykytekst1"/>
        <w:tabs>
          <w:tab w:val="clear" w:pos="720"/>
          <w:tab w:val="left" w:pos="9214" w:leader="none"/>
        </w:tabs>
        <w:spacing w:before="0" w:after="120"/>
        <w:ind w:right="-1"/>
        <w:contextualSpacing/>
        <w:jc w:val="center"/>
        <w:rPr>
          <w:rFonts w:ascii="Times New Roman" w:hAnsi="Times New Roman" w:cs="Times New Roman"/>
          <w:b/>
          <w:sz w:val="24"/>
          <w:szCs w:val="24"/>
        </w:rPr>
      </w:pPr>
      <w:r>
        <w:rPr>
          <w:rFonts w:cs="Times New Roman" w:ascii="Times New Roman" w:hAnsi="Times New Roman"/>
          <w:b/>
          <w:sz w:val="24"/>
          <w:szCs w:val="24"/>
        </w:rPr>
        <w:t>do oddania do dyspozycji Wykonawcy niezbędnych zasobów na potrzeby realizacji przedmiotu zamówienia pn.:</w:t>
      </w:r>
    </w:p>
    <w:p>
      <w:pPr>
        <w:pStyle w:val="Normal"/>
        <w:spacing w:before="0" w:after="0"/>
        <w:contextualSpacing/>
        <w:jc w:val="center"/>
        <w:rPr>
          <w:b/>
        </w:rPr>
      </w:pPr>
      <w:r>
        <w:rPr>
          <w:b/>
          <w:bCs/>
          <w:i/>
          <w:iCs/>
        </w:rPr>
        <w:t>„</w:t>
      </w:r>
      <w:r>
        <w:rPr>
          <w:b/>
          <w:bCs/>
          <w:i/>
          <w:iCs/>
        </w:rPr>
        <w:t>Przebudowa, rozbudowa i kompleksowa transformacja energetyczna budynku OTUA Wojewódzkiego Szpitala Psychiatrycznego w Andrychowie - w formule zaprojektuj i wybuduj ”</w:t>
      </w:r>
    </w:p>
    <w:p>
      <w:pPr>
        <w:pStyle w:val="Normal"/>
        <w:spacing w:before="0" w:after="0"/>
        <w:contextualSpacing/>
        <w:jc w:val="center"/>
        <w:rPr>
          <w:b/>
        </w:rPr>
      </w:pPr>
      <w:r>
        <w:rPr>
          <w:b/>
        </w:rPr>
      </w:r>
    </w:p>
    <w:p>
      <w:pPr>
        <w:pStyle w:val="Normal"/>
        <w:tabs>
          <w:tab w:val="clear" w:pos="720"/>
          <w:tab w:val="left" w:pos="9214" w:leader="none"/>
        </w:tabs>
        <w:spacing w:before="0" w:after="120"/>
        <w:contextualSpacing/>
        <w:jc w:val="both"/>
        <w:rPr/>
      </w:pPr>
      <w:r>
        <w:rPr>
          <w:sz w:val="22"/>
          <w:szCs w:val="22"/>
        </w:rPr>
        <w:t>Ja/My:</w:t>
      </w:r>
    </w:p>
    <w:p>
      <w:pPr>
        <w:pStyle w:val="Normal"/>
        <w:tabs>
          <w:tab w:val="clear" w:pos="720"/>
          <w:tab w:val="left" w:pos="9214" w:leader="none"/>
        </w:tabs>
        <w:spacing w:before="0" w:after="120"/>
        <w:contextualSpacing/>
        <w:jc w:val="both"/>
        <w:rPr>
          <w:sz w:val="22"/>
          <w:szCs w:val="22"/>
        </w:rPr>
      </w:pPr>
      <w:r>
        <w:rPr>
          <w:sz w:val="22"/>
          <w:szCs w:val="22"/>
        </w:rPr>
      </w:r>
    </w:p>
    <w:p>
      <w:pPr>
        <w:pStyle w:val="Normal"/>
        <w:tabs>
          <w:tab w:val="clear" w:pos="720"/>
          <w:tab w:val="left" w:pos="9214" w:leader="none"/>
        </w:tabs>
        <w:spacing w:before="0" w:after="120"/>
        <w:contextualSpacing/>
        <w:jc w:val="both"/>
        <w:rPr>
          <w:sz w:val="22"/>
          <w:szCs w:val="22"/>
        </w:rPr>
      </w:pPr>
      <w:r>
        <w:rPr>
          <w:sz w:val="22"/>
          <w:szCs w:val="22"/>
        </w:rPr>
        <w:t>……………………………………………………………………………………………………………</w:t>
      </w:r>
    </w:p>
    <w:p>
      <w:pPr>
        <w:pStyle w:val="Normal"/>
        <w:tabs>
          <w:tab w:val="clear" w:pos="720"/>
          <w:tab w:val="left" w:pos="9214" w:leader="none"/>
        </w:tabs>
        <w:spacing w:before="0" w:after="120"/>
        <w:contextualSpacing/>
        <w:jc w:val="both"/>
        <w:rPr/>
      </w:pPr>
      <w:r>
        <w:rPr>
          <w:sz w:val="22"/>
          <w:szCs w:val="22"/>
        </w:rPr>
        <w:t>……………………………………………………………………………………………………………</w:t>
      </w:r>
    </w:p>
    <w:p>
      <w:pPr>
        <w:pStyle w:val="Normal"/>
        <w:tabs>
          <w:tab w:val="clear" w:pos="720"/>
          <w:tab w:val="left" w:pos="9214" w:leader="none"/>
        </w:tabs>
        <w:spacing w:before="0" w:after="120"/>
        <w:contextualSpacing/>
        <w:jc w:val="both"/>
        <w:rPr/>
      </w:pPr>
      <w:r>
        <w:rPr/>
      </w:r>
    </w:p>
    <w:p>
      <w:pPr>
        <w:pStyle w:val="Normal"/>
        <w:tabs>
          <w:tab w:val="clear" w:pos="720"/>
          <w:tab w:val="left" w:pos="9214" w:leader="none"/>
        </w:tabs>
        <w:spacing w:before="0" w:after="120"/>
        <w:contextualSpacing/>
        <w:jc w:val="both"/>
        <w:rPr/>
      </w:pPr>
      <w:r>
        <w:rPr>
          <w:i/>
          <w:sz w:val="18"/>
          <w:szCs w:val="18"/>
        </w:rPr>
        <w:t>(imię i nazwisko osoby/-ób upoważnionej/-ch do reprezentowania Podmiotu, stanowisko (właściciel, prezes zarządu, członek zarządu, prokurent, upełnomocniony reprezentant itp.))</w:t>
      </w:r>
    </w:p>
    <w:p>
      <w:pPr>
        <w:pStyle w:val="Normal"/>
        <w:tabs>
          <w:tab w:val="clear" w:pos="720"/>
          <w:tab w:val="left" w:pos="9214" w:leader="none"/>
        </w:tabs>
        <w:spacing w:before="0" w:after="120"/>
        <w:contextualSpacing/>
        <w:jc w:val="both"/>
        <w:rPr>
          <w:sz w:val="22"/>
          <w:szCs w:val="22"/>
        </w:rPr>
      </w:pPr>
      <w:r>
        <w:rPr>
          <w:sz w:val="22"/>
          <w:szCs w:val="22"/>
        </w:rPr>
      </w:r>
    </w:p>
    <w:p>
      <w:pPr>
        <w:pStyle w:val="Normal"/>
        <w:tabs>
          <w:tab w:val="clear" w:pos="720"/>
          <w:tab w:val="left" w:pos="9214" w:leader="none"/>
        </w:tabs>
        <w:spacing w:before="0" w:after="120"/>
        <w:contextualSpacing/>
        <w:jc w:val="both"/>
        <w:rPr/>
      </w:pPr>
      <w:r>
        <w:rPr>
          <w:sz w:val="22"/>
          <w:szCs w:val="22"/>
        </w:rPr>
        <w:t>Działając w imieniu i na rzecz:</w:t>
      </w:r>
    </w:p>
    <w:p>
      <w:pPr>
        <w:pStyle w:val="Normal"/>
        <w:tabs>
          <w:tab w:val="clear" w:pos="720"/>
          <w:tab w:val="left" w:pos="9214" w:leader="none"/>
        </w:tabs>
        <w:spacing w:before="0" w:after="120"/>
        <w:contextualSpacing/>
        <w:jc w:val="both"/>
        <w:rPr>
          <w:sz w:val="22"/>
          <w:szCs w:val="22"/>
        </w:rPr>
      </w:pPr>
      <w:r>
        <w:rPr>
          <w:sz w:val="22"/>
          <w:szCs w:val="22"/>
        </w:rPr>
      </w:r>
    </w:p>
    <w:p>
      <w:pPr>
        <w:pStyle w:val="Normal"/>
        <w:tabs>
          <w:tab w:val="clear" w:pos="720"/>
          <w:tab w:val="left" w:pos="9214" w:leader="none"/>
        </w:tabs>
        <w:spacing w:before="0" w:after="120"/>
        <w:contextualSpacing/>
        <w:jc w:val="both"/>
        <w:rPr>
          <w:sz w:val="22"/>
          <w:szCs w:val="22"/>
        </w:rPr>
      </w:pPr>
      <w:r>
        <w:rPr>
          <w:sz w:val="22"/>
          <w:szCs w:val="22"/>
        </w:rPr>
        <w:t>……………………………………………………………………………………………………………</w:t>
      </w:r>
    </w:p>
    <w:p>
      <w:pPr>
        <w:pStyle w:val="Normal"/>
        <w:tabs>
          <w:tab w:val="clear" w:pos="720"/>
          <w:tab w:val="left" w:pos="9214" w:leader="none"/>
        </w:tabs>
        <w:spacing w:before="0" w:after="120"/>
        <w:contextualSpacing/>
        <w:jc w:val="both"/>
        <w:rPr/>
      </w:pPr>
      <w:r>
        <w:rPr>
          <w:sz w:val="22"/>
          <w:szCs w:val="22"/>
        </w:rPr>
        <w:t>……………………………………………………………………………………………………………</w:t>
      </w:r>
    </w:p>
    <w:p>
      <w:pPr>
        <w:pStyle w:val="Normal"/>
        <w:tabs>
          <w:tab w:val="clear" w:pos="720"/>
          <w:tab w:val="left" w:pos="9214" w:leader="none"/>
        </w:tabs>
        <w:spacing w:before="0" w:after="120"/>
        <w:contextualSpacing/>
        <w:jc w:val="both"/>
        <w:rPr/>
      </w:pPr>
      <w:r>
        <w:rPr/>
      </w:r>
    </w:p>
    <w:p>
      <w:pPr>
        <w:pStyle w:val="Normal"/>
        <w:tabs>
          <w:tab w:val="clear" w:pos="720"/>
          <w:tab w:val="left" w:pos="9214" w:leader="none"/>
        </w:tabs>
        <w:spacing w:before="0" w:after="120"/>
        <w:contextualSpacing/>
        <w:jc w:val="both"/>
        <w:rPr/>
      </w:pPr>
      <w:r>
        <w:rPr>
          <w:i/>
          <w:sz w:val="18"/>
          <w:szCs w:val="18"/>
        </w:rPr>
        <w:t>(nazwa Podmiotu)</w:t>
      </w:r>
    </w:p>
    <w:p>
      <w:pPr>
        <w:pStyle w:val="Normal"/>
        <w:tabs>
          <w:tab w:val="clear" w:pos="720"/>
          <w:tab w:val="left" w:pos="9214" w:leader="none"/>
        </w:tabs>
        <w:spacing w:before="0" w:after="120"/>
        <w:contextualSpacing/>
        <w:jc w:val="both"/>
        <w:rPr>
          <w:sz w:val="22"/>
          <w:szCs w:val="22"/>
        </w:rPr>
      </w:pPr>
      <w:r>
        <w:rPr>
          <w:sz w:val="22"/>
          <w:szCs w:val="22"/>
        </w:rPr>
      </w:r>
    </w:p>
    <w:p>
      <w:pPr>
        <w:pStyle w:val="Normal"/>
        <w:tabs>
          <w:tab w:val="clear" w:pos="720"/>
          <w:tab w:val="left" w:pos="9214" w:leader="none"/>
        </w:tabs>
        <w:spacing w:before="0" w:after="120"/>
        <w:contextualSpacing/>
        <w:jc w:val="both"/>
        <w:rPr/>
      </w:pPr>
      <w:r>
        <w:rPr>
          <w:sz w:val="22"/>
          <w:szCs w:val="22"/>
        </w:rPr>
        <w:t>Zobowiązuję się do oddania nw. zasobów:</w:t>
      </w:r>
    </w:p>
    <w:p>
      <w:pPr>
        <w:pStyle w:val="Normal"/>
        <w:tabs>
          <w:tab w:val="clear" w:pos="720"/>
          <w:tab w:val="left" w:pos="9214" w:leader="none"/>
        </w:tabs>
        <w:spacing w:before="0" w:after="120"/>
        <w:contextualSpacing/>
        <w:jc w:val="both"/>
        <w:rPr>
          <w:sz w:val="22"/>
          <w:szCs w:val="22"/>
        </w:rPr>
      </w:pPr>
      <w:r>
        <w:rPr>
          <w:sz w:val="22"/>
          <w:szCs w:val="22"/>
        </w:rPr>
      </w:r>
    </w:p>
    <w:p>
      <w:pPr>
        <w:pStyle w:val="Normal"/>
        <w:tabs>
          <w:tab w:val="clear" w:pos="720"/>
          <w:tab w:val="left" w:pos="9214" w:leader="none"/>
        </w:tabs>
        <w:spacing w:before="0" w:after="120"/>
        <w:contextualSpacing/>
        <w:jc w:val="both"/>
        <w:rPr/>
      </w:pPr>
      <w:r>
        <w:rPr>
          <w:sz w:val="22"/>
          <w:szCs w:val="22"/>
        </w:rPr>
        <w:t>…………………………………………………………………………………………………………………………………………………………………………………………………………………………</w:t>
      </w:r>
    </w:p>
    <w:p>
      <w:pPr>
        <w:pStyle w:val="Normal"/>
        <w:tabs>
          <w:tab w:val="clear" w:pos="720"/>
          <w:tab w:val="left" w:pos="9214" w:leader="none"/>
        </w:tabs>
        <w:spacing w:before="0" w:after="120"/>
        <w:contextualSpacing/>
        <w:jc w:val="both"/>
        <w:rPr/>
      </w:pPr>
      <w:r>
        <w:rPr/>
      </w:r>
    </w:p>
    <w:p>
      <w:pPr>
        <w:pStyle w:val="Normal"/>
        <w:spacing w:before="0" w:after="120"/>
        <w:contextualSpacing/>
        <w:jc w:val="both"/>
        <w:rPr/>
      </w:pPr>
      <w:r>
        <w:rPr>
          <w:i/>
          <w:sz w:val="18"/>
          <w:szCs w:val="18"/>
        </w:rPr>
        <w:t>(określenie zasobu)</w:t>
      </w:r>
    </w:p>
    <w:p>
      <w:pPr>
        <w:pStyle w:val="Normal"/>
        <w:tabs>
          <w:tab w:val="clear" w:pos="720"/>
          <w:tab w:val="left" w:pos="9214" w:leader="none"/>
        </w:tabs>
        <w:spacing w:before="0" w:after="120"/>
        <w:contextualSpacing/>
        <w:jc w:val="both"/>
        <w:rPr>
          <w:sz w:val="22"/>
          <w:szCs w:val="22"/>
        </w:rPr>
      </w:pPr>
      <w:r>
        <w:rPr>
          <w:sz w:val="22"/>
          <w:szCs w:val="22"/>
        </w:rPr>
      </w:r>
    </w:p>
    <w:p>
      <w:pPr>
        <w:pStyle w:val="Normal"/>
        <w:tabs>
          <w:tab w:val="clear" w:pos="720"/>
          <w:tab w:val="left" w:pos="9214" w:leader="none"/>
        </w:tabs>
        <w:spacing w:before="0" w:after="120"/>
        <w:contextualSpacing/>
        <w:jc w:val="both"/>
        <w:rPr/>
      </w:pPr>
      <w:r>
        <w:rPr>
          <w:sz w:val="22"/>
          <w:szCs w:val="22"/>
        </w:rPr>
        <w:t>do dyspozycji Wykonawcy:</w:t>
      </w:r>
    </w:p>
    <w:p>
      <w:pPr>
        <w:pStyle w:val="Normal"/>
        <w:tabs>
          <w:tab w:val="clear" w:pos="720"/>
          <w:tab w:val="left" w:pos="9214" w:leader="none"/>
        </w:tabs>
        <w:spacing w:before="0" w:after="120"/>
        <w:contextualSpacing/>
        <w:jc w:val="both"/>
        <w:rPr>
          <w:sz w:val="22"/>
          <w:szCs w:val="22"/>
        </w:rPr>
      </w:pPr>
      <w:r>
        <w:rPr>
          <w:sz w:val="22"/>
          <w:szCs w:val="22"/>
        </w:rPr>
      </w:r>
    </w:p>
    <w:p>
      <w:pPr>
        <w:pStyle w:val="Normal"/>
        <w:tabs>
          <w:tab w:val="clear" w:pos="720"/>
          <w:tab w:val="left" w:pos="9214" w:leader="none"/>
        </w:tabs>
        <w:spacing w:before="0" w:after="120"/>
        <w:contextualSpacing/>
        <w:jc w:val="both"/>
        <w:rPr/>
      </w:pPr>
      <w:r>
        <w:rPr>
          <w:sz w:val="22"/>
          <w:szCs w:val="22"/>
        </w:rPr>
        <w:t>…………………………………………………………………………………………………………………………………………………………………………………………………………………………</w:t>
      </w:r>
    </w:p>
    <w:p>
      <w:pPr>
        <w:pStyle w:val="Normal"/>
        <w:spacing w:before="0" w:after="120"/>
        <w:contextualSpacing/>
        <w:jc w:val="both"/>
        <w:rPr/>
      </w:pPr>
      <w:r>
        <w:rPr>
          <w:i/>
          <w:sz w:val="18"/>
          <w:szCs w:val="18"/>
        </w:rPr>
        <w:t>(nazwa Wykonawcy)</w:t>
      </w:r>
    </w:p>
    <w:p>
      <w:pPr>
        <w:pStyle w:val="Normal"/>
        <w:spacing w:before="0" w:after="120"/>
        <w:contextualSpacing/>
        <w:jc w:val="both"/>
        <w:rPr>
          <w:sz w:val="22"/>
          <w:szCs w:val="22"/>
        </w:rPr>
      </w:pPr>
      <w:r>
        <w:rPr>
          <w:sz w:val="22"/>
          <w:szCs w:val="22"/>
        </w:rPr>
      </w:r>
    </w:p>
    <w:p>
      <w:pPr>
        <w:pStyle w:val="Tekstpodstawowy1"/>
        <w:spacing w:before="0" w:after="120"/>
        <w:contextualSpacing/>
        <w:jc w:val="both"/>
        <w:rPr>
          <w:rFonts w:ascii="Times New Roman" w:hAnsi="Times New Roman"/>
          <w:color w:val="auto"/>
        </w:rPr>
      </w:pPr>
      <w:r>
        <w:rPr>
          <w:rFonts w:ascii="Times New Roman" w:hAnsi="Times New Roman"/>
          <w:color w:val="auto"/>
          <w:sz w:val="22"/>
          <w:szCs w:val="22"/>
        </w:rPr>
        <w:t>na potrzeby realizacji w/w zamówienia</w:t>
      </w:r>
    </w:p>
    <w:p>
      <w:pPr>
        <w:pStyle w:val="Normal"/>
        <w:spacing w:before="0" w:after="120"/>
        <w:contextualSpacing/>
        <w:jc w:val="both"/>
        <w:rPr/>
      </w:pPr>
      <w:r>
        <w:rPr>
          <w:sz w:val="22"/>
          <w:szCs w:val="22"/>
        </w:rPr>
        <w:t>Oświadczam/-my, iż:</w:t>
      </w:r>
    </w:p>
    <w:p>
      <w:pPr>
        <w:pStyle w:val="Normal"/>
        <w:spacing w:before="0" w:after="120"/>
        <w:contextualSpacing/>
        <w:jc w:val="both"/>
        <w:rPr>
          <w:sz w:val="22"/>
          <w:szCs w:val="22"/>
        </w:rPr>
      </w:pPr>
      <w:r>
        <w:rPr>
          <w:sz w:val="22"/>
          <w:szCs w:val="22"/>
        </w:rPr>
      </w:r>
    </w:p>
    <w:p>
      <w:pPr>
        <w:pStyle w:val="Normal"/>
        <w:numPr>
          <w:ilvl w:val="0"/>
          <w:numId w:val="4"/>
        </w:numPr>
        <w:spacing w:before="0" w:after="120"/>
        <w:contextualSpacing/>
        <w:jc w:val="both"/>
        <w:rPr/>
      </w:pPr>
      <w:r>
        <w:rPr>
          <w:sz w:val="22"/>
          <w:szCs w:val="22"/>
        </w:rPr>
        <w:t>udostępniam Wykonawcy ww. zasoby, w następującym zakresie:</w:t>
      </w:r>
    </w:p>
    <w:p>
      <w:pPr>
        <w:pStyle w:val="Normal"/>
        <w:tabs>
          <w:tab w:val="clear" w:pos="720"/>
          <w:tab w:val="left" w:pos="9214" w:leader="none"/>
        </w:tabs>
        <w:spacing w:before="0" w:after="120"/>
        <w:ind w:left="720"/>
        <w:contextualSpacing/>
        <w:jc w:val="both"/>
        <w:rPr/>
      </w:pPr>
      <w:r>
        <w:rPr>
          <w:sz w:val="22"/>
          <w:szCs w:val="22"/>
        </w:rPr>
        <w:t>…………………………………………………………………………………………………</w:t>
      </w:r>
    </w:p>
    <w:p>
      <w:pPr>
        <w:pStyle w:val="Normal"/>
        <w:tabs>
          <w:tab w:val="clear" w:pos="720"/>
          <w:tab w:val="left" w:pos="9214" w:leader="none"/>
        </w:tabs>
        <w:spacing w:before="0" w:after="120"/>
        <w:ind w:left="720"/>
        <w:contextualSpacing/>
        <w:jc w:val="both"/>
        <w:rPr/>
      </w:pPr>
      <w:r>
        <w:rPr>
          <w:sz w:val="22"/>
          <w:szCs w:val="22"/>
        </w:rPr>
        <w:t>…………………………………………………………………………………………………</w:t>
      </w:r>
    </w:p>
    <w:p>
      <w:pPr>
        <w:pStyle w:val="Normal"/>
        <w:spacing w:before="0" w:after="120"/>
        <w:ind w:left="720"/>
        <w:contextualSpacing/>
        <w:jc w:val="both"/>
        <w:rPr>
          <w:sz w:val="22"/>
          <w:szCs w:val="22"/>
        </w:rPr>
      </w:pPr>
      <w:r>
        <w:rPr>
          <w:sz w:val="22"/>
          <w:szCs w:val="22"/>
        </w:rPr>
      </w:r>
    </w:p>
    <w:p>
      <w:pPr>
        <w:pStyle w:val="Normal"/>
        <w:numPr>
          <w:ilvl w:val="0"/>
          <w:numId w:val="4"/>
        </w:numPr>
        <w:spacing w:before="0" w:after="120"/>
        <w:contextualSpacing/>
        <w:jc w:val="both"/>
        <w:rPr/>
      </w:pPr>
      <w:r>
        <w:rPr>
          <w:sz w:val="22"/>
          <w:szCs w:val="22"/>
        </w:rPr>
        <w:t>sposób i okres udostępnienia Wykonawcy i wykorzystania przez niego zasobów podmiotu udostępniającego te zasoby przy wykonywaniu zamówienia będzie następujący:</w:t>
      </w:r>
    </w:p>
    <w:p>
      <w:pPr>
        <w:pStyle w:val="Normal"/>
        <w:spacing w:before="0" w:after="120"/>
        <w:ind w:left="720"/>
        <w:contextualSpacing/>
        <w:jc w:val="both"/>
        <w:rPr/>
      </w:pPr>
      <w:r>
        <w:rPr>
          <w:sz w:val="22"/>
          <w:szCs w:val="22"/>
        </w:rPr>
        <w:t>…………………………………………………………………………………………………</w:t>
      </w:r>
    </w:p>
    <w:p>
      <w:pPr>
        <w:pStyle w:val="Normal"/>
        <w:tabs>
          <w:tab w:val="clear" w:pos="720"/>
          <w:tab w:val="left" w:pos="9214" w:leader="none"/>
        </w:tabs>
        <w:spacing w:before="0" w:after="120"/>
        <w:ind w:left="720"/>
        <w:contextualSpacing/>
        <w:jc w:val="both"/>
        <w:rPr/>
      </w:pPr>
      <w:r>
        <w:rPr>
          <w:sz w:val="22"/>
          <w:szCs w:val="22"/>
        </w:rPr>
        <w:t>…………………………………………………………………………………………………</w:t>
      </w:r>
    </w:p>
    <w:p>
      <w:pPr>
        <w:pStyle w:val="Normal"/>
        <w:spacing w:before="0" w:after="120"/>
        <w:contextualSpacing/>
        <w:jc w:val="both"/>
        <w:rPr>
          <w:i/>
          <w:color w:val="EE0000"/>
          <w:sz w:val="22"/>
          <w:szCs w:val="22"/>
        </w:rPr>
      </w:pPr>
      <w:r>
        <w:rPr>
          <w:i/>
          <w:color w:val="EE0000"/>
          <w:sz w:val="22"/>
          <w:szCs w:val="22"/>
        </w:rPr>
      </w:r>
    </w:p>
    <w:p>
      <w:pPr>
        <w:pStyle w:val="Normal"/>
        <w:numPr>
          <w:ilvl w:val="0"/>
          <w:numId w:val="4"/>
        </w:numPr>
        <w:spacing w:before="0" w:after="120"/>
        <w:contextualSpacing/>
        <w:jc w:val="both"/>
        <w:rPr/>
      </w:pPr>
      <w:r>
        <w:rPr>
          <w:sz w:val="22"/>
          <w:szCs w:val="22"/>
          <w:lang w:eastAsia="ar-SA"/>
        </w:rPr>
        <w:t>zrealizuję/nie zrealizuję* roboty budowalne/usługi, których ww. zasoby (zdolności) dotyczą,                                 w zakresie</w:t>
      </w:r>
      <w:r>
        <w:rPr>
          <w:sz w:val="22"/>
          <w:szCs w:val="22"/>
        </w:rPr>
        <w:t>:</w:t>
      </w:r>
    </w:p>
    <w:p>
      <w:pPr>
        <w:pStyle w:val="Normal"/>
        <w:tabs>
          <w:tab w:val="clear" w:pos="720"/>
          <w:tab w:val="left" w:pos="9214" w:leader="none"/>
        </w:tabs>
        <w:spacing w:before="0" w:after="120"/>
        <w:ind w:left="720"/>
        <w:contextualSpacing/>
        <w:jc w:val="both"/>
        <w:rPr/>
      </w:pPr>
      <w:r>
        <w:rPr>
          <w:sz w:val="22"/>
          <w:szCs w:val="22"/>
        </w:rPr>
        <w:t>…………………………………………………………………………………………………</w:t>
      </w:r>
    </w:p>
    <w:p>
      <w:pPr>
        <w:pStyle w:val="Normal"/>
        <w:tabs>
          <w:tab w:val="clear" w:pos="720"/>
          <w:tab w:val="left" w:pos="9214" w:leader="none"/>
        </w:tabs>
        <w:spacing w:before="0" w:after="120"/>
        <w:ind w:left="720"/>
        <w:contextualSpacing/>
        <w:jc w:val="both"/>
        <w:rPr>
          <w:sz w:val="22"/>
          <w:szCs w:val="22"/>
        </w:rPr>
      </w:pPr>
      <w:r>
        <w:rPr>
          <w:sz w:val="22"/>
          <w:szCs w:val="22"/>
        </w:rPr>
        <w:t>…………………………………………………………………………………………………</w:t>
      </w:r>
    </w:p>
    <w:p>
      <w:pPr>
        <w:pStyle w:val="Normal"/>
        <w:tabs>
          <w:tab w:val="clear" w:pos="720"/>
          <w:tab w:val="left" w:pos="9214" w:leader="none"/>
        </w:tabs>
        <w:spacing w:before="0" w:after="120"/>
        <w:ind w:left="720"/>
        <w:contextualSpacing/>
        <w:jc w:val="both"/>
        <w:rPr/>
      </w:pPr>
      <w:r>
        <w:rPr>
          <w:sz w:val="22"/>
          <w:szCs w:val="22"/>
        </w:rPr>
        <w:t>…………………………………………………………………………………………………</w:t>
      </w:r>
    </w:p>
    <w:p>
      <w:pPr>
        <w:pStyle w:val="Normal"/>
        <w:spacing w:before="0" w:after="120"/>
        <w:ind w:firstLine="1" w:left="708" w:right="-341"/>
        <w:contextualSpacing/>
        <w:jc w:val="both"/>
        <w:rPr/>
      </w:pPr>
      <w:r>
        <w:rPr>
          <w:i/>
          <w:sz w:val="18"/>
          <w:szCs w:val="18"/>
          <w:lang w:eastAsia="ar-SA"/>
        </w:rPr>
        <w:t>(pkt. c) odnosi się do warunków udziału w postępowaniu dotyczących kwalifikacji zawodowych lub doświadczenia.)</w:t>
      </w:r>
    </w:p>
    <w:p>
      <w:pPr>
        <w:pStyle w:val="Normal"/>
        <w:spacing w:before="0" w:after="120"/>
        <w:contextualSpacing/>
        <w:jc w:val="both"/>
        <w:rPr/>
      </w:pPr>
      <w:r>
        <w:rPr/>
        <w:t xml:space="preserve">      </w:t>
      </w:r>
    </w:p>
    <w:p>
      <w:pPr>
        <w:pStyle w:val="Normal"/>
        <w:spacing w:before="0" w:after="120"/>
        <w:contextualSpacing/>
        <w:jc w:val="both"/>
        <w:rPr/>
      </w:pPr>
      <w:r>
        <w:rPr/>
        <w:t xml:space="preserve">        </w:t>
      </w:r>
      <w:r>
        <w:rPr/>
        <w:t xml:space="preserve">d) okres udostępnienia i wykorzystania zasobów: </w:t>
      </w:r>
    </w:p>
    <w:p>
      <w:pPr>
        <w:pStyle w:val="Normal"/>
        <w:spacing w:before="0" w:after="0"/>
        <w:contextualSpacing/>
        <w:jc w:val="both"/>
        <w:rPr/>
      </w:pPr>
      <w:r>
        <w:rPr/>
      </w:r>
    </w:p>
    <w:p>
      <w:pPr>
        <w:pStyle w:val="Normal"/>
        <w:tabs>
          <w:tab w:val="clear" w:pos="720"/>
          <w:tab w:val="left" w:pos="9214" w:leader="none"/>
        </w:tabs>
        <w:spacing w:before="0" w:after="120"/>
        <w:ind w:left="720"/>
        <w:contextualSpacing/>
        <w:jc w:val="both"/>
        <w:rPr/>
      </w:pPr>
      <w:r>
        <w:rPr>
          <w:sz w:val="22"/>
          <w:szCs w:val="22"/>
        </w:rPr>
        <w:t>…………………………………………………………………………………………………</w:t>
      </w:r>
    </w:p>
    <w:p>
      <w:pPr>
        <w:pStyle w:val="Normal"/>
        <w:tabs>
          <w:tab w:val="clear" w:pos="720"/>
          <w:tab w:val="left" w:pos="9214" w:leader="none"/>
        </w:tabs>
        <w:spacing w:before="0" w:after="120"/>
        <w:ind w:left="720"/>
        <w:contextualSpacing/>
        <w:jc w:val="both"/>
        <w:rPr>
          <w:sz w:val="22"/>
          <w:szCs w:val="22"/>
        </w:rPr>
      </w:pPr>
      <w:r>
        <w:rPr>
          <w:sz w:val="22"/>
          <w:szCs w:val="22"/>
        </w:rPr>
        <w:t>…………………………………………………………………………………………………</w:t>
      </w:r>
    </w:p>
    <w:p>
      <w:pPr>
        <w:pStyle w:val="Normal"/>
        <w:tabs>
          <w:tab w:val="clear" w:pos="720"/>
          <w:tab w:val="left" w:pos="9214" w:leader="none"/>
        </w:tabs>
        <w:spacing w:before="0" w:after="120"/>
        <w:ind w:left="720"/>
        <w:contextualSpacing/>
        <w:jc w:val="both"/>
        <w:rPr/>
      </w:pPr>
      <w:r>
        <w:rPr>
          <w:sz w:val="22"/>
          <w:szCs w:val="22"/>
        </w:rPr>
        <w:t>…………………………………………………………………………………………………</w:t>
      </w:r>
    </w:p>
    <w:p>
      <w:pPr>
        <w:pStyle w:val="Normal"/>
        <w:spacing w:before="0" w:after="0"/>
        <w:ind w:left="3"/>
        <w:contextualSpacing/>
        <w:jc w:val="both"/>
        <w:rPr/>
      </w:pPr>
      <w:r>
        <w:rPr/>
      </w:r>
    </w:p>
    <w:p>
      <w:pPr>
        <w:pStyle w:val="Normal"/>
        <w:spacing w:before="0" w:after="120"/>
        <w:contextualSpacing/>
        <w:jc w:val="both"/>
        <w:rPr>
          <w:sz w:val="22"/>
          <w:szCs w:val="22"/>
        </w:rPr>
      </w:pPr>
      <w:r>
        <w:rPr>
          <w:sz w:val="22"/>
          <w:szCs w:val="22"/>
        </w:rPr>
      </w:r>
    </w:p>
    <w:p>
      <w:pPr>
        <w:pStyle w:val="Normal"/>
        <w:spacing w:before="0" w:after="120"/>
        <w:ind w:right="-341"/>
        <w:contextualSpacing/>
        <w:jc w:val="both"/>
        <w:rPr/>
      </w:pPr>
      <w:r>
        <w:rPr>
          <w:sz w:val="22"/>
          <w:szCs w:val="22"/>
          <w:lang w:eastAsia="ar-SA"/>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pPr>
        <w:pStyle w:val="Normal"/>
        <w:spacing w:before="0" w:after="120"/>
        <w:ind w:right="-341"/>
        <w:contextualSpacing/>
        <w:jc w:val="both"/>
        <w:rPr>
          <w:sz w:val="22"/>
          <w:szCs w:val="22"/>
          <w:lang w:eastAsia="ar-SA"/>
        </w:rPr>
      </w:pPr>
      <w:r>
        <w:rPr>
          <w:sz w:val="22"/>
          <w:szCs w:val="22"/>
          <w:lang w:eastAsia="ar-SA"/>
        </w:rPr>
      </w:r>
    </w:p>
    <w:p>
      <w:pPr>
        <w:pStyle w:val="Normal"/>
        <w:spacing w:before="0" w:after="120"/>
        <w:ind w:right="-341"/>
        <w:contextualSpacing/>
        <w:jc w:val="both"/>
        <w:rPr>
          <w:sz w:val="22"/>
          <w:szCs w:val="22"/>
          <w:lang w:eastAsia="ar-SA"/>
        </w:rPr>
      </w:pPr>
      <w:r>
        <w:rPr>
          <w:sz w:val="22"/>
          <w:szCs w:val="22"/>
          <w:lang w:eastAsia="ar-SA"/>
        </w:rPr>
      </w:r>
    </w:p>
    <w:p>
      <w:pPr>
        <w:pStyle w:val="Normal"/>
        <w:spacing w:before="0" w:after="120"/>
        <w:ind w:right="-341"/>
        <w:contextualSpacing/>
        <w:jc w:val="both"/>
        <w:rPr>
          <w:sz w:val="22"/>
          <w:szCs w:val="22"/>
          <w:lang w:eastAsia="ar-SA"/>
        </w:rPr>
      </w:pPr>
      <w:r>
        <w:rPr>
          <w:sz w:val="22"/>
          <w:szCs w:val="22"/>
          <w:lang w:eastAsia="ar-SA"/>
        </w:rPr>
      </w:r>
    </w:p>
    <w:p>
      <w:pPr>
        <w:pStyle w:val="Normal"/>
        <w:spacing w:before="0" w:after="120"/>
        <w:ind w:hanging="993" w:left="993"/>
        <w:contextualSpacing/>
        <w:jc w:val="both"/>
        <w:rPr/>
      </w:pPr>
      <w:r>
        <w:rPr>
          <w:i/>
          <w:sz w:val="16"/>
          <w:szCs w:val="16"/>
        </w:rPr>
        <w:t xml:space="preserve">UWAGA: </w:t>
      </w:r>
    </w:p>
    <w:p>
      <w:pPr>
        <w:pStyle w:val="Normal"/>
        <w:spacing w:before="0" w:after="120"/>
        <w:contextualSpacing/>
        <w:jc w:val="both"/>
        <w:rPr/>
      </w:pPr>
      <w:r>
        <w:rPr>
          <w:i/>
          <w:sz w:val="16"/>
          <w:szCs w:val="16"/>
        </w:rPr>
        <w:t>Zamiast niniejszego Formularza można przedstawić inne dokumenty, w szczególności:</w:t>
      </w:r>
    </w:p>
    <w:p>
      <w:pPr>
        <w:pStyle w:val="Normal"/>
        <w:numPr>
          <w:ilvl w:val="0"/>
          <w:numId w:val="5"/>
        </w:numPr>
        <w:spacing w:before="0" w:after="120"/>
        <w:ind w:hanging="426" w:left="426"/>
        <w:contextualSpacing/>
        <w:jc w:val="both"/>
        <w:rPr/>
      </w:pPr>
      <w:r>
        <w:rPr>
          <w:i/>
          <w:sz w:val="16"/>
          <w:szCs w:val="16"/>
        </w:rPr>
        <w:t>zobowiązanie podmiotu, o którym mowa w art. 118 ust. 4 ustawy Pzp sporządzone w oparciu o własny wzór</w:t>
      </w:r>
    </w:p>
    <w:p>
      <w:pPr>
        <w:pStyle w:val="Normal"/>
        <w:numPr>
          <w:ilvl w:val="0"/>
          <w:numId w:val="5"/>
        </w:numPr>
        <w:spacing w:before="0" w:after="120"/>
        <w:ind w:hanging="426" w:left="426"/>
        <w:contextualSpacing/>
        <w:jc w:val="both"/>
        <w:rPr/>
      </w:pPr>
      <w:r>
        <w:rPr>
          <w:i/>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pPr>
        <w:pStyle w:val="Normal"/>
        <w:numPr>
          <w:ilvl w:val="0"/>
          <w:numId w:val="6"/>
        </w:numPr>
        <w:tabs>
          <w:tab w:val="clear" w:pos="720"/>
          <w:tab w:val="left" w:pos="851" w:leader="none"/>
        </w:tabs>
        <w:spacing w:before="0" w:after="120"/>
        <w:ind w:hanging="360" w:left="851"/>
        <w:contextualSpacing/>
        <w:jc w:val="both"/>
        <w:rPr/>
      </w:pPr>
      <w:r>
        <w:rPr>
          <w:i/>
          <w:iCs/>
          <w:sz w:val="16"/>
          <w:szCs w:val="16"/>
        </w:rPr>
        <w:t>zakres dostępnych Wykonawcy zasobów podmiotu udostępniającego zasoby,</w:t>
      </w:r>
    </w:p>
    <w:p>
      <w:pPr>
        <w:pStyle w:val="Normal"/>
        <w:numPr>
          <w:ilvl w:val="0"/>
          <w:numId w:val="6"/>
        </w:numPr>
        <w:tabs>
          <w:tab w:val="clear" w:pos="720"/>
          <w:tab w:val="left" w:pos="851" w:leader="none"/>
        </w:tabs>
        <w:spacing w:before="0" w:after="120"/>
        <w:ind w:hanging="360" w:left="851"/>
        <w:contextualSpacing/>
        <w:jc w:val="both"/>
        <w:rPr/>
      </w:pPr>
      <w:r>
        <w:rPr>
          <w:i/>
          <w:iCs/>
          <w:sz w:val="16"/>
          <w:szCs w:val="16"/>
        </w:rPr>
        <w:t xml:space="preserve">sposób i okres udostępnienia Wykonawcy i wykorzystania przez niego zasobów podmiotu udostępniającego te zasoby przy wykonywaniu zamówienia, </w:t>
      </w:r>
    </w:p>
    <w:p>
      <w:pPr>
        <w:pStyle w:val="Normal"/>
        <w:numPr>
          <w:ilvl w:val="0"/>
          <w:numId w:val="6"/>
        </w:numPr>
        <w:tabs>
          <w:tab w:val="clear" w:pos="720"/>
          <w:tab w:val="left" w:pos="851" w:leader="none"/>
        </w:tabs>
        <w:spacing w:before="0" w:after="120"/>
        <w:ind w:hanging="360" w:left="851"/>
        <w:contextualSpacing/>
        <w:jc w:val="both"/>
        <w:rPr/>
      </w:pPr>
      <w:r>
        <w:rPr>
          <w:i/>
          <w:sz w:val="16"/>
          <w:szCs w:val="16"/>
          <w:lang w:eastAsia="en-US"/>
        </w:rPr>
        <w:t>czy i w jakim zakresie podmiot udostepniający zasoby, na zdolnościach którego Wykonawca polega w odniesieniu do warunków udziału w postępowaniu dotyczących wykształcenia, kwalifikacji zawodowych lub doświadczenia, zrealizuje roboty budowalne* lub usługi*, których wskazane zdolności dotyczą.</w:t>
      </w:r>
    </w:p>
    <w:p>
      <w:pPr>
        <w:pStyle w:val="Normal"/>
        <w:tabs>
          <w:tab w:val="clear" w:pos="720"/>
          <w:tab w:val="left" w:pos="851" w:leader="none"/>
        </w:tabs>
        <w:spacing w:before="0" w:after="120"/>
        <w:contextualSpacing/>
        <w:jc w:val="both"/>
        <w:rPr>
          <w:i/>
          <w:color w:val="EE0000"/>
          <w:sz w:val="16"/>
          <w:szCs w:val="16"/>
          <w:lang w:eastAsia="en-US"/>
        </w:rPr>
      </w:pPr>
      <w:r>
        <w:rPr>
          <w:i/>
          <w:color w:val="EE0000"/>
          <w:sz w:val="16"/>
          <w:szCs w:val="16"/>
          <w:lang w:eastAsia="en-US"/>
        </w:rPr>
      </w:r>
    </w:p>
    <w:p>
      <w:pPr>
        <w:pStyle w:val="Normal"/>
        <w:tabs>
          <w:tab w:val="clear" w:pos="720"/>
          <w:tab w:val="left" w:pos="851" w:leader="none"/>
        </w:tabs>
        <w:spacing w:before="0" w:after="120"/>
        <w:contextualSpacing/>
        <w:jc w:val="both"/>
        <w:rPr>
          <w:i/>
          <w:iCs/>
          <w:color w:val="EE0000"/>
          <w:sz w:val="16"/>
          <w:szCs w:val="16"/>
        </w:rPr>
      </w:pPr>
      <w:r>
        <w:rPr>
          <w:i/>
          <w:iCs/>
          <w:color w:val="EE0000"/>
          <w:sz w:val="16"/>
          <w:szCs w:val="16"/>
        </w:rPr>
      </w:r>
    </w:p>
    <w:p>
      <w:pPr>
        <w:pStyle w:val="Normal"/>
        <w:tabs>
          <w:tab w:val="clear" w:pos="720"/>
          <w:tab w:val="left" w:pos="851" w:leader="none"/>
        </w:tabs>
        <w:spacing w:before="0" w:after="120"/>
        <w:contextualSpacing/>
        <w:jc w:val="both"/>
        <w:rPr>
          <w:i/>
          <w:iCs/>
          <w:color w:val="EE0000"/>
          <w:sz w:val="16"/>
          <w:szCs w:val="16"/>
        </w:rPr>
      </w:pPr>
      <w:r>
        <w:rPr>
          <w:i/>
          <w:iCs/>
          <w:color w:val="EE0000"/>
          <w:sz w:val="16"/>
          <w:szCs w:val="16"/>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widowControl w:val="false"/>
        <w:spacing w:before="0" w:after="0"/>
        <w:ind w:hanging="0" w:left="0"/>
        <w:contextualSpacing/>
        <w:rPr>
          <w:b/>
          <w:bCs/>
          <w:i/>
          <w:iCs/>
        </w:rPr>
      </w:pPr>
      <w:r>
        <w:rPr>
          <w:b/>
          <w:bCs/>
          <w:i/>
          <w:iCs/>
        </w:rPr>
        <w:tab/>
        <w:tab/>
        <w:tab/>
        <w:tab/>
        <w:tab/>
        <w:tab/>
        <w:tab/>
        <w:tab/>
        <w:tab/>
        <w:t xml:space="preserve">Załącznik nr 6 do SWZ </w:t>
      </w:r>
    </w:p>
    <w:p>
      <w:pPr>
        <w:pStyle w:val="Standard"/>
        <w:widowControl w:val="false"/>
        <w:spacing w:before="0" w:after="0"/>
        <w:ind w:firstLine="99" w:left="7101"/>
        <w:contextualSpacing/>
        <w:rPr/>
      </w:pPr>
      <w:r>
        <w:rPr/>
      </w:r>
    </w:p>
    <w:p>
      <w:pPr>
        <w:pStyle w:val="Standard"/>
        <w:widowControl w:val="false"/>
        <w:spacing w:before="0" w:after="0"/>
        <w:contextualSpacing/>
        <w:rPr>
          <w:b/>
          <w:bCs/>
          <w:i/>
          <w:iCs/>
        </w:rPr>
      </w:pPr>
      <w:r>
        <w:rPr>
          <w:b/>
          <w:bCs/>
          <w:i/>
          <w:iCs/>
        </w:rPr>
      </w:r>
    </w:p>
    <w:p>
      <w:pPr>
        <w:pStyle w:val="Normal"/>
        <w:spacing w:before="0" w:after="0"/>
        <w:ind w:right="-177"/>
        <w:contextualSpacing/>
        <w:jc w:val="center"/>
        <w:rPr>
          <w:b/>
        </w:rPr>
      </w:pPr>
      <w:r>
        <w:rPr>
          <w:b/>
        </w:rPr>
        <w:t>OŚWIADCZENIE</w:t>
      </w:r>
    </w:p>
    <w:p>
      <w:pPr>
        <w:pStyle w:val="Normal"/>
        <w:spacing w:before="0" w:after="0"/>
        <w:ind w:right="-177"/>
        <w:contextualSpacing/>
        <w:jc w:val="center"/>
        <w:rPr/>
      </w:pPr>
      <w:r>
        <w:rPr/>
      </w:r>
    </w:p>
    <w:p>
      <w:pPr>
        <w:pStyle w:val="Standard"/>
        <w:spacing w:before="120" w:after="120"/>
        <w:contextualSpacing/>
        <w:jc w:val="center"/>
        <w:rPr/>
      </w:pPr>
      <w:r>
        <w:rPr/>
        <w:t>Wykonawców wspólnie ubiegających się o udzielenie zamówienia w zakresie, o którym mowa   w art. 117 ust. 4 ustawy Pzp</w:t>
      </w:r>
    </w:p>
    <w:p>
      <w:pPr>
        <w:pStyle w:val="Zwykytekst1"/>
        <w:tabs>
          <w:tab w:val="clear" w:pos="720"/>
          <w:tab w:val="left" w:pos="9360" w:leader="dot"/>
        </w:tabs>
        <w:spacing w:before="0" w:after="0"/>
        <w:ind w:right="-1"/>
        <w:contextualSpacing/>
        <w:jc w:val="both"/>
        <w:rPr>
          <w:rFonts w:ascii="Times New Roman" w:hAnsi="Times New Roman" w:cs="Times New Roman"/>
          <w:b/>
        </w:rPr>
      </w:pPr>
      <w:r>
        <w:rPr>
          <w:rFonts w:cs="Times New Roman" w:ascii="Times New Roman" w:hAnsi="Times New Roman"/>
          <w:b/>
        </w:rPr>
      </w:r>
    </w:p>
    <w:p>
      <w:pPr>
        <w:pStyle w:val="Zwykytekst1"/>
        <w:tabs>
          <w:tab w:val="clear" w:pos="720"/>
          <w:tab w:val="left" w:pos="9360" w:leader="dot"/>
        </w:tabs>
        <w:spacing w:before="0" w:after="0"/>
        <w:ind w:right="-1"/>
        <w:contextualSpacing/>
        <w:jc w:val="both"/>
        <w:rPr>
          <w:rFonts w:ascii="Times New Roman" w:hAnsi="Times New Roman" w:cs="Times New Roman"/>
          <w:b/>
        </w:rPr>
      </w:pPr>
      <w:r>
        <w:rPr>
          <w:rFonts w:cs="Times New Roman" w:ascii="Times New Roman" w:hAnsi="Times New Roman"/>
          <w:b/>
        </w:rPr>
      </w:r>
    </w:p>
    <w:p>
      <w:pPr>
        <w:pStyle w:val="Zwykytekst1"/>
        <w:spacing w:before="0" w:after="120"/>
        <w:contextualSpacing/>
        <w:jc w:val="center"/>
        <w:rPr>
          <w:rFonts w:ascii="Times New Roman" w:hAnsi="Times New Roman" w:cs="Times New Roman"/>
          <w:sz w:val="24"/>
          <w:szCs w:val="24"/>
        </w:rPr>
      </w:pPr>
      <w:r>
        <w:rPr>
          <w:rFonts w:cs="Times New Roman" w:ascii="Times New Roman" w:hAnsi="Times New Roman"/>
          <w:b/>
          <w:sz w:val="24"/>
          <w:szCs w:val="24"/>
        </w:rPr>
        <w:t>W związku z prowadzonym postępowaniem o udzielenie zamówienia publicznego na</w:t>
      </w:r>
      <w:r>
        <w:rPr>
          <w:rFonts w:cs="Times New Roman" w:ascii="Times New Roman" w:hAnsi="Times New Roman"/>
          <w:sz w:val="24"/>
          <w:szCs w:val="24"/>
        </w:rPr>
        <w:t>:</w:t>
      </w:r>
    </w:p>
    <w:p>
      <w:pPr>
        <w:pStyle w:val="Standard"/>
        <w:widowControl w:val="false"/>
        <w:spacing w:before="0" w:after="0"/>
        <w:contextualSpacing/>
        <w:jc w:val="center"/>
        <w:rPr>
          <w:lang w:eastAsia="pl-PL"/>
        </w:rPr>
      </w:pPr>
      <w:r>
        <w:rPr>
          <w:b/>
          <w:bCs/>
          <w:i/>
          <w:iCs/>
          <w:lang w:eastAsia="pl-PL"/>
        </w:rPr>
        <w:t>„</w:t>
      </w:r>
      <w:r>
        <w:rPr>
          <w:b/>
          <w:bCs/>
          <w:i/>
          <w:iCs/>
          <w:lang w:eastAsia="pl-PL"/>
        </w:rPr>
        <w:t>Przebudowa, rozbudowa i kompleksowa transformacja energetyczna budynku OTUA Wojewódzkiego Szpitala Psychiatrycznego w Andrychowie - w formule zaprojektuj i wybuduj ”</w:t>
      </w:r>
    </w:p>
    <w:p>
      <w:pPr>
        <w:pStyle w:val="Zwykytekst1"/>
        <w:tabs>
          <w:tab w:val="clear" w:pos="720"/>
          <w:tab w:val="left" w:pos="9214" w:leader="none"/>
        </w:tabs>
        <w:spacing w:before="0" w:after="120"/>
        <w:ind w:right="-1"/>
        <w:contextualSpacing/>
        <w:jc w:val="both"/>
        <w:rPr>
          <w:rFonts w:ascii="Times New Roman" w:hAnsi="Times New Roman" w:cs="Times New Roman"/>
          <w:b/>
          <w:sz w:val="22"/>
          <w:szCs w:val="22"/>
        </w:rPr>
      </w:pPr>
      <w:r>
        <w:rPr>
          <w:rFonts w:cs="Times New Roman" w:ascii="Times New Roman" w:hAnsi="Times New Roman"/>
          <w:b/>
          <w:sz w:val="22"/>
          <w:szCs w:val="22"/>
        </w:rPr>
      </w:r>
    </w:p>
    <w:p>
      <w:pPr>
        <w:pStyle w:val="Zwykytekst1"/>
        <w:tabs>
          <w:tab w:val="clear" w:pos="720"/>
          <w:tab w:val="left" w:pos="9214" w:leader="none"/>
        </w:tabs>
        <w:spacing w:before="0" w:after="120"/>
        <w:ind w:right="-1"/>
        <w:contextualSpacing/>
        <w:jc w:val="both"/>
        <w:rPr>
          <w:rFonts w:ascii="Times New Roman" w:hAnsi="Times New Roman" w:cs="Times New Roman"/>
          <w:b/>
          <w:sz w:val="22"/>
          <w:szCs w:val="22"/>
        </w:rPr>
      </w:pPr>
      <w:r>
        <w:rPr>
          <w:rFonts w:cs="Times New Roman" w:ascii="Times New Roman" w:hAnsi="Times New Roman"/>
          <w:b/>
          <w:sz w:val="22"/>
          <w:szCs w:val="22"/>
        </w:rPr>
      </w:r>
    </w:p>
    <w:p>
      <w:pPr>
        <w:pStyle w:val="Zwykytekst1"/>
        <w:tabs>
          <w:tab w:val="clear" w:pos="720"/>
          <w:tab w:val="left" w:pos="9214" w:leader="none"/>
        </w:tabs>
        <w:spacing w:before="0" w:after="120"/>
        <w:ind w:right="-1"/>
        <w:contextualSpacing/>
        <w:jc w:val="both"/>
        <w:rPr>
          <w:rFonts w:ascii="Times New Roman" w:hAnsi="Times New Roman" w:cs="Times New Roman"/>
        </w:rPr>
      </w:pPr>
      <w:r>
        <w:rPr>
          <w:rFonts w:cs="Times New Roman" w:ascii="Times New Roman" w:hAnsi="Times New Roman"/>
          <w:b/>
          <w:sz w:val="22"/>
          <w:szCs w:val="22"/>
        </w:rPr>
        <w:t>JA/MY</w:t>
      </w:r>
      <w:r>
        <w:rPr>
          <w:rFonts w:cs="Times New Roman" w:ascii="Times New Roman" w:hAnsi="Times New Roman"/>
          <w:sz w:val="22"/>
          <w:szCs w:val="22"/>
        </w:rPr>
        <w:t>:</w:t>
      </w:r>
    </w:p>
    <w:p>
      <w:pPr>
        <w:pStyle w:val="Normal"/>
        <w:tabs>
          <w:tab w:val="clear" w:pos="720"/>
          <w:tab w:val="left" w:pos="9214" w:leader="none"/>
        </w:tabs>
        <w:spacing w:before="0" w:after="120"/>
        <w:contextualSpacing/>
        <w:jc w:val="both"/>
        <w:rPr/>
      </w:pPr>
      <w:r>
        <w:rPr>
          <w:sz w:val="22"/>
          <w:szCs w:val="22"/>
        </w:rPr>
        <w:t>………………………………………………………………………………………………………………………………………………</w:t>
      </w:r>
      <w:r>
        <w:rPr>
          <w:sz w:val="22"/>
          <w:szCs w:val="22"/>
        </w:rPr>
        <w:t>..………………………………………………………………………</w:t>
      </w:r>
    </w:p>
    <w:p>
      <w:pPr>
        <w:pStyle w:val="Zwykytekst1"/>
        <w:tabs>
          <w:tab w:val="clear" w:pos="720"/>
          <w:tab w:val="left" w:pos="9214" w:leader="none"/>
        </w:tabs>
        <w:spacing w:before="0" w:after="120"/>
        <w:ind w:right="141"/>
        <w:contextualSpacing/>
        <w:jc w:val="center"/>
        <w:rPr>
          <w:rFonts w:ascii="Times New Roman" w:hAnsi="Times New Roman" w:cs="Times New Roman"/>
        </w:rPr>
      </w:pPr>
      <w:r>
        <w:rPr>
          <w:rFonts w:cs="Times New Roman" w:ascii="Times New Roman" w:hAnsi="Times New Roman"/>
          <w:i/>
          <w:sz w:val="18"/>
          <w:szCs w:val="18"/>
        </w:rPr>
        <w:t>(imię i nazwisko osoby/osób upoważnionej/-ych do reprezentowania Wykonawców wspólnie ubiegających się o udzielenie zamówienia)</w:t>
      </w:r>
    </w:p>
    <w:p>
      <w:pPr>
        <w:pStyle w:val="Normal"/>
        <w:spacing w:before="0" w:after="120"/>
        <w:ind w:right="284"/>
        <w:contextualSpacing/>
        <w:jc w:val="both"/>
        <w:rPr>
          <w:sz w:val="22"/>
          <w:szCs w:val="22"/>
        </w:rPr>
      </w:pPr>
      <w:r>
        <w:rPr>
          <w:sz w:val="22"/>
          <w:szCs w:val="22"/>
        </w:rPr>
      </w:r>
    </w:p>
    <w:p>
      <w:pPr>
        <w:pStyle w:val="Normal"/>
        <w:spacing w:before="0" w:after="120"/>
        <w:contextualSpacing/>
        <w:jc w:val="both"/>
        <w:rPr/>
      </w:pPr>
      <w:r>
        <w:rPr>
          <w:b/>
          <w:bCs/>
          <w:sz w:val="22"/>
          <w:szCs w:val="22"/>
        </w:rPr>
        <w:t>w imieniu Wykonawcy:</w:t>
      </w:r>
    </w:p>
    <w:p>
      <w:pPr>
        <w:pStyle w:val="Normal"/>
        <w:tabs>
          <w:tab w:val="clear" w:pos="720"/>
          <w:tab w:val="left" w:pos="9214" w:leader="none"/>
        </w:tabs>
        <w:spacing w:before="0" w:after="120"/>
        <w:contextualSpacing/>
        <w:jc w:val="both"/>
        <w:rPr/>
      </w:pPr>
      <w:r>
        <w:rPr>
          <w:sz w:val="22"/>
          <w:szCs w:val="22"/>
        </w:rPr>
        <w:t>…………………………………………………………………………………………………………………………………………………………………………………………………………………………</w:t>
      </w:r>
    </w:p>
    <w:p>
      <w:pPr>
        <w:pStyle w:val="Normal"/>
        <w:spacing w:before="0" w:after="120"/>
        <w:contextualSpacing/>
        <w:jc w:val="center"/>
        <w:rPr/>
      </w:pPr>
      <w:r>
        <w:rPr>
          <w:bCs/>
          <w:i/>
          <w:sz w:val="18"/>
          <w:szCs w:val="18"/>
        </w:rPr>
        <w:t>(wpisać nazwy (firmy) Wykonawców wspólnie ubiegających się o udzielenie zamówienia)</w:t>
      </w:r>
    </w:p>
    <w:p>
      <w:pPr>
        <w:pStyle w:val="Normal"/>
        <w:spacing w:before="0" w:after="120"/>
        <w:contextualSpacing/>
        <w:jc w:val="center"/>
        <w:rPr>
          <w:bCs/>
          <w:i/>
          <w:sz w:val="22"/>
          <w:szCs w:val="22"/>
        </w:rPr>
      </w:pPr>
      <w:r>
        <w:rPr>
          <w:bCs/>
          <w:i/>
          <w:sz w:val="22"/>
          <w:szCs w:val="22"/>
        </w:rPr>
      </w:r>
    </w:p>
    <w:p>
      <w:pPr>
        <w:pStyle w:val="Normal"/>
        <w:spacing w:before="0" w:after="120"/>
        <w:contextualSpacing/>
        <w:jc w:val="center"/>
        <w:rPr>
          <w:bCs/>
          <w:i/>
          <w:sz w:val="22"/>
          <w:szCs w:val="22"/>
        </w:rPr>
      </w:pPr>
      <w:r>
        <w:rPr>
          <w:bCs/>
          <w:i/>
          <w:sz w:val="22"/>
          <w:szCs w:val="22"/>
        </w:rPr>
      </w:r>
    </w:p>
    <w:p>
      <w:pPr>
        <w:pStyle w:val="Normal"/>
        <w:spacing w:before="0" w:after="120"/>
        <w:contextualSpacing/>
        <w:jc w:val="both"/>
        <w:rPr/>
      </w:pPr>
      <w:r>
        <w:rPr>
          <w:b/>
          <w:sz w:val="22"/>
          <w:szCs w:val="22"/>
        </w:rPr>
        <w:t>OŚWIADCZAM/-MY</w:t>
      </w:r>
      <w:r>
        <w:rPr>
          <w:sz w:val="22"/>
          <w:szCs w:val="22"/>
        </w:rPr>
        <w:t>, iż następujące roboty budowlane/usługi/dostawy* wykonają poszczególni Wykonawcy wspólnie ubiegający się o udzielenie zamówienia:</w:t>
      </w:r>
    </w:p>
    <w:p>
      <w:pPr>
        <w:pStyle w:val="Normal"/>
        <w:spacing w:before="0" w:after="120"/>
        <w:contextualSpacing/>
        <w:jc w:val="both"/>
        <w:rPr>
          <w:sz w:val="22"/>
          <w:szCs w:val="22"/>
        </w:rPr>
      </w:pPr>
      <w:r>
        <w:rPr>
          <w:sz w:val="22"/>
          <w:szCs w:val="22"/>
        </w:rPr>
      </w:r>
    </w:p>
    <w:p>
      <w:pPr>
        <w:pStyle w:val="Normal"/>
        <w:spacing w:before="0" w:after="120"/>
        <w:ind w:right="-2"/>
        <w:contextualSpacing/>
        <w:jc w:val="both"/>
        <w:rPr>
          <w:sz w:val="22"/>
          <w:szCs w:val="22"/>
        </w:rPr>
      </w:pPr>
      <w:r>
        <w:rPr>
          <w:sz w:val="22"/>
          <w:szCs w:val="22"/>
        </w:rPr>
        <w:t>Wykonawca (nazwa):……………………………………………………</w:t>
      </w:r>
    </w:p>
    <w:p>
      <w:pPr>
        <w:pStyle w:val="Normal"/>
        <w:spacing w:before="0" w:after="120"/>
        <w:ind w:right="-2"/>
        <w:contextualSpacing/>
        <w:jc w:val="both"/>
        <w:rPr/>
      </w:pPr>
      <w:r>
        <w:rPr>
          <w:sz w:val="22"/>
          <w:szCs w:val="22"/>
        </w:rPr>
        <w:t>wykona: …………………………………………………………………**</w:t>
      </w:r>
    </w:p>
    <w:p>
      <w:pPr>
        <w:pStyle w:val="Normal"/>
        <w:spacing w:before="0" w:after="120"/>
        <w:ind w:right="-2"/>
        <w:contextualSpacing/>
        <w:jc w:val="both"/>
        <w:rPr>
          <w:sz w:val="22"/>
          <w:szCs w:val="22"/>
        </w:rPr>
      </w:pPr>
      <w:r>
        <w:rPr>
          <w:sz w:val="22"/>
          <w:szCs w:val="22"/>
        </w:rPr>
      </w:r>
    </w:p>
    <w:p>
      <w:pPr>
        <w:pStyle w:val="Normal"/>
        <w:spacing w:before="0" w:after="120"/>
        <w:ind w:right="-2"/>
        <w:contextualSpacing/>
        <w:jc w:val="both"/>
        <w:rPr>
          <w:sz w:val="22"/>
          <w:szCs w:val="22"/>
        </w:rPr>
      </w:pPr>
      <w:r>
        <w:rPr>
          <w:sz w:val="22"/>
          <w:szCs w:val="22"/>
        </w:rPr>
        <w:t>Wykonawca (nazwa):……………………………………………………</w:t>
      </w:r>
    </w:p>
    <w:p>
      <w:pPr>
        <w:pStyle w:val="Normal"/>
        <w:spacing w:before="0" w:after="120"/>
        <w:ind w:right="-2"/>
        <w:contextualSpacing/>
        <w:jc w:val="both"/>
        <w:rPr/>
      </w:pPr>
      <w:r>
        <w:rPr>
          <w:sz w:val="22"/>
          <w:szCs w:val="22"/>
        </w:rPr>
        <w:t>wykona: …………………………………………………………………**</w:t>
      </w:r>
    </w:p>
    <w:p>
      <w:pPr>
        <w:pStyle w:val="Normal"/>
        <w:spacing w:before="0" w:after="120"/>
        <w:ind w:right="-2"/>
        <w:contextualSpacing/>
        <w:jc w:val="both"/>
        <w:rPr>
          <w:sz w:val="22"/>
          <w:szCs w:val="22"/>
        </w:rPr>
      </w:pPr>
      <w:r>
        <w:rPr>
          <w:sz w:val="22"/>
          <w:szCs w:val="22"/>
        </w:rPr>
      </w:r>
    </w:p>
    <w:p>
      <w:pPr>
        <w:pStyle w:val="Normal"/>
        <w:spacing w:before="0" w:after="120"/>
        <w:contextualSpacing/>
        <w:jc w:val="both"/>
        <w:rPr>
          <w:spacing w:val="4"/>
          <w:sz w:val="22"/>
          <w:szCs w:val="22"/>
        </w:rPr>
      </w:pPr>
      <w:r>
        <w:rPr>
          <w:spacing w:val="4"/>
          <w:sz w:val="22"/>
          <w:szCs w:val="22"/>
        </w:rPr>
      </w:r>
    </w:p>
    <w:p>
      <w:pPr>
        <w:pStyle w:val="Normal"/>
        <w:spacing w:before="0" w:after="120"/>
        <w:contextualSpacing/>
        <w:jc w:val="both"/>
        <w:rPr>
          <w:spacing w:val="4"/>
          <w:sz w:val="22"/>
          <w:szCs w:val="22"/>
        </w:rPr>
      </w:pPr>
      <w:r>
        <w:rPr>
          <w:spacing w:val="4"/>
          <w:sz w:val="22"/>
          <w:szCs w:val="22"/>
        </w:rPr>
      </w:r>
    </w:p>
    <w:p>
      <w:pPr>
        <w:pStyle w:val="Normal"/>
        <w:spacing w:before="0" w:after="120"/>
        <w:contextualSpacing/>
        <w:jc w:val="both"/>
        <w:rPr>
          <w:spacing w:val="4"/>
          <w:sz w:val="22"/>
          <w:szCs w:val="22"/>
        </w:rPr>
      </w:pPr>
      <w:r>
        <w:rPr>
          <w:spacing w:val="4"/>
          <w:sz w:val="22"/>
          <w:szCs w:val="22"/>
        </w:rPr>
      </w:r>
    </w:p>
    <w:p>
      <w:pPr>
        <w:pStyle w:val="Normal"/>
        <w:spacing w:before="0" w:after="120"/>
        <w:contextualSpacing/>
        <w:jc w:val="both"/>
        <w:rPr/>
      </w:pPr>
      <w:r>
        <w:rPr>
          <w:i/>
          <w:iCs/>
          <w:spacing w:val="4"/>
          <w:sz w:val="16"/>
          <w:szCs w:val="16"/>
        </w:rPr>
        <w:t xml:space="preserve">* dostosować odpowiednio </w:t>
      </w:r>
    </w:p>
    <w:p>
      <w:pPr>
        <w:pStyle w:val="Normal"/>
        <w:spacing w:before="0" w:after="120"/>
        <w:contextualSpacing/>
        <w:jc w:val="both"/>
        <w:rPr/>
      </w:pPr>
      <w:r>
        <w:rPr>
          <w:i/>
          <w:iCs/>
          <w:spacing w:val="4"/>
          <w:sz w:val="16"/>
          <w:szCs w:val="16"/>
        </w:rPr>
        <w:t>** należy dostosować do ilości Wykonawców w konsorcjum</w:t>
      </w:r>
    </w:p>
    <w:p>
      <w:pPr>
        <w:pStyle w:val="Normal"/>
        <w:spacing w:before="0" w:after="120"/>
        <w:contextualSpacing/>
        <w:jc w:val="both"/>
        <w:rPr>
          <w:i/>
          <w:iCs/>
          <w:spacing w:val="4"/>
          <w:sz w:val="16"/>
          <w:szCs w:val="16"/>
        </w:rPr>
      </w:pPr>
      <w:r>
        <w:rPr>
          <w:i/>
          <w:iCs/>
          <w:spacing w:val="4"/>
          <w:sz w:val="16"/>
          <w:szCs w:val="16"/>
        </w:rPr>
      </w:r>
    </w:p>
    <w:p>
      <w:pPr>
        <w:pStyle w:val="Normal"/>
        <w:tabs>
          <w:tab w:val="left" w:pos="720" w:leader="none"/>
          <w:tab w:val="left" w:pos="864" w:leader="none"/>
          <w:tab w:val="left" w:pos="1008" w:leader="none"/>
          <w:tab w:val="left" w:pos="1872" w:leader="none"/>
          <w:tab w:val="left" w:pos="2016" w:leader="none"/>
          <w:tab w:val="left" w:pos="2160" w:leader="none"/>
          <w:tab w:val="left" w:pos="2880" w:leader="none"/>
          <w:tab w:val="left" w:pos="3168" w:leader="none"/>
          <w:tab w:val="left" w:pos="3456" w:leader="none"/>
          <w:tab w:val="left" w:pos="3600" w:leader="none"/>
          <w:tab w:val="left" w:pos="6048" w:leader="none"/>
        </w:tabs>
        <w:spacing w:before="0" w:after="0"/>
        <w:contextualSpacing/>
        <w:jc w:val="both"/>
        <w:rPr>
          <w:color w:val="FF0000"/>
        </w:rPr>
      </w:pPr>
      <w:r>
        <w:rPr>
          <w:color w:val="FF0000"/>
        </w:rPr>
      </w:r>
    </w:p>
    <w:p>
      <w:pPr>
        <w:pStyle w:val="Normal"/>
        <w:tabs>
          <w:tab w:val="left" w:pos="720" w:leader="none"/>
          <w:tab w:val="left" w:pos="864" w:leader="none"/>
          <w:tab w:val="left" w:pos="1008" w:leader="none"/>
          <w:tab w:val="left" w:pos="1872" w:leader="none"/>
          <w:tab w:val="left" w:pos="2016" w:leader="none"/>
          <w:tab w:val="left" w:pos="2160" w:leader="none"/>
          <w:tab w:val="left" w:pos="2880" w:leader="none"/>
          <w:tab w:val="left" w:pos="3168" w:leader="none"/>
          <w:tab w:val="left" w:pos="3456" w:leader="none"/>
          <w:tab w:val="left" w:pos="3600" w:leader="none"/>
          <w:tab w:val="left" w:pos="6048" w:leader="none"/>
        </w:tabs>
        <w:spacing w:before="0" w:after="0"/>
        <w:contextualSpacing/>
        <w:jc w:val="both"/>
        <w:rPr>
          <w:color w:val="FF0000"/>
        </w:rPr>
      </w:pPr>
      <w:r>
        <w:rPr>
          <w:color w:val="FF0000"/>
        </w:rPr>
      </w:r>
    </w:p>
    <w:p>
      <w:pPr>
        <w:pStyle w:val="Normal"/>
        <w:tabs>
          <w:tab w:val="left" w:pos="720" w:leader="none"/>
          <w:tab w:val="left" w:pos="864" w:leader="none"/>
          <w:tab w:val="left" w:pos="1008" w:leader="none"/>
          <w:tab w:val="left" w:pos="1872" w:leader="none"/>
          <w:tab w:val="left" w:pos="2016" w:leader="none"/>
          <w:tab w:val="left" w:pos="2160" w:leader="none"/>
          <w:tab w:val="left" w:pos="2880" w:leader="none"/>
          <w:tab w:val="left" w:pos="3168" w:leader="none"/>
          <w:tab w:val="left" w:pos="3456" w:leader="none"/>
          <w:tab w:val="left" w:pos="3600" w:leader="none"/>
          <w:tab w:val="left" w:pos="6048" w:leader="none"/>
        </w:tabs>
        <w:spacing w:before="0" w:after="0"/>
        <w:contextualSpacing/>
        <w:jc w:val="both"/>
        <w:rPr>
          <w:color w:val="FF0000"/>
        </w:rPr>
      </w:pPr>
      <w:r>
        <w:rPr>
          <w:color w:val="FF0000"/>
        </w:rPr>
      </w:r>
    </w:p>
    <w:p>
      <w:pPr>
        <w:pStyle w:val="Normal"/>
        <w:tabs>
          <w:tab w:val="left" w:pos="720" w:leader="none"/>
          <w:tab w:val="left" w:pos="864" w:leader="none"/>
          <w:tab w:val="left" w:pos="1008" w:leader="none"/>
          <w:tab w:val="left" w:pos="1872" w:leader="none"/>
          <w:tab w:val="left" w:pos="2016" w:leader="none"/>
          <w:tab w:val="left" w:pos="2160" w:leader="none"/>
          <w:tab w:val="left" w:pos="2880" w:leader="none"/>
          <w:tab w:val="left" w:pos="3168" w:leader="none"/>
          <w:tab w:val="left" w:pos="3456" w:leader="none"/>
          <w:tab w:val="left" w:pos="3600" w:leader="none"/>
          <w:tab w:val="left" w:pos="6048" w:leader="none"/>
        </w:tabs>
        <w:spacing w:before="0" w:after="0"/>
        <w:contextualSpacing/>
        <w:jc w:val="both"/>
        <w:rPr>
          <w:color w:val="FF0000"/>
        </w:rPr>
      </w:pPr>
      <w:r>
        <w:rPr>
          <w:color w:val="FF0000"/>
        </w:rPr>
      </w:r>
    </w:p>
    <w:p>
      <w:pPr>
        <w:pStyle w:val="Normal"/>
        <w:tabs>
          <w:tab w:val="left" w:pos="720" w:leader="none"/>
          <w:tab w:val="left" w:pos="864" w:leader="none"/>
          <w:tab w:val="left" w:pos="1008" w:leader="none"/>
          <w:tab w:val="left" w:pos="1872" w:leader="none"/>
          <w:tab w:val="left" w:pos="2016" w:leader="none"/>
          <w:tab w:val="left" w:pos="2160" w:leader="none"/>
          <w:tab w:val="left" w:pos="2880" w:leader="none"/>
          <w:tab w:val="left" w:pos="3168" w:leader="none"/>
          <w:tab w:val="left" w:pos="3456" w:leader="none"/>
          <w:tab w:val="left" w:pos="3600" w:leader="none"/>
          <w:tab w:val="left" w:pos="6048" w:leader="none"/>
        </w:tabs>
        <w:spacing w:before="0" w:after="0"/>
        <w:contextualSpacing/>
        <w:jc w:val="both"/>
        <w:rPr>
          <w:color w:val="FF0000"/>
        </w:rPr>
      </w:pPr>
      <w:r>
        <w:rPr>
          <w:color w:val="FF0000"/>
        </w:rPr>
      </w:r>
    </w:p>
    <w:p>
      <w:pPr>
        <w:pStyle w:val="Normal"/>
        <w:tabs>
          <w:tab w:val="left" w:pos="720" w:leader="none"/>
          <w:tab w:val="left" w:pos="864" w:leader="none"/>
          <w:tab w:val="left" w:pos="1008" w:leader="none"/>
          <w:tab w:val="left" w:pos="1872" w:leader="none"/>
          <w:tab w:val="left" w:pos="2016" w:leader="none"/>
          <w:tab w:val="left" w:pos="2160" w:leader="none"/>
          <w:tab w:val="left" w:pos="2880" w:leader="none"/>
          <w:tab w:val="left" w:pos="3168" w:leader="none"/>
          <w:tab w:val="left" w:pos="3456" w:leader="none"/>
          <w:tab w:val="left" w:pos="3600" w:leader="none"/>
          <w:tab w:val="left" w:pos="6048" w:leader="none"/>
        </w:tabs>
        <w:spacing w:before="0" w:after="0"/>
        <w:contextualSpacing/>
        <w:jc w:val="both"/>
        <w:rPr>
          <w:color w:val="FF0000"/>
        </w:rPr>
      </w:pPr>
      <w:r>
        <w:rPr>
          <w:color w:val="FF0000"/>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contextualSpacing/>
        <w:jc w:val="both"/>
        <w:rPr>
          <w:rFonts w:eastAsia="Calibri"/>
          <w:color w:val="FF0000"/>
          <w:kern w:val="0"/>
          <w:lang w:eastAsia="en-US"/>
        </w:rPr>
      </w:pPr>
      <w:r>
        <w:rPr>
          <w:rFonts w:eastAsia="Calibri"/>
          <w:color w:val="FF0000"/>
          <w:kern w:val="0"/>
          <w:lang w:eastAsia="en-US"/>
        </w:rPr>
      </w:r>
    </w:p>
    <w:p>
      <w:pPr>
        <w:pStyle w:val="Standard"/>
        <w:spacing w:before="0" w:after="0"/>
        <w:ind w:left="6381"/>
        <w:contextualSpacing/>
        <w:rPr/>
      </w:pPr>
      <w:r>
        <w:rPr>
          <w:b/>
          <w:bCs/>
          <w:i/>
          <w:iCs/>
        </w:rPr>
        <w:t>Załącznik nr 7 do SWZ</w:t>
      </w:r>
    </w:p>
    <w:p>
      <w:pPr>
        <w:pStyle w:val="Standard"/>
        <w:spacing w:before="0" w:after="0"/>
        <w:contextualSpacing/>
        <w:rPr>
          <w:b/>
          <w:bCs/>
          <w:i/>
          <w:iCs/>
        </w:rPr>
      </w:pPr>
      <w:r>
        <w:rPr>
          <w:b/>
          <w:bCs/>
          <w:i/>
          <w:iCs/>
        </w:rPr>
      </w:r>
    </w:p>
    <w:p>
      <w:pPr>
        <w:pStyle w:val="Standard"/>
        <w:spacing w:before="0" w:after="0"/>
        <w:contextualSpacing/>
        <w:rPr/>
      </w:pPr>
      <w:r>
        <w:rPr/>
      </w:r>
    </w:p>
    <w:p>
      <w:pPr>
        <w:pStyle w:val="Standard"/>
        <w:spacing w:before="0" w:after="0"/>
        <w:contextualSpacing/>
        <w:rPr/>
      </w:pPr>
      <w:r>
        <w:rPr/>
      </w:r>
    </w:p>
    <w:p>
      <w:pPr>
        <w:pStyle w:val="Standard"/>
        <w:spacing w:before="0" w:after="0"/>
        <w:contextualSpacing/>
        <w:rPr/>
      </w:pPr>
      <w:r>
        <w:rPr/>
      </w:r>
    </w:p>
    <w:p>
      <w:pPr>
        <w:pStyle w:val="Standard"/>
        <w:spacing w:before="0" w:after="0"/>
        <w:contextualSpacing/>
        <w:rPr>
          <w:sz w:val="20"/>
          <w:szCs w:val="20"/>
        </w:rPr>
      </w:pPr>
      <w:r>
        <w:rPr>
          <w:sz w:val="20"/>
          <w:szCs w:val="20"/>
        </w:rPr>
        <w:t>.........................................................</w:t>
      </w:r>
    </w:p>
    <w:p>
      <w:pPr>
        <w:pStyle w:val="Standard"/>
        <w:spacing w:before="0" w:after="0"/>
        <w:contextualSpacing/>
        <w:rPr>
          <w:sz w:val="20"/>
          <w:szCs w:val="20"/>
        </w:rPr>
      </w:pPr>
      <w:r>
        <w:rPr>
          <w:sz w:val="20"/>
          <w:szCs w:val="20"/>
        </w:rPr>
        <w:t>.........................................................</w:t>
      </w:r>
    </w:p>
    <w:p>
      <w:pPr>
        <w:pStyle w:val="Standard"/>
        <w:spacing w:before="0" w:after="0"/>
        <w:contextualSpacing/>
        <w:rPr>
          <w:i/>
          <w:iCs/>
          <w:sz w:val="16"/>
          <w:szCs w:val="16"/>
        </w:rPr>
      </w:pPr>
      <w:r>
        <w:rPr>
          <w:i/>
          <w:iCs/>
          <w:sz w:val="16"/>
          <w:szCs w:val="16"/>
        </w:rPr>
        <w:t>(pełna nazwa/firma, adres</w:t>
      </w:r>
    </w:p>
    <w:p>
      <w:pPr>
        <w:pStyle w:val="Standard"/>
        <w:spacing w:before="0" w:after="0"/>
        <w:contextualSpacing/>
        <w:rPr>
          <w:i/>
          <w:iCs/>
          <w:sz w:val="16"/>
          <w:szCs w:val="16"/>
        </w:rPr>
      </w:pPr>
      <w:r>
        <w:rPr>
          <w:i/>
          <w:iCs/>
          <w:sz w:val="16"/>
          <w:szCs w:val="16"/>
        </w:rPr>
        <w:t>w zależności od podmiotu:</w:t>
      </w:r>
    </w:p>
    <w:p>
      <w:pPr>
        <w:pStyle w:val="Standard"/>
        <w:spacing w:before="0" w:after="0"/>
        <w:contextualSpacing/>
        <w:rPr>
          <w:i/>
          <w:iCs/>
          <w:sz w:val="16"/>
          <w:szCs w:val="16"/>
        </w:rPr>
      </w:pPr>
      <w:r>
        <w:rPr>
          <w:i/>
          <w:iCs/>
          <w:sz w:val="16"/>
          <w:szCs w:val="16"/>
        </w:rPr>
        <w:t>NIP/PESEL, KRS/CEiDG)</w:t>
      </w:r>
    </w:p>
    <w:p>
      <w:pPr>
        <w:pStyle w:val="Standard"/>
        <w:spacing w:before="0" w:after="0"/>
        <w:contextualSpacing/>
        <w:rPr>
          <w:i/>
          <w:iCs/>
          <w:sz w:val="20"/>
          <w:szCs w:val="20"/>
        </w:rPr>
      </w:pPr>
      <w:r>
        <w:rPr>
          <w:i/>
          <w:iCs/>
          <w:sz w:val="20"/>
          <w:szCs w:val="20"/>
        </w:rPr>
      </w:r>
    </w:p>
    <w:p>
      <w:pPr>
        <w:pStyle w:val="Standard"/>
        <w:spacing w:before="0" w:after="0"/>
        <w:contextualSpacing/>
        <w:rPr>
          <w:i/>
          <w:iCs/>
          <w:sz w:val="20"/>
          <w:szCs w:val="20"/>
        </w:rPr>
      </w:pPr>
      <w:r>
        <w:rPr>
          <w:i/>
          <w:iCs/>
          <w:sz w:val="20"/>
          <w:szCs w:val="20"/>
        </w:rPr>
        <w:t>reprezentowany przez:</w:t>
      </w:r>
    </w:p>
    <w:p>
      <w:pPr>
        <w:pStyle w:val="Standard"/>
        <w:spacing w:before="0" w:after="0"/>
        <w:contextualSpacing/>
        <w:rPr>
          <w:sz w:val="20"/>
          <w:szCs w:val="20"/>
        </w:rPr>
      </w:pPr>
      <w:r>
        <w:rPr>
          <w:sz w:val="20"/>
          <w:szCs w:val="20"/>
        </w:rPr>
        <w:t>.........................................................</w:t>
      </w:r>
    </w:p>
    <w:p>
      <w:pPr>
        <w:pStyle w:val="Standard"/>
        <w:spacing w:before="0" w:after="0"/>
        <w:contextualSpacing/>
        <w:rPr>
          <w:sz w:val="20"/>
          <w:szCs w:val="20"/>
        </w:rPr>
      </w:pPr>
      <w:r>
        <w:rPr>
          <w:sz w:val="20"/>
          <w:szCs w:val="20"/>
        </w:rPr>
        <w:t>.........................................................</w:t>
      </w:r>
    </w:p>
    <w:p>
      <w:pPr>
        <w:pStyle w:val="Standard"/>
        <w:spacing w:before="0" w:after="0"/>
        <w:contextualSpacing/>
        <w:rPr>
          <w:i/>
          <w:iCs/>
          <w:sz w:val="16"/>
          <w:szCs w:val="16"/>
        </w:rPr>
      </w:pPr>
      <w:r>
        <w:rPr>
          <w:i/>
          <w:iCs/>
          <w:sz w:val="16"/>
          <w:szCs w:val="16"/>
        </w:rPr>
        <w:t>(imię i nazwisko, stanowisko/podstawa</w:t>
      </w:r>
    </w:p>
    <w:p>
      <w:pPr>
        <w:pStyle w:val="Standard"/>
        <w:spacing w:before="0" w:after="0"/>
        <w:contextualSpacing/>
        <w:rPr>
          <w:i/>
          <w:iCs/>
          <w:sz w:val="16"/>
          <w:szCs w:val="16"/>
        </w:rPr>
      </w:pPr>
      <w:r>
        <w:rPr>
          <w:i/>
          <w:iCs/>
          <w:sz w:val="16"/>
          <w:szCs w:val="16"/>
        </w:rPr>
        <w:t>do reprezentacji)</w:t>
      </w:r>
    </w:p>
    <w:p>
      <w:pPr>
        <w:pStyle w:val="Standard"/>
        <w:spacing w:before="0" w:after="0"/>
        <w:contextualSpacing/>
        <w:jc w:val="both"/>
        <w:rPr/>
      </w:pPr>
      <w:r>
        <w:rPr/>
      </w:r>
    </w:p>
    <w:p>
      <w:pPr>
        <w:pStyle w:val="Standard"/>
        <w:spacing w:before="0" w:after="0"/>
        <w:contextualSpacing/>
        <w:jc w:val="both"/>
        <w:rPr/>
      </w:pPr>
      <w:r>
        <w:rPr/>
      </w:r>
    </w:p>
    <w:p>
      <w:pPr>
        <w:pStyle w:val="Standard"/>
        <w:spacing w:before="0" w:after="0"/>
        <w:contextualSpacing/>
        <w:jc w:val="both"/>
        <w:rPr/>
      </w:pPr>
      <w:r>
        <w:rPr/>
      </w:r>
    </w:p>
    <w:p>
      <w:pPr>
        <w:pStyle w:val="Normalny1"/>
        <w:spacing w:lineRule="auto" w:line="240" w:before="0" w:after="0"/>
        <w:contextualSpacing/>
        <w:jc w:val="center"/>
        <w:rPr>
          <w:rFonts w:ascii="Times New Roman" w:hAnsi="Times New Roman" w:cs="Times New Roman"/>
          <w:b/>
          <w:bCs/>
        </w:rPr>
      </w:pPr>
      <w:r>
        <w:rPr>
          <w:rFonts w:cs="Times New Roman" w:ascii="Times New Roman" w:hAnsi="Times New Roman"/>
          <w:b/>
          <w:bCs/>
        </w:rPr>
        <w:t>DOŚWIADCZENIE ZAWODOWE – WYKAZ ROBÓT BUDOWLANYCH</w:t>
      </w:r>
    </w:p>
    <w:p>
      <w:pPr>
        <w:pStyle w:val="Standard"/>
        <w:spacing w:before="0" w:after="0"/>
        <w:contextualSpacing/>
        <w:rPr/>
      </w:pPr>
      <w:r>
        <w:rPr/>
      </w:r>
    </w:p>
    <w:p>
      <w:pPr>
        <w:pStyle w:val="Standard"/>
        <w:widowControl w:val="false"/>
        <w:spacing w:before="0" w:after="0"/>
        <w:contextualSpacing/>
        <w:jc w:val="center"/>
        <w:rPr>
          <w:lang w:eastAsia="pl-PL"/>
        </w:rPr>
      </w:pPr>
      <w:r>
        <w:rPr>
          <w:lang w:eastAsia="pl-PL"/>
        </w:rPr>
        <w:t xml:space="preserve">W odpowiedzi na wezwanie Zamawiającego w postępowaniu o udzielenie zamówienia publicznego na realizację przedmiotu zamówienia pn.: </w:t>
      </w:r>
      <w:r>
        <w:rPr>
          <w:b/>
          <w:bCs/>
          <w:lang w:eastAsia="pl-PL"/>
        </w:rPr>
        <w:t>„Przebudowa, rozbudowa i kompleksowa transformacja energetyczna budynku OTUA Wojewódzkiego Szpitala Psychiatrycznego w Andrychowie - w formule zaprojektuj i wybuduj ”</w:t>
      </w:r>
      <w:r>
        <w:rPr>
          <w:b/>
          <w:bCs/>
          <w:i/>
          <w:iCs/>
        </w:rPr>
        <w:t xml:space="preserve"> </w:t>
      </w:r>
      <w:r>
        <w:rPr/>
        <w:t>przedstawiam poniżej wykaz robót:</w:t>
      </w:r>
    </w:p>
    <w:p>
      <w:pPr>
        <w:pStyle w:val="Standard"/>
        <w:spacing w:before="0" w:after="120"/>
        <w:contextualSpacing/>
        <w:jc w:val="both"/>
        <w:rPr/>
      </w:pPr>
      <w:r>
        <w:rPr/>
      </w:r>
    </w:p>
    <w:tbl>
      <w:tblPr>
        <w:tblW w:w="9262"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1965"/>
        <w:gridCol w:w="3087"/>
        <w:gridCol w:w="1544"/>
        <w:gridCol w:w="1260"/>
        <w:gridCol w:w="1406"/>
      </w:tblGrid>
      <w:tr>
        <w:trPr>
          <w:trHeight w:val="384" w:hRule="atLeast"/>
          <w:cantSplit w:val="true"/>
        </w:trPr>
        <w:tc>
          <w:tcPr>
            <w:tcW w:w="1965" w:type="dxa"/>
            <w:vMerge w:val="restart"/>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67" w:leader="none"/>
                <w:tab w:val="left" w:pos="851" w:leader="none"/>
              </w:tabs>
              <w:spacing w:before="0" w:after="0"/>
              <w:contextualSpacing/>
              <w:jc w:val="center"/>
              <w:rPr/>
            </w:pPr>
            <w:r>
              <w:rPr>
                <w:rFonts w:eastAsia="Tahoma"/>
                <w:b/>
                <w:bCs/>
                <w:lang w:eastAsia="pl-PL"/>
              </w:rPr>
              <w:t>Nazwa, miejsce realizacji</w:t>
            </w:r>
          </w:p>
        </w:tc>
        <w:tc>
          <w:tcPr>
            <w:tcW w:w="3087" w:type="dxa"/>
            <w:tcBorders>
              <w:top w:val="single" w:sz="4" w:space="0" w:color="000000"/>
              <w:left w:val="single" w:sz="4" w:space="0" w:color="000000"/>
              <w:right w:val="single" w:sz="4" w:space="0" w:color="000000"/>
            </w:tcBorders>
          </w:tcPr>
          <w:p>
            <w:pPr>
              <w:pStyle w:val="Standard"/>
              <w:widowControl w:val="false"/>
              <w:tabs>
                <w:tab w:val="clear" w:pos="720"/>
                <w:tab w:val="left" w:pos="567" w:leader="none"/>
                <w:tab w:val="left" w:pos="851" w:leader="none"/>
              </w:tabs>
              <w:spacing w:before="0" w:after="0"/>
              <w:contextualSpacing/>
              <w:rPr>
                <w:rFonts w:eastAsia="Tahoma"/>
                <w:b/>
                <w:bCs/>
                <w:lang w:eastAsia="pl-PL"/>
              </w:rPr>
            </w:pPr>
            <w:r>
              <w:rPr>
                <w:rFonts w:eastAsia="Tahoma"/>
                <w:b/>
                <w:bCs/>
                <w:lang w:eastAsia="pl-PL"/>
              </w:rPr>
            </w:r>
          </w:p>
        </w:tc>
        <w:tc>
          <w:tcPr>
            <w:tcW w:w="1544" w:type="dxa"/>
            <w:vMerge w:val="restart"/>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67" w:leader="none"/>
                <w:tab w:val="left" w:pos="851" w:leader="none"/>
              </w:tabs>
              <w:spacing w:before="0" w:after="0"/>
              <w:contextualSpacing/>
              <w:jc w:val="center"/>
              <w:rPr>
                <w:sz w:val="21"/>
                <w:szCs w:val="21"/>
              </w:rPr>
            </w:pPr>
            <w:r>
              <w:rPr>
                <w:rFonts w:eastAsia="Tahoma"/>
                <w:b/>
                <w:bCs/>
                <w:sz w:val="21"/>
                <w:szCs w:val="21"/>
                <w:lang w:eastAsia="pl-PL"/>
              </w:rPr>
              <w:t>Powierzchnia użytkowa budynku</w:t>
            </w:r>
          </w:p>
        </w:tc>
        <w:tc>
          <w:tcPr>
            <w:tcW w:w="2666" w:type="dxa"/>
            <w:gridSpan w:val="2"/>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pPr>
            <w:r>
              <w:rPr>
                <w:rFonts w:eastAsia="Tahoma"/>
                <w:b/>
                <w:bCs/>
                <w:lang w:eastAsia="pl-PL"/>
              </w:rPr>
              <w:t>Czas realizacji</w:t>
            </w:r>
          </w:p>
        </w:tc>
      </w:tr>
      <w:tr>
        <w:trPr>
          <w:trHeight w:val="774" w:hRule="atLeast"/>
          <w:cantSplit w:val="true"/>
        </w:trPr>
        <w:tc>
          <w:tcPr>
            <w:tcW w:w="19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rPr/>
            </w:pPr>
            <w:r>
              <w:rPr/>
            </w:r>
          </w:p>
        </w:tc>
        <w:tc>
          <w:tcPr>
            <w:tcW w:w="3087" w:type="dxa"/>
            <w:tcBorders>
              <w:left w:val="single" w:sz="4" w:space="0" w:color="000000"/>
              <w:bottom w:val="single" w:sz="4" w:space="0" w:color="000000"/>
              <w:right w:val="single" w:sz="4" w:space="0" w:color="000000"/>
            </w:tcBorders>
          </w:tcPr>
          <w:p>
            <w:pPr>
              <w:pStyle w:val="Standard"/>
              <w:widowControl w:val="false"/>
              <w:tabs>
                <w:tab w:val="clear" w:pos="720"/>
                <w:tab w:val="left" w:pos="540" w:leader="none"/>
              </w:tabs>
              <w:spacing w:before="0" w:after="0"/>
              <w:contextualSpacing/>
              <w:jc w:val="center"/>
              <w:rPr/>
            </w:pPr>
            <w:r>
              <w:rPr>
                <w:rFonts w:eastAsia="Tahoma"/>
                <w:b/>
                <w:bCs/>
                <w:lang w:eastAsia="pl-PL"/>
              </w:rPr>
              <w:t>Nazwa i przedmiot zrealizowanego zamówienia</w:t>
            </w:r>
          </w:p>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r>
          </w:p>
        </w:tc>
        <w:tc>
          <w:tcPr>
            <w:tcW w:w="154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rPr/>
            </w:pPr>
            <w:r>
              <w:rPr/>
            </w:r>
          </w:p>
        </w:tc>
        <w:tc>
          <w:tcPr>
            <w:tcW w:w="126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pPr>
            <w:r>
              <w:rPr>
                <w:rFonts w:eastAsia="Tahoma"/>
                <w:b/>
                <w:bCs/>
                <w:lang w:eastAsia="pl-PL"/>
              </w:rPr>
              <w:t>Początek</w:t>
            </w:r>
          </w:p>
        </w:tc>
        <w:tc>
          <w:tcPr>
            <w:tcW w:w="140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pPr>
            <w:r>
              <w:rPr>
                <w:rFonts w:eastAsia="Tahoma"/>
                <w:b/>
                <w:bCs/>
                <w:lang w:eastAsia="pl-PL"/>
              </w:rPr>
              <w:t>Koniec</w:t>
            </w:r>
          </w:p>
        </w:tc>
      </w:tr>
      <w:tr>
        <w:trPr>
          <w:trHeight w:val="260" w:hRule="atLeast"/>
        </w:trPr>
        <w:tc>
          <w:tcPr>
            <w:tcW w:w="196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t>1.</w:t>
            </w:r>
          </w:p>
        </w:tc>
        <w:tc>
          <w:tcPr>
            <w:tcW w:w="3087"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t>2.</w:t>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t>3.</w:t>
            </w:r>
          </w:p>
        </w:tc>
        <w:tc>
          <w:tcPr>
            <w:tcW w:w="126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t>4.</w:t>
            </w:r>
          </w:p>
        </w:tc>
        <w:tc>
          <w:tcPr>
            <w:tcW w:w="140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t>5.</w:t>
            </w:r>
          </w:p>
        </w:tc>
      </w:tr>
      <w:tr>
        <w:trPr>
          <w:trHeight w:val="613" w:hRule="atLeast"/>
        </w:trPr>
        <w:tc>
          <w:tcPr>
            <w:tcW w:w="196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rPr>
                <w:rFonts w:eastAsia="Tahoma"/>
                <w:b/>
                <w:bCs/>
                <w:lang w:eastAsia="pl-PL"/>
              </w:rPr>
            </w:pPr>
            <w:r>
              <w:rPr>
                <w:rFonts w:eastAsia="Tahoma"/>
                <w:b/>
                <w:bCs/>
                <w:lang w:eastAsia="pl-PL"/>
              </w:rPr>
            </w:r>
          </w:p>
        </w:tc>
        <w:tc>
          <w:tcPr>
            <w:tcW w:w="3087"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r>
          </w:p>
        </w:tc>
        <w:tc>
          <w:tcPr>
            <w:tcW w:w="126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r>
          </w:p>
        </w:tc>
        <w:tc>
          <w:tcPr>
            <w:tcW w:w="140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rPr>
                <w:rFonts w:eastAsia="Tahoma"/>
                <w:b/>
                <w:bCs/>
                <w:lang w:eastAsia="pl-PL"/>
              </w:rPr>
            </w:pPr>
            <w:r>
              <w:rPr>
                <w:rFonts w:eastAsia="Tahoma"/>
                <w:b/>
                <w:bCs/>
                <w:lang w:eastAsia="pl-PL"/>
              </w:rPr>
            </w:r>
          </w:p>
        </w:tc>
      </w:tr>
      <w:tr>
        <w:trPr>
          <w:trHeight w:val="613" w:hRule="atLeast"/>
        </w:trPr>
        <w:tc>
          <w:tcPr>
            <w:tcW w:w="196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rPr>
                <w:rFonts w:eastAsia="Tahoma"/>
                <w:b/>
                <w:bCs/>
                <w:lang w:eastAsia="pl-PL"/>
              </w:rPr>
            </w:pPr>
            <w:r>
              <w:rPr>
                <w:rFonts w:eastAsia="Tahoma"/>
                <w:b/>
                <w:bCs/>
                <w:lang w:eastAsia="pl-PL"/>
              </w:rPr>
            </w:r>
          </w:p>
        </w:tc>
        <w:tc>
          <w:tcPr>
            <w:tcW w:w="3087"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r>
          </w:p>
        </w:tc>
        <w:tc>
          <w:tcPr>
            <w:tcW w:w="126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r>
          </w:p>
        </w:tc>
        <w:tc>
          <w:tcPr>
            <w:tcW w:w="140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rPr>
                <w:rFonts w:eastAsia="Tahoma"/>
                <w:b/>
                <w:bCs/>
                <w:lang w:eastAsia="pl-PL"/>
              </w:rPr>
            </w:pPr>
            <w:r>
              <w:rPr>
                <w:rFonts w:eastAsia="Tahoma"/>
                <w:b/>
                <w:bCs/>
                <w:lang w:eastAsia="pl-PL"/>
              </w:rPr>
            </w:r>
          </w:p>
        </w:tc>
      </w:tr>
      <w:tr>
        <w:trPr>
          <w:trHeight w:val="613" w:hRule="atLeast"/>
        </w:trPr>
        <w:tc>
          <w:tcPr>
            <w:tcW w:w="196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rPr>
                <w:rFonts w:eastAsia="Tahoma"/>
                <w:b/>
                <w:bCs/>
                <w:lang w:eastAsia="pl-PL"/>
              </w:rPr>
            </w:pPr>
            <w:r>
              <w:rPr>
                <w:rFonts w:eastAsia="Tahoma"/>
                <w:b/>
                <w:bCs/>
                <w:lang w:eastAsia="pl-PL"/>
              </w:rPr>
            </w:r>
          </w:p>
        </w:tc>
        <w:tc>
          <w:tcPr>
            <w:tcW w:w="3087"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r>
          </w:p>
        </w:tc>
        <w:tc>
          <w:tcPr>
            <w:tcW w:w="126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jc w:val="center"/>
              <w:rPr>
                <w:rFonts w:eastAsia="Tahoma"/>
                <w:b/>
                <w:bCs/>
                <w:lang w:eastAsia="pl-PL"/>
              </w:rPr>
            </w:pPr>
            <w:r>
              <w:rPr>
                <w:rFonts w:eastAsia="Tahoma"/>
                <w:b/>
                <w:bCs/>
                <w:lang w:eastAsia="pl-PL"/>
              </w:rPr>
            </w:r>
          </w:p>
        </w:tc>
        <w:tc>
          <w:tcPr>
            <w:tcW w:w="140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40" w:leader="none"/>
              </w:tabs>
              <w:spacing w:before="0" w:after="0"/>
              <w:contextualSpacing/>
              <w:rPr>
                <w:rFonts w:eastAsia="Tahoma"/>
                <w:b/>
                <w:bCs/>
                <w:lang w:eastAsia="pl-PL"/>
              </w:rPr>
            </w:pPr>
            <w:r>
              <w:rPr>
                <w:rFonts w:eastAsia="Tahoma"/>
                <w:b/>
                <w:bCs/>
                <w:lang w:eastAsia="pl-PL"/>
              </w:rPr>
            </w:r>
          </w:p>
        </w:tc>
      </w:tr>
    </w:tbl>
    <w:p>
      <w:pPr>
        <w:pStyle w:val="Standard"/>
        <w:spacing w:before="0" w:after="0"/>
        <w:contextualSpacing/>
        <w:rPr/>
      </w:pPr>
      <w:r>
        <w:rPr/>
      </w:r>
    </w:p>
    <w:p>
      <w:pPr>
        <w:pStyle w:val="Standard"/>
        <w:spacing w:before="0" w:after="0"/>
        <w:contextualSpacing/>
        <w:rPr>
          <w:sz w:val="20"/>
          <w:szCs w:val="20"/>
        </w:rPr>
      </w:pPr>
      <w:r>
        <w:rPr>
          <w:sz w:val="20"/>
          <w:szCs w:val="20"/>
        </w:rPr>
      </w:r>
    </w:p>
    <w:p>
      <w:pPr>
        <w:pStyle w:val="Standard"/>
        <w:spacing w:before="0" w:after="0"/>
        <w:contextualSpacing/>
        <w:rPr>
          <w:color w:val="EE0000"/>
        </w:rPr>
      </w:pPr>
      <w:r>
        <w:rPr>
          <w:color w:val="EE0000"/>
        </w:rPr>
      </w:r>
    </w:p>
    <w:p>
      <w:pPr>
        <w:pStyle w:val="Standard"/>
        <w:widowControl w:val="false"/>
        <w:spacing w:before="0" w:after="0"/>
        <w:contextualSpacing/>
        <w:rPr>
          <w:b/>
          <w:bCs/>
          <w:i/>
          <w:iCs/>
          <w:color w:val="EE0000"/>
        </w:rPr>
        <w:sectPr>
          <w:headerReference w:type="even" r:id="rId22"/>
          <w:headerReference w:type="default" r:id="rId23"/>
          <w:headerReference w:type="first" r:id="rId24"/>
          <w:footerReference w:type="even" r:id="rId25"/>
          <w:footerReference w:type="default" r:id="rId26"/>
          <w:footerReference w:type="first" r:id="rId27"/>
          <w:footnotePr>
            <w:numFmt w:val="decimal"/>
          </w:footnotePr>
          <w:type w:val="nextPage"/>
          <w:pgSz w:w="11906" w:h="16838"/>
          <w:pgMar w:left="1418" w:right="1418" w:gutter="0" w:header="720" w:top="1418" w:footer="720" w:bottom="1418"/>
          <w:pgNumType w:fmt="decimal"/>
          <w:formProt w:val="false"/>
          <w:textDirection w:val="lrTb"/>
          <w:docGrid w:type="default" w:linePitch="100" w:charSpace="0"/>
        </w:sectPr>
      </w:pPr>
      <w:r>
        <w:rPr>
          <w:b/>
          <w:bCs/>
          <w:i/>
          <w:iCs/>
          <w:color w:val="EE0000"/>
        </w:rPr>
        <w:tab/>
        <w:tab/>
      </w:r>
    </w:p>
    <w:p>
      <w:pPr>
        <w:pStyle w:val="Standard"/>
        <w:widowControl w:val="false"/>
        <w:spacing w:before="0" w:after="0"/>
        <w:contextualSpacing/>
        <w:rPr>
          <w:b/>
          <w:bCs/>
          <w:i/>
          <w:iCs/>
          <w:color w:val="EE0000"/>
        </w:rPr>
      </w:pPr>
      <w:r>
        <w:rPr>
          <w:b/>
          <w:bCs/>
          <w:i/>
          <w:iCs/>
          <w:color w:val="EE0000"/>
        </w:rPr>
      </w:r>
    </w:p>
    <w:p>
      <w:pPr>
        <w:pStyle w:val="Standard"/>
        <w:widowControl w:val="false"/>
        <w:spacing w:before="0" w:after="0"/>
        <w:contextualSpacing/>
        <w:rPr>
          <w:b/>
          <w:bCs/>
          <w:i/>
          <w:iCs/>
        </w:rPr>
      </w:pPr>
      <w:r>
        <w:rPr>
          <w:b/>
          <w:bCs/>
          <w:i/>
          <w:iCs/>
        </w:rPr>
      </w:r>
    </w:p>
    <w:p>
      <w:pPr>
        <w:pStyle w:val="Standard"/>
        <w:widowControl w:val="false"/>
        <w:spacing w:before="0" w:after="0"/>
        <w:contextualSpacing/>
        <w:jc w:val="right"/>
        <w:rPr>
          <w:b/>
          <w:bCs/>
          <w:i/>
          <w:iCs/>
        </w:rPr>
      </w:pPr>
      <w:r>
        <w:rPr>
          <w:b/>
          <w:bCs/>
          <w:i/>
          <w:iCs/>
        </w:rPr>
        <w:t xml:space="preserve">Załącznik nr 8 do SWZ </w:t>
      </w:r>
    </w:p>
    <w:p>
      <w:pPr>
        <w:pStyle w:val="Standard"/>
        <w:widowControl w:val="false"/>
        <w:spacing w:before="0" w:after="0"/>
        <w:contextualSpacing/>
        <w:rPr>
          <w:b/>
          <w:bCs/>
          <w:i/>
          <w:iCs/>
        </w:rPr>
      </w:pPr>
      <w:r>
        <w:rPr>
          <w:b/>
          <w:bCs/>
          <w:i/>
          <w:iCs/>
        </w:rPr>
      </w:r>
    </w:p>
    <w:p>
      <w:pPr>
        <w:pStyle w:val="Standard"/>
        <w:widowControl w:val="false"/>
        <w:spacing w:before="0" w:after="0"/>
        <w:contextualSpacing/>
        <w:rPr/>
      </w:pPr>
      <w:r>
        <w:rPr>
          <w:b/>
          <w:bCs/>
          <w:i/>
          <w:iCs/>
        </w:rPr>
        <w:tab/>
        <w:tab/>
        <w:tab/>
        <w:tab/>
        <w:tab/>
        <w:tab/>
      </w:r>
    </w:p>
    <w:p>
      <w:pPr>
        <w:pStyle w:val="Standard"/>
        <w:spacing w:before="0" w:after="0"/>
        <w:contextualSpacing/>
        <w:rPr/>
      </w:pPr>
      <w:r>
        <w:rPr>
          <w:sz w:val="20"/>
          <w:szCs w:val="20"/>
        </w:rPr>
        <w:t>.........................................................</w:t>
      </w:r>
    </w:p>
    <w:p>
      <w:pPr>
        <w:pStyle w:val="Standard"/>
        <w:spacing w:before="0" w:after="0"/>
        <w:contextualSpacing/>
        <w:rPr/>
      </w:pPr>
      <w:r>
        <w:rPr>
          <w:sz w:val="20"/>
          <w:szCs w:val="20"/>
        </w:rPr>
        <w:t>.........................................................</w:t>
      </w:r>
    </w:p>
    <w:p>
      <w:pPr>
        <w:pStyle w:val="Standard"/>
        <w:spacing w:before="0" w:after="0"/>
        <w:contextualSpacing/>
        <w:rPr/>
      </w:pPr>
      <w:r>
        <w:rPr>
          <w:i/>
          <w:iCs/>
          <w:sz w:val="16"/>
          <w:szCs w:val="16"/>
        </w:rPr>
        <w:t>(pełna nazwa/firma, adres</w:t>
      </w:r>
    </w:p>
    <w:p>
      <w:pPr>
        <w:pStyle w:val="Standard"/>
        <w:spacing w:before="0" w:after="0"/>
        <w:contextualSpacing/>
        <w:rPr/>
      </w:pPr>
      <w:r>
        <w:rPr>
          <w:i/>
          <w:iCs/>
          <w:sz w:val="16"/>
          <w:szCs w:val="16"/>
        </w:rPr>
        <w:t>w zależności od podmiotu:</w:t>
      </w:r>
    </w:p>
    <w:p>
      <w:pPr>
        <w:pStyle w:val="Standard"/>
        <w:spacing w:before="0" w:after="0"/>
        <w:contextualSpacing/>
        <w:rPr/>
      </w:pPr>
      <w:r>
        <w:rPr>
          <w:i/>
          <w:iCs/>
          <w:sz w:val="16"/>
          <w:szCs w:val="16"/>
        </w:rPr>
        <w:t>NIP/PESEL, KRS/CEiDG)</w:t>
      </w:r>
    </w:p>
    <w:p>
      <w:pPr>
        <w:pStyle w:val="Standard"/>
        <w:spacing w:before="0" w:after="0"/>
        <w:contextualSpacing/>
        <w:rPr>
          <w:i/>
          <w:iCs/>
          <w:sz w:val="20"/>
          <w:szCs w:val="20"/>
        </w:rPr>
      </w:pPr>
      <w:r>
        <w:rPr>
          <w:i/>
          <w:iCs/>
          <w:sz w:val="20"/>
          <w:szCs w:val="20"/>
        </w:rPr>
      </w:r>
    </w:p>
    <w:p>
      <w:pPr>
        <w:pStyle w:val="Standard"/>
        <w:spacing w:before="0" w:after="0"/>
        <w:contextualSpacing/>
        <w:rPr/>
      </w:pPr>
      <w:r>
        <w:rPr>
          <w:i/>
          <w:iCs/>
          <w:sz w:val="20"/>
          <w:szCs w:val="20"/>
        </w:rPr>
        <w:t>reprezentowany przez:</w:t>
      </w:r>
    </w:p>
    <w:p>
      <w:pPr>
        <w:pStyle w:val="Standard"/>
        <w:spacing w:before="0" w:after="0"/>
        <w:contextualSpacing/>
        <w:rPr/>
      </w:pPr>
      <w:r>
        <w:rPr>
          <w:sz w:val="20"/>
          <w:szCs w:val="20"/>
        </w:rPr>
        <w:t>.........................................................</w:t>
      </w:r>
    </w:p>
    <w:p>
      <w:pPr>
        <w:pStyle w:val="Standard"/>
        <w:spacing w:before="0" w:after="0"/>
        <w:contextualSpacing/>
        <w:rPr/>
      </w:pPr>
      <w:r>
        <w:rPr>
          <w:sz w:val="20"/>
          <w:szCs w:val="20"/>
        </w:rPr>
        <w:t>.........................................................</w:t>
      </w:r>
    </w:p>
    <w:p>
      <w:pPr>
        <w:pStyle w:val="Standard"/>
        <w:spacing w:before="0" w:after="0"/>
        <w:contextualSpacing/>
        <w:rPr/>
      </w:pPr>
      <w:r>
        <w:rPr>
          <w:i/>
          <w:iCs/>
          <w:sz w:val="16"/>
          <w:szCs w:val="16"/>
        </w:rPr>
        <w:t>(imię i nazwisko, stanowisko/podstawa</w:t>
      </w:r>
    </w:p>
    <w:p>
      <w:pPr>
        <w:pStyle w:val="Standard"/>
        <w:spacing w:before="0" w:after="0"/>
        <w:contextualSpacing/>
        <w:rPr/>
      </w:pPr>
      <w:r>
        <w:rPr>
          <w:i/>
          <w:iCs/>
          <w:sz w:val="16"/>
          <w:szCs w:val="16"/>
        </w:rPr>
        <w:t>do reprezentacji)</w:t>
      </w:r>
    </w:p>
    <w:p>
      <w:pPr>
        <w:pStyle w:val="Standard"/>
        <w:spacing w:before="0" w:after="0"/>
        <w:contextualSpacing/>
        <w:jc w:val="both"/>
        <w:rPr/>
      </w:pPr>
      <w:r>
        <w:rPr/>
      </w:r>
    </w:p>
    <w:p>
      <w:pPr>
        <w:pStyle w:val="Standard"/>
        <w:spacing w:before="0" w:after="0"/>
        <w:contextualSpacing/>
        <w:jc w:val="both"/>
        <w:rPr/>
      </w:pPr>
      <w:r>
        <w:rPr/>
      </w:r>
    </w:p>
    <w:p>
      <w:pPr>
        <w:pStyle w:val="Normalny1"/>
        <w:spacing w:lineRule="auto" w:line="240" w:before="0" w:after="0"/>
        <w:contextualSpacing/>
        <w:jc w:val="center"/>
        <w:rPr>
          <w:rFonts w:ascii="Times New Roman" w:hAnsi="Times New Roman" w:cs="Times New Roman"/>
        </w:rPr>
      </w:pPr>
      <w:r>
        <w:rPr>
          <w:rFonts w:cs="Times New Roman" w:ascii="Times New Roman" w:hAnsi="Times New Roman"/>
          <w:b/>
          <w:bCs/>
        </w:rPr>
        <w:t>DOŚWIADCZENIE W ZAKRESIE DYSPONOWANIA OSOBAMI – WYKAZ OSÓB</w:t>
      </w:r>
    </w:p>
    <w:p>
      <w:pPr>
        <w:pStyle w:val="Standard"/>
        <w:spacing w:before="0" w:after="0"/>
        <w:contextualSpacing/>
        <w:jc w:val="center"/>
        <w:rPr/>
      </w:pPr>
      <w:r>
        <w:rPr/>
      </w:r>
    </w:p>
    <w:p>
      <w:pPr>
        <w:pStyle w:val="Standard"/>
        <w:widowControl w:val="false"/>
        <w:spacing w:before="0" w:after="0"/>
        <w:contextualSpacing/>
        <w:jc w:val="center"/>
        <w:rPr>
          <w:lang w:eastAsia="pl-PL"/>
        </w:rPr>
      </w:pPr>
      <w:r>
        <w:rPr>
          <w:lang w:eastAsia="pl-PL"/>
        </w:rPr>
        <w:t>W odpowiedzi na wezwanie Zamawiającego w postępowaniu o udzielenie zamówienia publicznego na realizację zadania pn.: „</w:t>
      </w:r>
      <w:r>
        <w:rPr>
          <w:b/>
          <w:bCs/>
          <w:lang w:eastAsia="pl-PL"/>
        </w:rPr>
        <w:t>Przebudowa, rozbudowa i kompleksowa transformacja energetyczna budynku OTUA Wojewódzkiego Szpitala Psychiatrycznego w Andrychowie - w formule zaprojektuj i wybuduj ”</w:t>
      </w:r>
      <w:r>
        <w:rPr>
          <w:b/>
          <w:bCs/>
          <w:i/>
          <w:iCs/>
        </w:rPr>
        <w:t xml:space="preserve"> </w:t>
      </w:r>
      <w:r>
        <w:rPr>
          <w:bCs/>
          <w:lang w:eastAsia="pl-PL"/>
        </w:rPr>
        <w:t>oświadczam, że</w:t>
      </w:r>
      <w:r>
        <w:rPr>
          <w:b/>
          <w:lang w:eastAsia="pl-PL"/>
        </w:rPr>
        <w:t xml:space="preserve"> </w:t>
      </w:r>
      <w:r>
        <w:rPr>
          <w:rFonts w:eastAsia="Wingdings"/>
        </w:rPr>
        <w:t>następujące osoby wymienione w poniższej tabeli będą uczestniczyć w realizacji zamówienia:</w:t>
      </w:r>
    </w:p>
    <w:p>
      <w:pPr>
        <w:pStyle w:val="Standard"/>
        <w:tabs>
          <w:tab w:val="left" w:pos="426" w:leader="none"/>
          <w:tab w:val="left" w:pos="720" w:leader="none"/>
        </w:tabs>
        <w:spacing w:before="120" w:after="0"/>
        <w:contextualSpacing/>
        <w:jc w:val="both"/>
        <w:rPr/>
      </w:pPr>
      <w:r>
        <w:rPr/>
      </w:r>
    </w:p>
    <w:tbl>
      <w:tblPr>
        <w:tblW w:w="901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493"/>
        <w:gridCol w:w="1305"/>
        <w:gridCol w:w="2709"/>
        <w:gridCol w:w="1781"/>
        <w:gridCol w:w="1473"/>
        <w:gridCol w:w="1252"/>
      </w:tblGrid>
      <w:tr>
        <w:trPr>
          <w:trHeight w:val="846" w:hRule="atLeast"/>
          <w:cantSplit w:val="true"/>
        </w:trPr>
        <w:tc>
          <w:tcPr>
            <w:tcW w:w="493"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pPr>
            <w:r>
              <w:rPr>
                <w:rFonts w:eastAsia="Wingdings"/>
                <w:b/>
                <w:sz w:val="20"/>
                <w:szCs w:val="20"/>
              </w:rPr>
              <w:t>Lp.</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pPr>
            <w:r>
              <w:rPr>
                <w:rFonts w:eastAsia="Wingdings"/>
                <w:b/>
                <w:sz w:val="20"/>
                <w:szCs w:val="20"/>
              </w:rPr>
              <w:t>Imię i nazwisko</w:t>
            </w:r>
          </w:p>
        </w:tc>
        <w:tc>
          <w:tcPr>
            <w:tcW w:w="2709"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pPr>
            <w:r>
              <w:rPr>
                <w:rFonts w:eastAsia="Wingdings"/>
                <w:b/>
                <w:sz w:val="20"/>
                <w:szCs w:val="20"/>
              </w:rPr>
              <w:t xml:space="preserve">Stanowisko/Rola </w:t>
              <w:br/>
              <w:t>w realizacji zamówienia</w:t>
            </w:r>
          </w:p>
        </w:tc>
        <w:tc>
          <w:tcPr>
            <w:tcW w:w="1781"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720"/>
                <w:tab w:val="left" w:pos="567" w:leader="none"/>
                <w:tab w:val="left" w:pos="851" w:leader="none"/>
              </w:tabs>
              <w:spacing w:before="0" w:after="0"/>
              <w:contextualSpacing/>
              <w:jc w:val="both"/>
              <w:rPr/>
            </w:pPr>
            <w:r>
              <w:rPr>
                <w:rFonts w:eastAsia="Wingdings"/>
                <w:b/>
                <w:bCs/>
                <w:sz w:val="20"/>
                <w:szCs w:val="20"/>
              </w:rPr>
              <w:t>Kwalifikacje (uprawnienia-rodzaj                i nr uprawnień)</w:t>
            </w:r>
          </w:p>
        </w:tc>
        <w:tc>
          <w:tcPr>
            <w:tcW w:w="1473" w:type="dxa"/>
            <w:tcBorders>
              <w:top w:val="single" w:sz="4" w:space="0" w:color="000000"/>
              <w:left w:val="single" w:sz="4" w:space="0" w:color="000000"/>
              <w:bottom w:val="single" w:sz="4" w:space="0" w:color="000000"/>
            </w:tcBorders>
            <w:vAlign w:val="center"/>
          </w:tcPr>
          <w:p>
            <w:pPr>
              <w:pStyle w:val="Standard"/>
              <w:widowControl w:val="false"/>
              <w:spacing w:before="0" w:after="0"/>
              <w:contextualSpacing/>
              <w:jc w:val="both"/>
              <w:rPr/>
            </w:pPr>
            <w:r>
              <w:rPr>
                <w:rFonts w:eastAsia="Wingdings"/>
                <w:b/>
                <w:sz w:val="20"/>
                <w:szCs w:val="20"/>
              </w:rPr>
              <w:t>Doświadczenie zgodnie z rozdziałem V pkt. 1.4.2.1.</w:t>
            </w:r>
          </w:p>
        </w:tc>
        <w:tc>
          <w:tcPr>
            <w:tcW w:w="125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center"/>
              <w:rPr>
                <w:b/>
                <w:bCs/>
                <w:sz w:val="21"/>
                <w:szCs w:val="21"/>
              </w:rPr>
            </w:pPr>
            <w:r>
              <w:rPr>
                <w:b/>
                <w:bCs/>
                <w:sz w:val="21"/>
                <w:szCs w:val="21"/>
              </w:rPr>
              <w:t>Podstawa dysponowania</w:t>
            </w:r>
          </w:p>
        </w:tc>
      </w:tr>
      <w:tr>
        <w:trPr>
          <w:trHeight w:val="843" w:hRule="atLeast"/>
        </w:trPr>
        <w:tc>
          <w:tcPr>
            <w:tcW w:w="493"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pPr>
            <w:r>
              <w:rPr>
                <w:rFonts w:eastAsia="Wingdings"/>
                <w:sz w:val="20"/>
                <w:szCs w:val="20"/>
              </w:rPr>
              <w:t>1</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c>
          <w:tcPr>
            <w:tcW w:w="2709"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ind w:hanging="0" w:left="0"/>
              <w:jc w:val="center"/>
              <w:outlineLvl w:val="0"/>
              <w:rPr/>
            </w:pPr>
            <w:r>
              <w:rPr>
                <w:rFonts w:eastAsia="Arial Unicode MS"/>
                <w:color w:val="000000"/>
                <w:sz w:val="20"/>
                <w:szCs w:val="20"/>
              </w:rPr>
              <w:t>Projektant w specjalności konstrukcyjno - budowlanej</w:t>
            </w:r>
          </w:p>
        </w:tc>
        <w:tc>
          <w:tcPr>
            <w:tcW w:w="1781"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c>
          <w:tcPr>
            <w:tcW w:w="1473" w:type="dxa"/>
            <w:tcBorders>
              <w:top w:val="single" w:sz="4" w:space="0" w:color="000000"/>
              <w:left w:val="single" w:sz="4" w:space="0" w:color="000000"/>
              <w:bottom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c>
          <w:tcPr>
            <w:tcW w:w="125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r>
      <w:tr>
        <w:trPr>
          <w:trHeight w:val="598" w:hRule="atLeast"/>
        </w:trPr>
        <w:tc>
          <w:tcPr>
            <w:tcW w:w="493"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pPr>
            <w:r>
              <w:rPr>
                <w:rFonts w:eastAsia="Wingdings"/>
                <w:sz w:val="20"/>
                <w:szCs w:val="20"/>
              </w:rPr>
              <w:t>2</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c>
          <w:tcPr>
            <w:tcW w:w="2709"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center"/>
              <w:rPr>
                <w:rFonts w:eastAsia="Wingdings"/>
                <w:sz w:val="20"/>
                <w:szCs w:val="20"/>
              </w:rPr>
            </w:pPr>
            <w:r>
              <w:rPr>
                <w:rFonts w:eastAsia="Wingdings"/>
                <w:sz w:val="20"/>
                <w:szCs w:val="20"/>
              </w:rPr>
              <w:t>Projektant w specjalności elektrycznej</w:t>
            </w:r>
          </w:p>
          <w:p>
            <w:pPr>
              <w:pStyle w:val="Standard"/>
              <w:widowControl w:val="false"/>
              <w:spacing w:before="0" w:after="0"/>
              <w:contextualSpacing/>
              <w:jc w:val="center"/>
              <w:rPr>
                <w:rFonts w:eastAsia="Wingdings"/>
                <w:sz w:val="20"/>
                <w:szCs w:val="20"/>
              </w:rPr>
            </w:pPr>
            <w:r>
              <w:rPr>
                <w:rFonts w:eastAsia="Wingdings"/>
                <w:sz w:val="20"/>
                <w:szCs w:val="20"/>
              </w:rPr>
            </w:r>
          </w:p>
        </w:tc>
        <w:tc>
          <w:tcPr>
            <w:tcW w:w="1781" w:type="dxa"/>
            <w:tcBorders>
              <w:top w:val="single" w:sz="4" w:space="0" w:color="000000"/>
              <w:left w:val="single" w:sz="4" w:space="0" w:color="000000"/>
              <w:bottom w:val="single" w:sz="4" w:space="0" w:color="000000"/>
              <w:right w:val="single" w:sz="4" w:space="0" w:color="000000"/>
            </w:tcBorders>
            <w:vAlign w:val="center"/>
          </w:tcPr>
          <w:p>
            <w:pPr>
              <w:pStyle w:val="Standard"/>
              <w:keepNext w:val="true"/>
              <w:widowControl w:val="false"/>
              <w:tabs>
                <w:tab w:val="clear" w:pos="720"/>
                <w:tab w:val="right" w:pos="-4320" w:leader="none"/>
              </w:tabs>
              <w:spacing w:before="0" w:after="0"/>
              <w:contextualSpacing/>
              <w:jc w:val="both"/>
              <w:rPr>
                <w:rFonts w:eastAsia="Wingdings"/>
                <w:sz w:val="20"/>
                <w:szCs w:val="20"/>
              </w:rPr>
            </w:pPr>
            <w:r>
              <w:rPr>
                <w:rFonts w:eastAsia="Wingdings"/>
                <w:sz w:val="20"/>
                <w:szCs w:val="20"/>
              </w:rPr>
            </w:r>
          </w:p>
        </w:tc>
        <w:tc>
          <w:tcPr>
            <w:tcW w:w="1473" w:type="dxa"/>
            <w:tcBorders>
              <w:top w:val="single" w:sz="4" w:space="0" w:color="000000"/>
              <w:left w:val="single" w:sz="4" w:space="0" w:color="000000"/>
              <w:bottom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t>Nie dotyczy</w:t>
            </w:r>
          </w:p>
        </w:tc>
        <w:tc>
          <w:tcPr>
            <w:tcW w:w="125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r>
      <w:tr>
        <w:trPr>
          <w:trHeight w:val="598" w:hRule="atLeast"/>
        </w:trPr>
        <w:tc>
          <w:tcPr>
            <w:tcW w:w="493"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pPr>
            <w:r>
              <w:rPr/>
              <w:t>3</w:t>
            </w:r>
          </w:p>
        </w:tc>
        <w:tc>
          <w:tcPr>
            <w:tcW w:w="1305"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c>
          <w:tcPr>
            <w:tcW w:w="2709"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center"/>
              <w:rPr>
                <w:rFonts w:eastAsia="Wingdings"/>
                <w:sz w:val="20"/>
                <w:szCs w:val="20"/>
              </w:rPr>
            </w:pPr>
            <w:r>
              <w:rPr>
                <w:rFonts w:eastAsia="Wingdings"/>
                <w:sz w:val="20"/>
                <w:szCs w:val="20"/>
              </w:rPr>
              <w:t>Projektant w specjalności instalacyjnej</w:t>
            </w:r>
          </w:p>
        </w:tc>
        <w:tc>
          <w:tcPr>
            <w:tcW w:w="1781" w:type="dxa"/>
            <w:tcBorders>
              <w:left w:val="single" w:sz="4" w:space="0" w:color="000000"/>
              <w:bottom w:val="single" w:sz="4" w:space="0" w:color="000000"/>
              <w:right w:val="single" w:sz="4" w:space="0" w:color="000000"/>
            </w:tcBorders>
            <w:vAlign w:val="center"/>
          </w:tcPr>
          <w:p>
            <w:pPr>
              <w:pStyle w:val="Standard"/>
              <w:keepNext w:val="true"/>
              <w:widowControl w:val="false"/>
              <w:tabs>
                <w:tab w:val="clear" w:pos="720"/>
                <w:tab w:val="right" w:pos="-4320" w:leader="none"/>
              </w:tabs>
              <w:spacing w:before="0" w:after="0"/>
              <w:contextualSpacing/>
              <w:jc w:val="both"/>
              <w:rPr>
                <w:rFonts w:eastAsia="Wingdings"/>
                <w:sz w:val="20"/>
                <w:szCs w:val="20"/>
              </w:rPr>
            </w:pPr>
            <w:r>
              <w:rPr>
                <w:rFonts w:eastAsia="Wingdings"/>
                <w:sz w:val="20"/>
                <w:szCs w:val="20"/>
              </w:rPr>
            </w:r>
          </w:p>
        </w:tc>
        <w:tc>
          <w:tcPr>
            <w:tcW w:w="1473" w:type="dxa"/>
            <w:tcBorders>
              <w:left w:val="single" w:sz="4" w:space="0" w:color="000000"/>
              <w:bottom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t>Nie dotyczy</w:t>
            </w:r>
          </w:p>
        </w:tc>
        <w:tc>
          <w:tcPr>
            <w:tcW w:w="1252"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r>
      <w:tr>
        <w:trPr>
          <w:trHeight w:val="598" w:hRule="atLeast"/>
        </w:trPr>
        <w:tc>
          <w:tcPr>
            <w:tcW w:w="493"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pPr>
            <w:r>
              <w:rPr/>
              <w:t>4</w:t>
            </w:r>
          </w:p>
        </w:tc>
        <w:tc>
          <w:tcPr>
            <w:tcW w:w="1305"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c>
          <w:tcPr>
            <w:tcW w:w="2709" w:type="dxa"/>
            <w:tcBorders>
              <w:left w:val="single" w:sz="4" w:space="0" w:color="000000"/>
              <w:bottom w:val="single" w:sz="4" w:space="0" w:color="000000"/>
              <w:right w:val="single" w:sz="4" w:space="0" w:color="000000"/>
            </w:tcBorders>
            <w:vAlign w:val="center"/>
          </w:tcPr>
          <w:p>
            <w:pPr>
              <w:pStyle w:val="Normal"/>
              <w:keepNext w:val="true"/>
              <w:numPr>
                <w:ilvl w:val="0"/>
                <w:numId w:val="0"/>
              </w:numPr>
              <w:ind w:hanging="0" w:left="0"/>
              <w:jc w:val="center"/>
              <w:outlineLvl w:val="0"/>
              <w:rPr/>
            </w:pPr>
            <w:r>
              <w:rPr>
                <w:rFonts w:eastAsia="Arial Unicode MS"/>
                <w:color w:val="000000"/>
                <w:sz w:val="20"/>
                <w:szCs w:val="20"/>
              </w:rPr>
              <w:t>Kierownik budowy</w:t>
            </w:r>
          </w:p>
        </w:tc>
        <w:tc>
          <w:tcPr>
            <w:tcW w:w="1781" w:type="dxa"/>
            <w:tcBorders>
              <w:left w:val="single" w:sz="4" w:space="0" w:color="000000"/>
              <w:bottom w:val="single" w:sz="4" w:space="0" w:color="000000"/>
              <w:right w:val="single" w:sz="4" w:space="0" w:color="000000"/>
            </w:tcBorders>
            <w:vAlign w:val="center"/>
          </w:tcPr>
          <w:p>
            <w:pPr>
              <w:pStyle w:val="Standard"/>
              <w:keepNext w:val="true"/>
              <w:widowControl w:val="false"/>
              <w:tabs>
                <w:tab w:val="clear" w:pos="720"/>
                <w:tab w:val="right" w:pos="-4320" w:leader="none"/>
              </w:tabs>
              <w:spacing w:before="0" w:after="0"/>
              <w:contextualSpacing/>
              <w:jc w:val="both"/>
              <w:rPr>
                <w:rFonts w:eastAsia="Wingdings"/>
                <w:sz w:val="20"/>
                <w:szCs w:val="20"/>
              </w:rPr>
            </w:pPr>
            <w:r>
              <w:rPr>
                <w:rFonts w:eastAsia="Wingdings"/>
                <w:sz w:val="20"/>
                <w:szCs w:val="20"/>
              </w:rPr>
            </w:r>
          </w:p>
        </w:tc>
        <w:tc>
          <w:tcPr>
            <w:tcW w:w="1473" w:type="dxa"/>
            <w:tcBorders>
              <w:left w:val="single" w:sz="4" w:space="0" w:color="000000"/>
              <w:bottom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c>
          <w:tcPr>
            <w:tcW w:w="1252"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r>
      <w:tr>
        <w:trPr>
          <w:trHeight w:val="598" w:hRule="atLeast"/>
        </w:trPr>
        <w:tc>
          <w:tcPr>
            <w:tcW w:w="493"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pPr>
            <w:r>
              <w:rPr/>
              <w:t>5</w:t>
            </w:r>
          </w:p>
        </w:tc>
        <w:tc>
          <w:tcPr>
            <w:tcW w:w="1305"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c>
          <w:tcPr>
            <w:tcW w:w="2709" w:type="dxa"/>
            <w:tcBorders>
              <w:left w:val="single" w:sz="4" w:space="0" w:color="000000"/>
              <w:bottom w:val="single" w:sz="4" w:space="0" w:color="000000"/>
              <w:right w:val="single" w:sz="4" w:space="0" w:color="000000"/>
            </w:tcBorders>
            <w:vAlign w:val="center"/>
          </w:tcPr>
          <w:p>
            <w:pPr>
              <w:pStyle w:val="Normal"/>
              <w:keepNext w:val="true"/>
              <w:numPr>
                <w:ilvl w:val="0"/>
                <w:numId w:val="0"/>
              </w:numPr>
              <w:ind w:hanging="0" w:left="0"/>
              <w:jc w:val="center"/>
              <w:outlineLvl w:val="0"/>
              <w:rPr/>
            </w:pPr>
            <w:r>
              <w:rPr>
                <w:rFonts w:eastAsia="Arial Unicode MS"/>
                <w:color w:val="000000"/>
                <w:sz w:val="20"/>
                <w:szCs w:val="20"/>
              </w:rPr>
              <w:t>Kierownik robót elektrycznych</w:t>
            </w:r>
          </w:p>
        </w:tc>
        <w:tc>
          <w:tcPr>
            <w:tcW w:w="1781" w:type="dxa"/>
            <w:tcBorders>
              <w:left w:val="single" w:sz="4" w:space="0" w:color="000000"/>
              <w:bottom w:val="single" w:sz="4" w:space="0" w:color="000000"/>
              <w:right w:val="single" w:sz="4" w:space="0" w:color="000000"/>
            </w:tcBorders>
            <w:vAlign w:val="center"/>
          </w:tcPr>
          <w:p>
            <w:pPr>
              <w:pStyle w:val="Standard"/>
              <w:keepNext w:val="true"/>
              <w:widowControl w:val="false"/>
              <w:tabs>
                <w:tab w:val="clear" w:pos="720"/>
                <w:tab w:val="right" w:pos="-4320" w:leader="none"/>
              </w:tabs>
              <w:spacing w:before="0" w:after="0"/>
              <w:contextualSpacing/>
              <w:jc w:val="both"/>
              <w:rPr>
                <w:rFonts w:eastAsia="Wingdings"/>
                <w:sz w:val="20"/>
                <w:szCs w:val="20"/>
              </w:rPr>
            </w:pPr>
            <w:r>
              <w:rPr>
                <w:rFonts w:eastAsia="Wingdings"/>
                <w:sz w:val="20"/>
                <w:szCs w:val="20"/>
              </w:rPr>
            </w:r>
          </w:p>
        </w:tc>
        <w:tc>
          <w:tcPr>
            <w:tcW w:w="1473" w:type="dxa"/>
            <w:tcBorders>
              <w:left w:val="single" w:sz="4" w:space="0" w:color="000000"/>
              <w:bottom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t>Nie dotyczy</w:t>
            </w:r>
          </w:p>
        </w:tc>
        <w:tc>
          <w:tcPr>
            <w:tcW w:w="1252"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r>
      <w:tr>
        <w:trPr>
          <w:trHeight w:val="444" w:hRule="atLeast"/>
        </w:trPr>
        <w:tc>
          <w:tcPr>
            <w:tcW w:w="493"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pPr>
            <w:r>
              <w:rPr/>
              <w:t>6</w:t>
            </w:r>
          </w:p>
        </w:tc>
        <w:tc>
          <w:tcPr>
            <w:tcW w:w="1305"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c>
          <w:tcPr>
            <w:tcW w:w="2709" w:type="dxa"/>
            <w:tcBorders>
              <w:left w:val="single" w:sz="4" w:space="0" w:color="000000"/>
              <w:bottom w:val="single" w:sz="4" w:space="0" w:color="000000"/>
              <w:right w:val="single" w:sz="4" w:space="0" w:color="000000"/>
            </w:tcBorders>
            <w:vAlign w:val="center"/>
          </w:tcPr>
          <w:p>
            <w:pPr>
              <w:pStyle w:val="Normal"/>
              <w:keepNext w:val="true"/>
              <w:numPr>
                <w:ilvl w:val="0"/>
                <w:numId w:val="0"/>
              </w:numPr>
              <w:ind w:hanging="0" w:left="0"/>
              <w:jc w:val="center"/>
              <w:outlineLvl w:val="0"/>
              <w:rPr/>
            </w:pPr>
            <w:r>
              <w:rPr>
                <w:rFonts w:eastAsia="Arial Unicode MS"/>
                <w:color w:val="000000"/>
                <w:sz w:val="20"/>
                <w:szCs w:val="20"/>
              </w:rPr>
              <w:t>Kierownik robót sanitarnych</w:t>
            </w:r>
          </w:p>
        </w:tc>
        <w:tc>
          <w:tcPr>
            <w:tcW w:w="1781" w:type="dxa"/>
            <w:tcBorders>
              <w:left w:val="single" w:sz="4" w:space="0" w:color="000000"/>
              <w:bottom w:val="single" w:sz="4" w:space="0" w:color="000000"/>
              <w:right w:val="single" w:sz="4" w:space="0" w:color="000000"/>
            </w:tcBorders>
            <w:vAlign w:val="center"/>
          </w:tcPr>
          <w:p>
            <w:pPr>
              <w:pStyle w:val="Standard"/>
              <w:keepNext w:val="true"/>
              <w:widowControl w:val="false"/>
              <w:tabs>
                <w:tab w:val="clear" w:pos="720"/>
                <w:tab w:val="right" w:pos="-4320" w:leader="none"/>
              </w:tabs>
              <w:spacing w:before="0" w:after="0"/>
              <w:contextualSpacing/>
              <w:jc w:val="both"/>
              <w:rPr>
                <w:rFonts w:eastAsia="Wingdings"/>
                <w:sz w:val="20"/>
                <w:szCs w:val="20"/>
              </w:rPr>
            </w:pPr>
            <w:r>
              <w:rPr>
                <w:rFonts w:eastAsia="Wingdings"/>
                <w:sz w:val="20"/>
                <w:szCs w:val="20"/>
              </w:rPr>
            </w:r>
          </w:p>
        </w:tc>
        <w:tc>
          <w:tcPr>
            <w:tcW w:w="1473" w:type="dxa"/>
            <w:tcBorders>
              <w:left w:val="single" w:sz="4" w:space="0" w:color="000000"/>
              <w:bottom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t>Nie dotyczy</w:t>
            </w:r>
          </w:p>
        </w:tc>
        <w:tc>
          <w:tcPr>
            <w:tcW w:w="1252" w:type="dxa"/>
            <w:tcBorders>
              <w:left w:val="single" w:sz="4" w:space="0" w:color="000000"/>
              <w:bottom w:val="single" w:sz="4" w:space="0" w:color="000000"/>
              <w:right w:val="single" w:sz="4" w:space="0" w:color="000000"/>
            </w:tcBorders>
            <w:vAlign w:val="center"/>
          </w:tcPr>
          <w:p>
            <w:pPr>
              <w:pStyle w:val="Standard"/>
              <w:widowControl w:val="false"/>
              <w:spacing w:before="0" w:after="0"/>
              <w:contextualSpacing/>
              <w:jc w:val="both"/>
              <w:rPr>
                <w:rFonts w:eastAsia="Wingdings"/>
                <w:sz w:val="20"/>
                <w:szCs w:val="20"/>
              </w:rPr>
            </w:pPr>
            <w:r>
              <w:rPr>
                <w:rFonts w:eastAsia="Wingdings"/>
                <w:sz w:val="20"/>
                <w:szCs w:val="20"/>
              </w:rPr>
            </w:r>
          </w:p>
        </w:tc>
      </w:tr>
    </w:tbl>
    <w:p>
      <w:pPr>
        <w:pStyle w:val="Standard"/>
        <w:widowControl w:val="false"/>
        <w:spacing w:before="0" w:after="0"/>
        <w:contextualSpacing/>
        <w:rPr>
          <w:b/>
          <w:bCs/>
          <w:i/>
          <w:iCs/>
          <w:color w:val="EE0000"/>
        </w:rPr>
      </w:pPr>
      <w:r>
        <w:rPr>
          <w:b/>
          <w:bCs/>
          <w:i/>
          <w:iCs/>
          <w:color w:val="EE0000"/>
        </w:rPr>
      </w:r>
    </w:p>
    <w:p>
      <w:pPr>
        <w:pStyle w:val="Standard"/>
        <w:spacing w:before="0" w:after="0"/>
        <w:contextualSpacing/>
        <w:rPr>
          <w:sz w:val="20"/>
          <w:szCs w:val="20"/>
        </w:rPr>
      </w:pPr>
      <w:r>
        <w:rPr>
          <w:sz w:val="20"/>
          <w:szCs w:val="20"/>
        </w:rPr>
        <w:t>** tabelę powielić w razie konieczności</w:t>
      </w:r>
    </w:p>
    <w:p>
      <w:pPr>
        <w:pStyle w:val="Standard"/>
        <w:spacing w:before="0" w:after="0"/>
        <w:contextualSpacing/>
        <w:rPr>
          <w:sz w:val="20"/>
          <w:szCs w:val="20"/>
        </w:rPr>
      </w:pPr>
      <w:r>
        <w:rPr>
          <w:sz w:val="20"/>
          <w:szCs w:val="20"/>
        </w:rPr>
        <w:t>*** Uprawnienia wskazanych osób należy potwierdzić stosowanymi dokumentami opisanymi w SWZ</w:t>
      </w:r>
    </w:p>
    <w:p>
      <w:pPr>
        <w:pStyle w:val="Standard"/>
        <w:widowControl w:val="false"/>
        <w:spacing w:before="0" w:after="0"/>
        <w:contextualSpacing/>
        <w:rPr>
          <w:b/>
          <w:bCs/>
          <w:i/>
          <w:iCs/>
          <w:color w:val="EE0000"/>
        </w:rPr>
      </w:pPr>
      <w:r>
        <w:rPr>
          <w:b/>
          <w:bCs/>
          <w:i/>
          <w:iCs/>
          <w:color w:val="EE0000"/>
        </w:rPr>
      </w:r>
    </w:p>
    <w:p>
      <w:pPr>
        <w:pStyle w:val="Standard"/>
        <w:widowControl w:val="false"/>
        <w:spacing w:before="0" w:after="0"/>
        <w:contextualSpacing/>
        <w:rPr/>
      </w:pPr>
      <w:r>
        <w:rPr>
          <w:b/>
          <w:bCs/>
          <w:i/>
          <w:iCs/>
          <w:color w:val="EE0000"/>
        </w:rPr>
        <w:tab/>
      </w:r>
      <w:r>
        <w:rPr>
          <w:b/>
          <w:bCs/>
          <w:i/>
          <w:iCs/>
        </w:rPr>
        <w:tab/>
        <w:tab/>
      </w:r>
    </w:p>
    <w:p>
      <w:pPr>
        <w:pStyle w:val="Normal"/>
        <w:tabs>
          <w:tab w:val="clear" w:pos="720"/>
          <w:tab w:val="left" w:pos="851" w:leader="none"/>
        </w:tabs>
        <w:spacing w:before="0" w:after="120"/>
        <w:contextualSpacing/>
        <w:jc w:val="both"/>
        <w:rPr>
          <w:i/>
          <w:iCs/>
          <w:color w:val="EE0000"/>
          <w:sz w:val="16"/>
          <w:szCs w:val="16"/>
        </w:rPr>
      </w:pPr>
      <w:r>
        <w:rPr>
          <w:i/>
          <w:iCs/>
          <w:color w:val="EE0000"/>
          <w:sz w:val="16"/>
          <w:szCs w:val="16"/>
        </w:rPr>
      </w:r>
    </w:p>
    <w:p>
      <w:pPr>
        <w:pStyle w:val="Normal"/>
        <w:spacing w:before="0" w:after="120"/>
        <w:ind w:right="-341"/>
        <w:contextualSpacing/>
        <w:jc w:val="both"/>
        <w:rPr>
          <w:color w:val="EE0000"/>
          <w:sz w:val="22"/>
          <w:szCs w:val="22"/>
          <w:lang w:eastAsia="ar-SA"/>
        </w:rPr>
      </w:pPr>
      <w:r>
        <w:rPr>
          <w:color w:val="EE0000"/>
          <w:sz w:val="22"/>
          <w:szCs w:val="22"/>
          <w:lang w:eastAsia="ar-SA"/>
        </w:rPr>
      </w:r>
    </w:p>
    <w:p>
      <w:pPr>
        <w:pStyle w:val="Heading1"/>
        <w:ind w:firstLine="709" w:left="6381"/>
        <w:rPr>
          <w:rFonts w:ascii="Times New Roman" w:hAnsi="Times New Roman" w:cs="Times New Roman"/>
          <w:i/>
          <w:sz w:val="24"/>
          <w:szCs w:val="24"/>
        </w:rPr>
      </w:pPr>
      <w:r>
        <w:rPr>
          <w:rFonts w:cs="Times New Roman" w:ascii="Times New Roman" w:hAnsi="Times New Roman"/>
          <w:i/>
          <w:sz w:val="24"/>
          <w:szCs w:val="24"/>
        </w:rPr>
        <w:t>Załącznik nr 9 do SWZ</w:t>
      </w:r>
    </w:p>
    <w:p>
      <w:pPr>
        <w:pStyle w:val="Standard"/>
        <w:rPr/>
      </w:pPr>
      <w:r>
        <w:rPr/>
      </w:r>
    </w:p>
    <w:p>
      <w:pPr>
        <w:pStyle w:val="BodyText"/>
        <w:jc w:val="center"/>
        <w:rPr>
          <w:szCs w:val="24"/>
        </w:rPr>
      </w:pPr>
      <w:r>
        <w:rPr>
          <w:szCs w:val="24"/>
        </w:rPr>
      </w:r>
    </w:p>
    <w:p>
      <w:pPr>
        <w:pStyle w:val="Normal"/>
        <w:spacing w:before="0" w:after="0"/>
        <w:ind w:left="284"/>
        <w:contextualSpacing/>
        <w:jc w:val="center"/>
        <w:rPr>
          <w:b/>
          <w:bCs/>
        </w:rPr>
      </w:pPr>
      <w:r>
        <w:rPr>
          <w:b/>
          <w:bCs/>
        </w:rPr>
        <w:t>Wykaz pracowników wykonujących czynności:</w:t>
      </w:r>
    </w:p>
    <w:p>
      <w:pPr>
        <w:pStyle w:val="Normal"/>
        <w:spacing w:before="0" w:after="0"/>
        <w:contextualSpacing/>
        <w:rPr>
          <w:b/>
          <w:bCs/>
          <w:color w:val="FF0000"/>
        </w:rPr>
      </w:pPr>
      <w:r>
        <w:rPr>
          <w:b/>
          <w:bCs/>
          <w:color w:val="FF0000"/>
        </w:rPr>
      </w:r>
    </w:p>
    <w:p>
      <w:pPr>
        <w:pStyle w:val="Normal"/>
        <w:spacing w:before="0" w:after="0"/>
        <w:ind w:left="284"/>
        <w:contextualSpacing/>
        <w:jc w:val="center"/>
        <w:rPr/>
      </w:pPr>
      <w:r>
        <w:rPr/>
        <w:t xml:space="preserve">związane z robotami budowlanymi, instalacjami wodno-kanalizacyjnymi oraz instalacjami elektronicznymi </w:t>
      </w:r>
    </w:p>
    <w:p>
      <w:pPr>
        <w:pStyle w:val="Normal"/>
        <w:spacing w:before="0" w:after="0"/>
        <w:ind w:left="284"/>
        <w:contextualSpacing/>
        <w:jc w:val="center"/>
        <w:rPr/>
      </w:pPr>
      <w:r>
        <w:rPr/>
        <w:t xml:space="preserve"> </w:t>
      </w:r>
      <w:r>
        <w:rPr/>
        <w:t xml:space="preserve">polegającymi na wykonywaniu pracy w sposób określony w art. 22 § 1 ustawy z dnia 26 czerwca 1974 – Kodeks Pracy (Dz. U. z 2025 r. poz. 277 ze zm.) przy realizacji przedmiotu zamówienia pn.: </w:t>
      </w:r>
    </w:p>
    <w:p>
      <w:pPr>
        <w:pStyle w:val="Standard"/>
        <w:widowControl w:val="false"/>
        <w:spacing w:before="0" w:after="0"/>
        <w:contextualSpacing/>
        <w:jc w:val="center"/>
        <w:rPr>
          <w:lang w:eastAsia="pl-PL"/>
        </w:rPr>
      </w:pPr>
      <w:r>
        <w:rPr>
          <w:b/>
          <w:bCs/>
          <w:i/>
          <w:iCs/>
          <w:lang w:eastAsia="pl-PL"/>
        </w:rPr>
        <w:t>„</w:t>
      </w:r>
      <w:r>
        <w:rPr>
          <w:b/>
          <w:bCs/>
          <w:i/>
          <w:iCs/>
          <w:lang w:eastAsia="pl-PL"/>
        </w:rPr>
        <w:t>Przebudowa, rozbudowa i kompleksowa transformacja energetyczna budynku OTUA Wojewódzkiego Szpitala Psychiatrycznego w Andrychowie - w formule zaprojektuj i wybuduj ”</w:t>
      </w:r>
    </w:p>
    <w:p>
      <w:pPr>
        <w:pStyle w:val="BodyText"/>
        <w:jc w:val="center"/>
        <w:rPr>
          <w:color w:val="FF0000"/>
          <w:szCs w:val="24"/>
        </w:rPr>
      </w:pPr>
      <w:r>
        <w:rPr>
          <w:color w:val="FF0000"/>
          <w:szCs w:val="24"/>
        </w:rPr>
      </w:r>
    </w:p>
    <w:p>
      <w:pPr>
        <w:pStyle w:val="BodyText"/>
        <w:jc w:val="center"/>
        <w:rPr>
          <w:b/>
          <w:color w:val="FF0000"/>
          <w:szCs w:val="24"/>
        </w:rPr>
      </w:pPr>
      <w:r>
        <w:rPr>
          <w:b/>
          <w:color w:val="FF0000"/>
          <w:szCs w:val="24"/>
        </w:rPr>
      </w:r>
    </w:p>
    <w:p>
      <w:pPr>
        <w:pStyle w:val="BodyText"/>
        <w:jc w:val="center"/>
        <w:rPr>
          <w:b/>
          <w:bCs/>
          <w:i/>
          <w:szCs w:val="24"/>
        </w:rPr>
      </w:pPr>
      <w:r>
        <w:rPr>
          <w:b/>
          <w:bCs/>
          <w:i/>
          <w:szCs w:val="24"/>
        </w:rPr>
      </w:r>
    </w:p>
    <w:p>
      <w:pPr>
        <w:pStyle w:val="BodyText"/>
        <w:jc w:val="both"/>
        <w:rPr>
          <w:b/>
          <w:bCs/>
          <w:i/>
          <w:szCs w:val="24"/>
          <w:lang w:val="de-DE"/>
        </w:rPr>
      </w:pPr>
      <w:r>
        <w:rPr>
          <w:szCs w:val="24"/>
          <w:lang w:val="de-DE"/>
        </w:rPr>
        <w:t xml:space="preserve">1. .................................................. </w:t>
      </w:r>
    </w:p>
    <w:p>
      <w:pPr>
        <w:pStyle w:val="BodyText"/>
        <w:jc w:val="both"/>
        <w:rPr>
          <w:b/>
          <w:i/>
          <w:szCs w:val="24"/>
        </w:rPr>
      </w:pPr>
      <w:r>
        <w:rPr>
          <w:szCs w:val="24"/>
        </w:rPr>
        <w:t>2. ..................................................</w:t>
      </w:r>
    </w:p>
    <w:p>
      <w:pPr>
        <w:pStyle w:val="BodyText"/>
        <w:jc w:val="both"/>
        <w:rPr>
          <w:b/>
          <w:i/>
          <w:szCs w:val="24"/>
        </w:rPr>
      </w:pPr>
      <w:r>
        <w:rPr>
          <w:szCs w:val="24"/>
        </w:rPr>
        <w:t>3. ..................................................</w:t>
      </w:r>
    </w:p>
    <w:p>
      <w:pPr>
        <w:pStyle w:val="BodyText"/>
        <w:jc w:val="both"/>
        <w:rPr>
          <w:b/>
          <w:i/>
          <w:szCs w:val="24"/>
        </w:rPr>
      </w:pPr>
      <w:r>
        <w:rPr>
          <w:szCs w:val="24"/>
        </w:rPr>
        <w:t>itd.</w:t>
      </w:r>
    </w:p>
    <w:p>
      <w:pPr>
        <w:pStyle w:val="BodyText"/>
        <w:jc w:val="both"/>
        <w:rPr>
          <w:b/>
          <w:i/>
          <w:iCs/>
          <w:szCs w:val="24"/>
        </w:rPr>
      </w:pPr>
      <w:r>
        <w:rPr>
          <w:b/>
          <w:i/>
          <w:iCs/>
          <w:szCs w:val="24"/>
        </w:rPr>
      </w:r>
    </w:p>
    <w:p>
      <w:pPr>
        <w:pStyle w:val="BodyText"/>
        <w:jc w:val="both"/>
        <w:rPr>
          <w:b/>
          <w:i/>
          <w:iCs/>
          <w:szCs w:val="24"/>
        </w:rPr>
      </w:pPr>
      <w:r>
        <w:rPr>
          <w:b/>
          <w:i/>
          <w:iCs/>
          <w:szCs w:val="24"/>
        </w:rPr>
      </w:r>
    </w:p>
    <w:p>
      <w:pPr>
        <w:pStyle w:val="BodyText"/>
        <w:jc w:val="both"/>
        <w:rPr>
          <w:b/>
          <w:i/>
          <w:iCs/>
          <w:szCs w:val="24"/>
        </w:rPr>
      </w:pPr>
      <w:r>
        <w:rPr>
          <w:b/>
          <w:i/>
          <w:iCs/>
          <w:szCs w:val="24"/>
        </w:rPr>
      </w:r>
    </w:p>
    <w:p>
      <w:pPr>
        <w:pStyle w:val="BodyText"/>
        <w:jc w:val="both"/>
        <w:rPr>
          <w:b/>
          <w:i/>
          <w:iCs/>
          <w:szCs w:val="24"/>
        </w:rPr>
      </w:pPr>
      <w:r>
        <w:rPr>
          <w:b/>
          <w:i/>
          <w:iCs/>
          <w:szCs w:val="24"/>
        </w:rPr>
      </w:r>
    </w:p>
    <w:p>
      <w:pPr>
        <w:pStyle w:val="BodyText"/>
        <w:jc w:val="both"/>
        <w:rPr>
          <w:b/>
          <w:i/>
          <w:iCs/>
          <w:szCs w:val="24"/>
        </w:rPr>
      </w:pPr>
      <w:r>
        <w:rPr>
          <w:b/>
          <w:i/>
          <w:iCs/>
          <w:szCs w:val="24"/>
        </w:rPr>
      </w:r>
    </w:p>
    <w:p>
      <w:pPr>
        <w:pStyle w:val="BodyText"/>
        <w:jc w:val="both"/>
        <w:rPr>
          <w:b/>
          <w:i/>
          <w:iCs/>
          <w:szCs w:val="24"/>
        </w:rPr>
      </w:pPr>
      <w:r>
        <w:rPr>
          <w:b/>
          <w:i/>
          <w:iCs/>
          <w:szCs w:val="24"/>
        </w:rPr>
      </w:r>
    </w:p>
    <w:p>
      <w:pPr>
        <w:pStyle w:val="Tekstpodstawowy21"/>
        <w:ind w:left="709"/>
        <w:rPr>
          <w:rFonts w:ascii="Times New Roman" w:hAnsi="Times New Roman" w:cs="Times New Roman"/>
        </w:rPr>
      </w:pPr>
      <w:r>
        <w:rPr>
          <w:rFonts w:cs="Times New Roman" w:ascii="Times New Roman" w:hAnsi="Times New Roman"/>
        </w:rPr>
      </w:r>
    </w:p>
    <w:p>
      <w:pPr>
        <w:pStyle w:val="Tekstpodstawowy21"/>
        <w:ind w:left="709"/>
        <w:rPr>
          <w:rFonts w:ascii="Times New Roman" w:hAnsi="Times New Roman" w:cs="Times New Roman"/>
        </w:rPr>
      </w:pPr>
      <w:r>
        <w:rPr>
          <w:rFonts w:cs="Times New Roman" w:ascii="Times New Roman" w:hAnsi="Times New Roman"/>
        </w:rPr>
      </w:r>
    </w:p>
    <w:p>
      <w:pPr>
        <w:pStyle w:val="Tekstpodstawowy21"/>
        <w:rPr>
          <w:rFonts w:ascii="Times New Roman" w:hAnsi="Times New Roman" w:cs="Times New Roman"/>
        </w:rPr>
      </w:pPr>
      <w:r>
        <w:rPr>
          <w:rFonts w:cs="Times New Roman" w:ascii="Times New Roman" w:hAnsi="Times New Roman"/>
        </w:rPr>
      </w:r>
    </w:p>
    <w:sectPr>
      <w:headerReference w:type="even" r:id="rId28"/>
      <w:headerReference w:type="default" r:id="rId29"/>
      <w:headerReference w:type="first" r:id="rId30"/>
      <w:footerReference w:type="even" r:id="rId31"/>
      <w:footerReference w:type="default" r:id="rId32"/>
      <w:footerReference w:type="first" r:id="rId33"/>
      <w:footnotePr>
        <w:numFmt w:val="decimal"/>
      </w:footnotePr>
      <w:type w:val="nextPage"/>
      <w:pgSz w:w="11906" w:h="16838"/>
      <w:pgMar w:left="1134" w:right="1129" w:gutter="0" w:header="708" w:top="1134" w:footer="708"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ambria">
    <w:charset w:val="ee"/>
    <w:family w:val="roman"/>
    <w:pitch w:val="variable"/>
  </w:font>
  <w:font w:name="Calibri">
    <w:charset w:val="ee"/>
    <w:family w:val="swiss"/>
    <w:pitch w:val="variable"/>
  </w:font>
  <w:font w:name="Calibri Light">
    <w:charset w:val="ee"/>
    <w:family w:val="swiss"/>
    <w:pitch w:val="variable"/>
  </w:font>
  <w:font w:name="Arial">
    <w:charset w:val="ee"/>
    <w:family w:val="swiss"/>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Georgia">
    <w:charset w:val="ee"/>
    <w:family w:val="roman"/>
    <w:pitch w:val="variable"/>
  </w:font>
  <w:font w:name="Arial Unicode MS">
    <w:charset w:val="ee"/>
    <w:family w:val="swiss"/>
    <w:pitch w:val="variable"/>
  </w:font>
  <w:font w:name="Arial Narrow">
    <w:charset w:val="ee"/>
    <w:family w:val="swiss"/>
    <w:pitch w:val="variable"/>
  </w:font>
  <w:font w:name="OpenSymbol">
    <w:altName w:val="Arial Unicode MS"/>
    <w:charset w:val="ee"/>
    <w:family w:val="roman"/>
    <w:pitch w:val="variable"/>
  </w:font>
  <w:font w:name="Liberation Sans">
    <w:altName w:val="Arial"/>
    <w:charset w:val="ee"/>
    <w:family w:val="swiss"/>
    <w:pitch w:val="variable"/>
  </w:font>
  <w:font w:name="Verdana">
    <w:charset w:val="ee"/>
    <w:family w:val="swiss"/>
    <w:pitch w:val="variable"/>
  </w:font>
  <w:font w:name="Tahoma">
    <w:charset w:val="ee"/>
    <w:family w:val="swiss"/>
    <w:pitch w:val="variable"/>
  </w:font>
  <w:font w:name="Optima">
    <w:charset w:val="ee"/>
    <w:family w:val="roman"/>
    <w:pitch w:val="variable"/>
  </w:font>
  <w:font w:name="Times New Roman">
    <w:altName w:val="serif"/>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lang w:val="de-DE"/>
      </w:rPr>
    </w:pPr>
    <w:r>
      <w:rPr>
        <w:lang w:val="de-DE"/>
      </w:rPr>
      <w:t>NIP 551-21-23-091              REGON 000805666</w:t>
    </w:r>
  </w:p>
  <w:p>
    <w:pPr>
      <w:pStyle w:val="Footer"/>
      <w:pBdr>
        <w:top w:val="single" w:sz="4" w:space="0" w:color="000000"/>
        <w:left w:val="single" w:sz="4" w:space="0" w:color="000000"/>
        <w:bottom w:val="single" w:sz="4" w:space="0" w:color="000000"/>
        <w:right w:val="single" w:sz="4" w:space="0" w:color="000000"/>
      </w:pBdr>
      <w:ind w:right="360"/>
      <w:rPr>
        <w:lang w:val="en-US"/>
      </w:rPr>
    </w:pPr>
    <w:hyperlink r:id="rId1">
      <w:r>
        <w:rPr>
          <w:rStyle w:val="Style1"/>
          <w:color w:val="0000FF"/>
          <w:u w:val="single"/>
          <w:lang w:val="de-DE"/>
        </w:rPr>
        <w:t>www.szpital.info.pl</w:t>
      </w:r>
    </w:hyperlink>
    <w:r>
      <w:rPr>
        <w:lang w:val="de-DE"/>
      </w:rPr>
      <w:t xml:space="preserve">            e-mail  </w:t>
    </w:r>
    <w:hyperlink r:id="rId2">
      <w:r>
        <w:rPr>
          <w:rStyle w:val="Style1"/>
          <w:color w:val="0000FF"/>
          <w:u w:val="single"/>
          <w:lang w:val="de-DE"/>
        </w:rPr>
        <w:t>szpital@szpital.info.pl</w:t>
      </w:r>
    </w:hyperlink>
    <w:r>
      <w:rPr>
        <w:lang w:val="de-DE"/>
      </w:rPr>
      <w:t xml:space="preserve">                                       </w:t>
      <w:tab/>
      <w:t xml:space="preserve"> </w:t>
    </w:r>
    <w:r>
      <w:rPr>
        <w:rStyle w:val="PageNumber"/>
        <w:lang w:val="en-US"/>
      </w:rPr>
      <w:fldChar w:fldCharType="begin"/>
    </w:r>
    <w:r>
      <w:rPr>
        <w:rStyle w:val="PageNumber"/>
        <w:lang w:val="en-US"/>
      </w:rPr>
      <w:instrText xml:space="preserve"> PAGE </w:instrText>
    </w:r>
    <w:r>
      <w:rPr>
        <w:rStyle w:val="PageNumber"/>
        <w:lang w:val="en-US"/>
      </w:rPr>
      <w:fldChar w:fldCharType="separate"/>
    </w:r>
    <w:r>
      <w:rPr>
        <w:rStyle w:val="PageNumber"/>
        <w:lang w:val="en-US"/>
      </w:rPr>
      <w:t>33</w:t>
    </w:r>
    <w:r>
      <w:rPr>
        <w:rStyle w:val="PageNumber"/>
        <w:lang w:val="en-US"/>
      </w:rPr>
      <w:fldChar w:fldCharType="end"/>
    </w:r>
  </w:p>
  <w:p>
    <w:pPr>
      <w:pStyle w:val="Footer"/>
      <w:rPr>
        <w:lang w:val="de-DE"/>
      </w:rPr>
    </w:pPr>
    <w:r>
      <w:rPr>
        <w:lang w:val="de-DE"/>
      </w:rPr>
    </w:r>
  </w:p>
  <w:p>
    <w:pPr>
      <w:pStyle w:val="Footer"/>
      <w:rPr>
        <w:lang w:val="de-DE"/>
      </w:rPr>
    </w:pPr>
    <w:r>
      <w:rPr>
        <w:lang w:val="de-DE"/>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lang w:val="de-DE"/>
      </w:rPr>
    </w:pPr>
    <w:r>
      <w:rPr>
        <w:lang w:val="de-DE"/>
      </w:rPr>
      <w:t>NIP 551-21-23-091              REGON 000805666</w:t>
    </w:r>
  </w:p>
  <w:p>
    <w:pPr>
      <w:pStyle w:val="Footer"/>
      <w:pBdr>
        <w:top w:val="single" w:sz="4" w:space="0" w:color="000000"/>
        <w:left w:val="single" w:sz="4" w:space="0" w:color="000000"/>
        <w:bottom w:val="single" w:sz="4" w:space="0" w:color="000000"/>
        <w:right w:val="single" w:sz="4" w:space="0" w:color="000000"/>
      </w:pBdr>
      <w:ind w:right="360"/>
      <w:rPr>
        <w:lang w:val="en-US"/>
      </w:rPr>
    </w:pPr>
    <w:hyperlink r:id="rId1">
      <w:r>
        <w:rPr>
          <w:rStyle w:val="Style1"/>
          <w:color w:val="0000FF"/>
          <w:u w:val="single"/>
          <w:lang w:val="de-DE"/>
        </w:rPr>
        <w:t>www.szpital.info.pl</w:t>
      </w:r>
    </w:hyperlink>
    <w:r>
      <w:rPr>
        <w:lang w:val="de-DE"/>
      </w:rPr>
      <w:t xml:space="preserve">            e-mail  </w:t>
    </w:r>
    <w:hyperlink r:id="rId2">
      <w:r>
        <w:rPr>
          <w:rStyle w:val="Style1"/>
          <w:color w:val="0000FF"/>
          <w:u w:val="single"/>
          <w:lang w:val="de-DE"/>
        </w:rPr>
        <w:t>szpital@szpital.info.pl</w:t>
      </w:r>
    </w:hyperlink>
    <w:r>
      <w:rPr>
        <w:lang w:val="de-DE"/>
      </w:rPr>
      <w:t xml:space="preserve">                                       </w:t>
      <w:tab/>
      <w:t xml:space="preserve"> </w:t>
    </w:r>
    <w:r>
      <w:rPr>
        <w:rStyle w:val="PageNumber"/>
        <w:lang w:val="en-US"/>
      </w:rPr>
      <w:fldChar w:fldCharType="begin"/>
    </w:r>
    <w:r>
      <w:rPr>
        <w:rStyle w:val="PageNumber"/>
        <w:lang w:val="en-US"/>
      </w:rPr>
      <w:instrText xml:space="preserve"> PAGE </w:instrText>
    </w:r>
    <w:r>
      <w:rPr>
        <w:rStyle w:val="PageNumber"/>
        <w:lang w:val="en-US"/>
      </w:rPr>
      <w:fldChar w:fldCharType="separate"/>
    </w:r>
    <w:r>
      <w:rPr>
        <w:rStyle w:val="PageNumber"/>
        <w:lang w:val="en-US"/>
      </w:rPr>
      <w:t>33</w:t>
    </w:r>
    <w:r>
      <w:rPr>
        <w:rStyle w:val="PageNumber"/>
        <w:lang w:val="en-US"/>
      </w:rPr>
      <w:fldChar w:fldCharType="end"/>
    </w:r>
  </w:p>
  <w:p>
    <w:pPr>
      <w:pStyle w:val="Footer"/>
      <w:rPr>
        <w:lang w:val="de-DE"/>
      </w:rPr>
    </w:pPr>
    <w:r>
      <w:rPr>
        <w:lang w:val="de-DE"/>
      </w:rPr>
    </w:r>
  </w:p>
  <w:p>
    <w:pPr>
      <w:pStyle w:val="Footer"/>
      <w:rPr>
        <w:lang w:val="de-DE"/>
      </w:rPr>
    </w:pPr>
    <w:r>
      <w:rPr>
        <w:lang w:val="de-DE"/>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lang w:val="de-DE"/>
      </w:rPr>
    </w:pPr>
    <w:r>
      <w:rPr>
        <w:lang w:val="de-DE"/>
      </w:rPr>
      <w:t>NIP 551-21-23-091              REGON 000805666</w:t>
    </w:r>
  </w:p>
  <w:p>
    <w:pPr>
      <w:pStyle w:val="Footer"/>
      <w:pBdr>
        <w:top w:val="single" w:sz="4" w:space="0" w:color="000000"/>
        <w:left w:val="single" w:sz="4" w:space="0" w:color="000000"/>
        <w:bottom w:val="single" w:sz="4" w:space="0" w:color="000000"/>
        <w:right w:val="single" w:sz="4" w:space="0" w:color="000000"/>
      </w:pBdr>
      <w:ind w:right="360"/>
      <w:rPr>
        <w:lang w:val="en-US"/>
      </w:rPr>
    </w:pPr>
    <w:hyperlink r:id="rId1">
      <w:r>
        <w:rPr>
          <w:rStyle w:val="Style1"/>
          <w:u w:val="single"/>
          <w:lang w:val="de-DE"/>
        </w:rPr>
        <w:t>www.szpital.info.pl</w:t>
      </w:r>
    </w:hyperlink>
    <w:r>
      <w:rPr>
        <w:lang w:val="de-DE"/>
      </w:rPr>
      <w:t xml:space="preserve">            e-mail  </w:t>
    </w:r>
    <w:hyperlink r:id="rId2">
      <w:r>
        <w:rPr>
          <w:rStyle w:val="Style1"/>
          <w:u w:val="single"/>
          <w:lang w:val="de-DE"/>
        </w:rPr>
        <w:t>szpital@szpital.info.pl</w:t>
      </w:r>
    </w:hyperlink>
    <w:r>
      <w:rPr>
        <w:lang w:val="de-DE"/>
      </w:rPr>
      <w:t xml:space="preserve">                                       </w:t>
      <w:tab/>
      <w:t xml:space="preserve"> </w:t>
    </w:r>
    <w:r>
      <w:rPr>
        <w:rStyle w:val="PageNumber"/>
        <w:lang w:val="en-US"/>
      </w:rPr>
      <w:fldChar w:fldCharType="begin"/>
    </w:r>
    <w:r>
      <w:rPr>
        <w:rStyle w:val="PageNumber"/>
        <w:lang w:val="en-US"/>
      </w:rPr>
      <w:instrText xml:space="preserve"> PAGE </w:instrText>
    </w:r>
    <w:r>
      <w:rPr>
        <w:rStyle w:val="PageNumber"/>
        <w:lang w:val="en-US"/>
      </w:rPr>
      <w:fldChar w:fldCharType="separate"/>
    </w:r>
    <w:r>
      <w:rPr>
        <w:rStyle w:val="PageNumber"/>
        <w:lang w:val="en-US"/>
      </w:rPr>
      <w:t>40</w:t>
    </w:r>
    <w:r>
      <w:rPr>
        <w:rStyle w:val="PageNumber"/>
        <w:lang w:val="en-US"/>
      </w:rPr>
      <w:fldChar w:fldCharType="end"/>
    </w:r>
  </w:p>
  <w:p>
    <w:pPr>
      <w:pStyle w:val="Footer"/>
      <w:rPr>
        <w:lang w:val="de-DE"/>
      </w:rPr>
    </w:pPr>
    <w:r>
      <w:rPr>
        <w:lang w:val="de-DE"/>
      </w:rPr>
    </w:r>
  </w:p>
  <w:p>
    <w:pPr>
      <w:pStyle w:val="Footer"/>
      <w:rPr>
        <w:lang w:val="de-DE"/>
      </w:rPr>
    </w:pPr>
    <w:r>
      <w:rPr>
        <w:lang w:val="de-DE"/>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lang w:val="de-DE"/>
      </w:rPr>
    </w:pPr>
    <w:r>
      <w:rPr>
        <w:lang w:val="de-DE"/>
      </w:rPr>
      <w:t>NIP 551-21-23-091              REGON 000805666</w:t>
    </w:r>
  </w:p>
  <w:p>
    <w:pPr>
      <w:pStyle w:val="Footer"/>
      <w:pBdr>
        <w:top w:val="single" w:sz="4" w:space="0" w:color="000000"/>
        <w:left w:val="single" w:sz="4" w:space="0" w:color="000000"/>
        <w:bottom w:val="single" w:sz="4" w:space="0" w:color="000000"/>
        <w:right w:val="single" w:sz="4" w:space="0" w:color="000000"/>
      </w:pBdr>
      <w:ind w:right="360"/>
      <w:rPr>
        <w:lang w:val="en-US"/>
      </w:rPr>
    </w:pPr>
    <w:hyperlink r:id="rId1">
      <w:r>
        <w:rPr>
          <w:rStyle w:val="Style1"/>
          <w:u w:val="single"/>
          <w:lang w:val="de-DE"/>
        </w:rPr>
        <w:t>www.szpital.info.pl</w:t>
      </w:r>
    </w:hyperlink>
    <w:r>
      <w:rPr>
        <w:lang w:val="de-DE"/>
      </w:rPr>
      <w:t xml:space="preserve">            e-mail  </w:t>
    </w:r>
    <w:hyperlink r:id="rId2">
      <w:r>
        <w:rPr>
          <w:rStyle w:val="Style1"/>
          <w:u w:val="single"/>
          <w:lang w:val="de-DE"/>
        </w:rPr>
        <w:t>szpital@szpital.info.pl</w:t>
      </w:r>
    </w:hyperlink>
    <w:r>
      <w:rPr>
        <w:lang w:val="de-DE"/>
      </w:rPr>
      <w:t xml:space="preserve">                                       </w:t>
      <w:tab/>
      <w:t xml:space="preserve"> </w:t>
    </w:r>
    <w:r>
      <w:rPr>
        <w:rStyle w:val="PageNumber"/>
        <w:lang w:val="en-US"/>
      </w:rPr>
      <w:fldChar w:fldCharType="begin"/>
    </w:r>
    <w:r>
      <w:rPr>
        <w:rStyle w:val="PageNumber"/>
        <w:lang w:val="en-US"/>
      </w:rPr>
      <w:instrText xml:space="preserve"> PAGE </w:instrText>
    </w:r>
    <w:r>
      <w:rPr>
        <w:rStyle w:val="PageNumber"/>
        <w:lang w:val="en-US"/>
      </w:rPr>
      <w:fldChar w:fldCharType="separate"/>
    </w:r>
    <w:r>
      <w:rPr>
        <w:rStyle w:val="PageNumber"/>
        <w:lang w:val="en-US"/>
      </w:rPr>
      <w:t>40</w:t>
    </w:r>
    <w:r>
      <w:rPr>
        <w:rStyle w:val="PageNumber"/>
        <w:lang w:val="en-US"/>
      </w:rPr>
      <w:fldChar w:fldCharType="end"/>
    </w:r>
  </w:p>
  <w:p>
    <w:pPr>
      <w:pStyle w:val="Footer"/>
      <w:rPr>
        <w:lang w:val="de-DE"/>
      </w:rPr>
    </w:pPr>
    <w:r>
      <w:rPr>
        <w:lang w:val="de-DE"/>
      </w:rPr>
    </w:r>
  </w:p>
  <w:p>
    <w:pPr>
      <w:pStyle w:val="Footer"/>
      <w:rPr>
        <w:lang w:val="de-DE"/>
      </w:rPr>
    </w:pPr>
    <w:r>
      <w:rPr>
        <w:lang w:val="de-DE"/>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Normalny1"/>
        <w:spacing w:lineRule="auto" w:line="240"/>
        <w:jc w:val="both"/>
        <w:rPr>
          <w:rFonts w:ascii="Times New Roman" w:hAnsi="Times New Roman" w:cs="Times New Roman"/>
          <w:sz w:val="16"/>
          <w:szCs w:val="16"/>
        </w:rPr>
      </w:pPr>
      <w:r>
        <w:rPr>
          <w:rStyle w:val="Znakiprzypiswdolnych"/>
        </w:rPr>
        <w:footnoteRef/>
      </w:r>
      <w:r>
        <w:rPr>
          <w:rFonts w:cs="Times New Roman" w:ascii="Times New Roman" w:hAnsi="Times New Roman"/>
          <w:sz w:val="16"/>
          <w:szCs w:val="16"/>
        </w:rPr>
        <w:t xml:space="preserve"> </w:t>
      </w:r>
      <w:r>
        <w:rPr>
          <w:rFonts w:cs="Times New Roman" w:ascii="Times New Roman" w:hAnsi="Times New Roman"/>
          <w:sz w:val="16"/>
          <w:szCs w:val="16"/>
        </w:rPr>
        <w:t>Rozporządzenie Prezesa Rady Ministrów z dnia 27 czerwca 2017 r. w sprawie użycia środków komunikacji elektronicznej w postępowaniu                        o udzielenie zamówienia publicznego oraz udostępniania i przechowywania dokumentów elektronicznych.</w:t>
      </w:r>
    </w:p>
  </w:footnote>
  <w:footnote w:id="3">
    <w:p>
      <w:pPr>
        <w:pStyle w:val="Footnote"/>
        <w:rPr/>
      </w:pPr>
      <w:r>
        <w:rPr>
          <w:rStyle w:val="Znakiprzypiswdolnych"/>
        </w:rPr>
        <w:footnoteRef/>
      </w:r>
      <w:r>
        <w:rPr>
          <w:sz w:val="14"/>
          <w:szCs w:val="14"/>
        </w:rPr>
        <w:tab/>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4">
    <w:p>
      <w:pPr>
        <w:pStyle w:val="Footnote"/>
        <w:rPr/>
      </w:pPr>
      <w:r>
        <w:rPr>
          <w:rStyle w:val="Znakiprzypiswdolnych"/>
        </w:rPr>
        <w:footnoteRef/>
      </w:r>
      <w:r>
        <w:rPr>
          <w:sz w:val="14"/>
          <w:szCs w:val="14"/>
        </w:rPr>
        <w:tab/>
        <w:t>Dotyczy wykonawcy, z którym zostanie zawarta umowa</w:t>
      </w:r>
    </w:p>
  </w:footnote>
  <w:footnote w:id="5">
    <w:p>
      <w:pPr>
        <w:pStyle w:val="Footnote"/>
        <w:rPr/>
      </w:pPr>
      <w:r>
        <w:rPr>
          <w:rStyle w:val="Znakiprzypiswdolnych"/>
        </w:rPr>
        <w:footnoteRef/>
      </w:r>
      <w:r>
        <w:rPr>
          <w:sz w:val="14"/>
          <w:szCs w:val="14"/>
        </w:rPr>
        <w:tab/>
        <w:t>Dotyczy wykonawcy, z którym zostanie zawarta umowa</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6"/>
      <w:tabs>
        <w:tab w:val="clear" w:pos="720"/>
        <w:tab w:val="left" w:pos="0" w:leader="none"/>
      </w:tabs>
      <w:spacing w:before="240" w:after="60"/>
      <w:rPr>
        <w:b w:val="false"/>
        <w:color w:val="EE0000"/>
        <w:sz w:val="24"/>
        <w:highlight w:val="yellow"/>
      </w:rPr>
    </w:pPr>
    <w:r>
      <w:rPr>
        <w:b w:val="false"/>
        <w:color w:val="EE0000"/>
        <w:sz w:val="24"/>
        <w:highlight w:val="yellow"/>
      </w:rPr>
      <w:drawing>
        <wp:anchor distT="0" distB="0" distL="0" distR="0" simplePos="0" relativeHeight="39" behindDoc="1" locked="0" layoutInCell="0" allowOverlap="1">
          <wp:simplePos x="0" y="0"/>
          <wp:positionH relativeFrom="column">
            <wp:posOffset>0</wp:posOffset>
          </wp:positionH>
          <wp:positionV relativeFrom="paragraph">
            <wp:posOffset>-144780</wp:posOffset>
          </wp:positionV>
          <wp:extent cx="6085840" cy="521970"/>
          <wp:effectExtent l="0" t="0" r="0" b="0"/>
          <wp:wrapSquare wrapText="largest"/>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6085840" cy="521970"/>
                  </a:xfrm>
                  <a:prstGeom prst="rect">
                    <a:avLst/>
                  </a:prstGeom>
                  <a:noFill/>
                </pic:spPr>
              </pic:pic>
            </a:graphicData>
          </a:graphic>
        </wp:anchor>
      </w:drawing>
    </w:r>
  </w:p>
  <w:p>
    <w:pPr>
      <w:pStyle w:val="Heading6"/>
      <w:tabs>
        <w:tab w:val="clear" w:pos="720"/>
        <w:tab w:val="left" w:pos="0" w:leader="none"/>
      </w:tabs>
      <w:spacing w:before="240" w:after="60"/>
      <w:rPr>
        <w:color w:val="auto"/>
        <w:highlight w:val="none"/>
        <w:shd w:fill="auto" w:val="clear"/>
      </w:rPr>
    </w:pPr>
    <w:r>
      <w:rPr>
        <w:b w:val="false"/>
        <w:color w:val="000000"/>
        <w:sz w:val="24"/>
        <w:shd w:fill="auto" w:val="clear"/>
      </w:rPr>
      <w:t>Postępowanie znak: IZP/260/7/2026</w:t>
      <w:tab/>
      <w:tab/>
      <w:tab/>
      <w:t>Andrychów dn., 21.04.2026</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6"/>
      <w:tabs>
        <w:tab w:val="clear" w:pos="720"/>
        <w:tab w:val="left" w:pos="0" w:leader="none"/>
      </w:tabs>
      <w:spacing w:before="240" w:after="60"/>
      <w:rPr>
        <w:b w:val="false"/>
        <w:color w:val="EE0000"/>
        <w:sz w:val="24"/>
        <w:highlight w:val="yellow"/>
      </w:rPr>
    </w:pPr>
    <w:r>
      <w:rPr>
        <w:b w:val="false"/>
        <w:color w:val="EE0000"/>
        <w:sz w:val="24"/>
        <w:highlight w:val="yellow"/>
      </w:rPr>
      <w:drawing>
        <wp:anchor distT="0" distB="0" distL="0" distR="0" simplePos="0" relativeHeight="39" behindDoc="1" locked="0" layoutInCell="0" allowOverlap="1">
          <wp:simplePos x="0" y="0"/>
          <wp:positionH relativeFrom="column">
            <wp:posOffset>0</wp:posOffset>
          </wp:positionH>
          <wp:positionV relativeFrom="paragraph">
            <wp:posOffset>-144780</wp:posOffset>
          </wp:positionV>
          <wp:extent cx="6085840" cy="521970"/>
          <wp:effectExtent l="0" t="0" r="0" b="0"/>
          <wp:wrapSquare wrapText="largest"/>
          <wp:docPr id="2"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1"/>
                  <a:stretch>
                    <a:fillRect/>
                  </a:stretch>
                </pic:blipFill>
                <pic:spPr bwMode="auto">
                  <a:xfrm>
                    <a:off x="0" y="0"/>
                    <a:ext cx="6085840" cy="521970"/>
                  </a:xfrm>
                  <a:prstGeom prst="rect">
                    <a:avLst/>
                  </a:prstGeom>
                  <a:noFill/>
                </pic:spPr>
              </pic:pic>
            </a:graphicData>
          </a:graphic>
        </wp:anchor>
      </w:drawing>
    </w:r>
  </w:p>
  <w:p>
    <w:pPr>
      <w:pStyle w:val="Heading6"/>
      <w:tabs>
        <w:tab w:val="clear" w:pos="720"/>
        <w:tab w:val="left" w:pos="0" w:leader="none"/>
      </w:tabs>
      <w:spacing w:before="240" w:after="60"/>
      <w:rPr>
        <w:color w:val="auto"/>
        <w:highlight w:val="none"/>
        <w:shd w:fill="auto" w:val="clear"/>
      </w:rPr>
    </w:pPr>
    <w:r>
      <w:rPr>
        <w:b w:val="false"/>
        <w:color w:val="000000"/>
        <w:sz w:val="24"/>
        <w:shd w:fill="auto" w:val="clear"/>
      </w:rPr>
      <w:t>Postępowanie znak: IZP/260/7/2026</w:t>
      <w:tab/>
      <w:tab/>
      <w:tab/>
      <w:t>Andrychów dn., 21.04.2026</w: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6"/>
      <w:tabs>
        <w:tab w:val="clear" w:pos="720"/>
        <w:tab w:val="left" w:pos="0" w:leader="none"/>
      </w:tabs>
      <w:spacing w:before="240" w:after="60"/>
      <w:rPr>
        <w:b w:val="false"/>
        <w:color w:val="EE0000"/>
        <w:sz w:val="24"/>
      </w:rPr>
    </w:pPr>
    <w:r>
      <w:rPr>
        <w:b w:val="false"/>
        <w:color w:val="EE0000"/>
        <w:sz w:val="24"/>
      </w:rPr>
      <w:drawing>
        <wp:anchor distT="0" distB="0" distL="0" distR="0" simplePos="0" relativeHeight="41" behindDoc="1" locked="0" layoutInCell="0" allowOverlap="1">
          <wp:simplePos x="0" y="0"/>
          <wp:positionH relativeFrom="column">
            <wp:posOffset>0</wp:posOffset>
          </wp:positionH>
          <wp:positionV relativeFrom="paragraph">
            <wp:posOffset>-144780</wp:posOffset>
          </wp:positionV>
          <wp:extent cx="6085840" cy="521970"/>
          <wp:effectExtent l="0" t="0" r="0" b="0"/>
          <wp:wrapSquare wrapText="largest"/>
          <wp:docPr id="3" name="Obraz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1 kopia 1"/>
                  <pic:cNvPicPr>
                    <a:picLocks noChangeAspect="1" noChangeArrowheads="1"/>
                  </pic:cNvPicPr>
                </pic:nvPicPr>
                <pic:blipFill>
                  <a:blip r:embed="rId1"/>
                  <a:stretch>
                    <a:fillRect/>
                  </a:stretch>
                </pic:blipFill>
                <pic:spPr bwMode="auto">
                  <a:xfrm>
                    <a:off x="0" y="0"/>
                    <a:ext cx="6085840" cy="521970"/>
                  </a:xfrm>
                  <a:prstGeom prst="rect">
                    <a:avLst/>
                  </a:prstGeom>
                  <a:noFill/>
                </pic:spPr>
              </pic:pic>
            </a:graphicData>
          </a:graphic>
        </wp:anchor>
      </w:drawing>
    </w:r>
  </w:p>
  <w:p>
    <w:pPr>
      <w:pStyle w:val="Heading6"/>
      <w:tabs>
        <w:tab w:val="clear" w:pos="720"/>
        <w:tab w:val="left" w:pos="0" w:leader="none"/>
      </w:tabs>
      <w:spacing w:before="240" w:after="60"/>
      <w:rPr>
        <w:color w:val="auto"/>
        <w:highlight w:val="none"/>
        <w:shd w:fill="auto" w:val="clear"/>
      </w:rPr>
    </w:pPr>
    <w:r>
      <w:rPr>
        <w:b w:val="false"/>
        <w:color w:val="000000"/>
        <w:sz w:val="24"/>
        <w:shd w:fill="auto" w:val="clear"/>
      </w:rPr>
      <w:t>Postępowanie znak: IZP/260/7/2026</w:t>
      <w:tab/>
      <w:tab/>
      <w:tab/>
      <w:tab/>
      <w:t>Andrychów dn., 21.04.2026</w: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6"/>
      <w:tabs>
        <w:tab w:val="clear" w:pos="720"/>
        <w:tab w:val="left" w:pos="0" w:leader="none"/>
      </w:tabs>
      <w:spacing w:before="240" w:after="60"/>
      <w:rPr>
        <w:b w:val="false"/>
        <w:color w:val="EE0000"/>
        <w:sz w:val="24"/>
      </w:rPr>
    </w:pPr>
    <w:r>
      <w:rPr>
        <w:b w:val="false"/>
        <w:color w:val="EE0000"/>
        <w:sz w:val="24"/>
      </w:rPr>
      <w:drawing>
        <wp:anchor distT="0" distB="0" distL="0" distR="0" simplePos="0" relativeHeight="41" behindDoc="1" locked="0" layoutInCell="0" allowOverlap="1">
          <wp:simplePos x="0" y="0"/>
          <wp:positionH relativeFrom="column">
            <wp:posOffset>0</wp:posOffset>
          </wp:positionH>
          <wp:positionV relativeFrom="paragraph">
            <wp:posOffset>-144780</wp:posOffset>
          </wp:positionV>
          <wp:extent cx="6085840" cy="521970"/>
          <wp:effectExtent l="0" t="0" r="0" b="0"/>
          <wp:wrapSquare wrapText="largest"/>
          <wp:docPr id="4" name="Obraz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1 kopia 1"/>
                  <pic:cNvPicPr>
                    <a:picLocks noChangeAspect="1" noChangeArrowheads="1"/>
                  </pic:cNvPicPr>
                </pic:nvPicPr>
                <pic:blipFill>
                  <a:blip r:embed="rId1"/>
                  <a:stretch>
                    <a:fillRect/>
                  </a:stretch>
                </pic:blipFill>
                <pic:spPr bwMode="auto">
                  <a:xfrm>
                    <a:off x="0" y="0"/>
                    <a:ext cx="6085840" cy="521970"/>
                  </a:xfrm>
                  <a:prstGeom prst="rect">
                    <a:avLst/>
                  </a:prstGeom>
                  <a:noFill/>
                </pic:spPr>
              </pic:pic>
            </a:graphicData>
          </a:graphic>
        </wp:anchor>
      </w:drawing>
    </w:r>
  </w:p>
  <w:p>
    <w:pPr>
      <w:pStyle w:val="Heading6"/>
      <w:tabs>
        <w:tab w:val="clear" w:pos="720"/>
        <w:tab w:val="left" w:pos="0" w:leader="none"/>
      </w:tabs>
      <w:spacing w:before="240" w:after="60"/>
      <w:rPr>
        <w:color w:val="auto"/>
        <w:highlight w:val="none"/>
        <w:shd w:fill="auto" w:val="clear"/>
      </w:rPr>
    </w:pPr>
    <w:r>
      <w:rPr>
        <w:b w:val="false"/>
        <w:color w:val="000000"/>
        <w:sz w:val="24"/>
        <w:shd w:fill="auto" w:val="clear"/>
      </w:rPr>
      <w:t>Postępowanie znak: IZP/260/7/2026</w:t>
      <w:tab/>
      <w:tab/>
      <w:tab/>
      <w:tab/>
      <w:t>Andrychów dn., 21.04.2026</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numFmt w:val="bullet"/>
      <w:lvlText w:val=""/>
      <w:lvlJc w:val="left"/>
      <w:pPr>
        <w:tabs>
          <w:tab w:val="num" w:pos="0"/>
        </w:tabs>
        <w:ind w:left="1069" w:hanging="360"/>
      </w:pPr>
      <w:rPr>
        <w:rFonts w:ascii="Symbol" w:hAnsi="Symbol" w:cs="Symbol" w:hint="default"/>
      </w:rPr>
    </w:lvl>
    <w:lvl w:ilvl="1">
      <w:start w:val="0"/>
      <w:numFmt w:val="bullet"/>
      <w:lvlText w:val="o"/>
      <w:lvlJc w:val="left"/>
      <w:pPr>
        <w:tabs>
          <w:tab w:val="num" w:pos="0"/>
        </w:tabs>
        <w:ind w:left="1789" w:hanging="360"/>
      </w:pPr>
      <w:rPr>
        <w:rFonts w:ascii="Courier New" w:hAnsi="Courier New" w:cs="Courier New" w:hint="default"/>
      </w:rPr>
    </w:lvl>
    <w:lvl w:ilvl="2">
      <w:start w:val="0"/>
      <w:numFmt w:val="bullet"/>
      <w:lvlText w:val=""/>
      <w:lvlJc w:val="left"/>
      <w:pPr>
        <w:tabs>
          <w:tab w:val="num" w:pos="0"/>
        </w:tabs>
        <w:ind w:left="2509" w:hanging="360"/>
      </w:pPr>
      <w:rPr>
        <w:rFonts w:ascii="Wingdings" w:hAnsi="Wingdings" w:cs="Wingdings" w:hint="default"/>
      </w:rPr>
    </w:lvl>
    <w:lvl w:ilvl="3">
      <w:start w:val="0"/>
      <w:numFmt w:val="bullet"/>
      <w:lvlText w:val=""/>
      <w:lvlJc w:val="left"/>
      <w:pPr>
        <w:tabs>
          <w:tab w:val="num" w:pos="0"/>
        </w:tabs>
        <w:ind w:left="3229" w:hanging="360"/>
      </w:pPr>
      <w:rPr>
        <w:rFonts w:ascii="Symbol" w:hAnsi="Symbol" w:cs="Symbol" w:hint="default"/>
      </w:rPr>
    </w:lvl>
    <w:lvl w:ilvl="4">
      <w:start w:val="0"/>
      <w:numFmt w:val="bullet"/>
      <w:lvlText w:val="o"/>
      <w:lvlJc w:val="left"/>
      <w:pPr>
        <w:tabs>
          <w:tab w:val="num" w:pos="0"/>
        </w:tabs>
        <w:ind w:left="3949" w:hanging="360"/>
      </w:pPr>
      <w:rPr>
        <w:rFonts w:ascii="Courier New" w:hAnsi="Courier New" w:cs="Courier New" w:hint="default"/>
      </w:rPr>
    </w:lvl>
    <w:lvl w:ilvl="5">
      <w:start w:val="0"/>
      <w:numFmt w:val="bullet"/>
      <w:lvlText w:val=""/>
      <w:lvlJc w:val="left"/>
      <w:pPr>
        <w:tabs>
          <w:tab w:val="num" w:pos="0"/>
        </w:tabs>
        <w:ind w:left="4669" w:hanging="360"/>
      </w:pPr>
      <w:rPr>
        <w:rFonts w:ascii="Wingdings" w:hAnsi="Wingdings" w:cs="Wingdings" w:hint="default"/>
      </w:rPr>
    </w:lvl>
    <w:lvl w:ilvl="6">
      <w:start w:val="0"/>
      <w:numFmt w:val="bullet"/>
      <w:lvlText w:val=""/>
      <w:lvlJc w:val="left"/>
      <w:pPr>
        <w:tabs>
          <w:tab w:val="num" w:pos="0"/>
        </w:tabs>
        <w:ind w:left="5389" w:hanging="360"/>
      </w:pPr>
      <w:rPr>
        <w:rFonts w:ascii="Symbol" w:hAnsi="Symbol" w:cs="Symbol" w:hint="default"/>
      </w:rPr>
    </w:lvl>
    <w:lvl w:ilvl="7">
      <w:start w:val="0"/>
      <w:numFmt w:val="bullet"/>
      <w:lvlText w:val="o"/>
      <w:lvlJc w:val="left"/>
      <w:pPr>
        <w:tabs>
          <w:tab w:val="num" w:pos="0"/>
        </w:tabs>
        <w:ind w:left="6109" w:hanging="360"/>
      </w:pPr>
      <w:rPr>
        <w:rFonts w:ascii="Courier New" w:hAnsi="Courier New" w:cs="Courier New" w:hint="default"/>
      </w:rPr>
    </w:lvl>
    <w:lvl w:ilvl="8">
      <w:start w:val="0"/>
      <w:numFmt w:val="bullet"/>
      <w:lvlText w:val=""/>
      <w:lvlJc w:val="left"/>
      <w:pPr>
        <w:tabs>
          <w:tab w:val="num" w:pos="0"/>
        </w:tabs>
        <w:ind w:left="6829" w:hanging="360"/>
      </w:pPr>
      <w:rPr>
        <w:rFonts w:ascii="Wingdings" w:hAnsi="Wingdings" w:cs="Wingdings" w:hint="default"/>
      </w:rPr>
    </w:lvl>
  </w:abstractNum>
  <w:abstractNum w:abstractNumId="3">
    <w:lvl w:ilvl="0">
      <w:start w:val="1"/>
      <w:numFmt w:val="decimal"/>
      <w:lvlText w:val="%1."/>
      <w:lvlJc w:val="left"/>
      <w:pPr>
        <w:tabs>
          <w:tab w:val="num" w:pos="502"/>
        </w:tabs>
        <w:ind w:left="502" w:hanging="360"/>
      </w:pPr>
      <w:rPr>
        <w:b w:val="false"/>
      </w:rPr>
    </w:lvl>
    <w:lvl w:ilvl="1">
      <w:start w:val="1"/>
      <w:numFmt w:val="decimal"/>
      <w:lvlText w:val="%2)"/>
      <w:lvlJc w:val="left"/>
      <w:pPr>
        <w:tabs>
          <w:tab w:val="num" w:pos="1440"/>
        </w:tabs>
        <w:ind w:left="1440" w:hanging="360"/>
      </w:pPr>
      <w:rPr>
        <w:sz w:val="16"/>
        <w:szCs w:val="16"/>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rFonts w:ascii="Times New Roman" w:hAnsi="Times New Roman" w:cs="Times New Roman"/>
        <w:sz w:val="16"/>
        <w:szCs w:val="16"/>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720"/>
        </w:tabs>
        <w:ind w:left="720" w:hanging="360"/>
      </w:pPr>
      <w:rPr/>
    </w:lvl>
    <w:lvl w:ilvl="1">
      <w:start w:val="1"/>
      <w:numFmt w:val="decimal"/>
      <w:lvlText w:val="%1.%2"/>
      <w:lvlJc w:val="left"/>
      <w:pPr>
        <w:tabs>
          <w:tab w:val="num" w:pos="1080"/>
        </w:tabs>
        <w:ind w:left="1080" w:hanging="360"/>
      </w:pPr>
      <w:rPr>
        <w:b w:val="false"/>
        <w:bCs w:val="false"/>
        <w:i w:val="false"/>
        <w:iCs w:val="false"/>
      </w:rPr>
    </w:lvl>
    <w:lvl w:ilvl="2">
      <w:start w:val="1"/>
      <w:numFmt w:val="decimal"/>
      <w:lvlText w:val="%1.%2.%3"/>
      <w:lvlJc w:val="left"/>
      <w:pPr>
        <w:tabs>
          <w:tab w:val="num" w:pos="1440"/>
        </w:tabs>
        <w:ind w:left="1440" w:hanging="360"/>
      </w:pPr>
      <w:rPr/>
    </w:lvl>
    <w:lvl w:ilvl="3">
      <w:start w:val="1"/>
      <w:numFmt w:val="decimal"/>
      <w:lvlText w:val="%1.%2.%3.%4"/>
      <w:lvlJc w:val="left"/>
      <w:pPr>
        <w:tabs>
          <w:tab w:val="num" w:pos="1800"/>
        </w:tabs>
        <w:ind w:left="1800" w:hanging="360"/>
      </w:pPr>
      <w:rPr/>
    </w:lvl>
    <w:lvl w:ilvl="4">
      <w:start w:val="1"/>
      <w:numFmt w:val="decimal"/>
      <w:lvlText w:val="%1.%2.%3.%4.%5"/>
      <w:lvlJc w:val="left"/>
      <w:pPr>
        <w:tabs>
          <w:tab w:val="num" w:pos="2160"/>
        </w:tabs>
        <w:ind w:left="2160" w:hanging="360"/>
      </w:pPr>
      <w:rPr/>
    </w:lvl>
    <w:lvl w:ilvl="5">
      <w:start w:val="1"/>
      <w:numFmt w:val="decimal"/>
      <w:lvlText w:val="%1.%2.%3.%4.%5.%6"/>
      <w:lvlJc w:val="left"/>
      <w:pPr>
        <w:tabs>
          <w:tab w:val="num" w:pos="2520"/>
        </w:tabs>
        <w:ind w:left="2520" w:hanging="360"/>
      </w:pPr>
      <w:rPr/>
    </w:lvl>
    <w:lvl w:ilvl="6">
      <w:start w:val="1"/>
      <w:numFmt w:val="decimal"/>
      <w:lvlText w:val="%1.%2.%3.%4.%5.%6.%7"/>
      <w:lvlJc w:val="left"/>
      <w:pPr>
        <w:tabs>
          <w:tab w:val="num" w:pos="2880"/>
        </w:tabs>
        <w:ind w:left="2880" w:hanging="360"/>
      </w:pPr>
      <w:rPr/>
    </w:lvl>
    <w:lvl w:ilvl="7">
      <w:start w:val="1"/>
      <w:numFmt w:val="decimal"/>
      <w:lvlText w:val="%1.%2.%3.%4.%5.%6.%7.%8"/>
      <w:lvlJc w:val="left"/>
      <w:pPr>
        <w:tabs>
          <w:tab w:val="num" w:pos="3240"/>
        </w:tabs>
        <w:ind w:left="3240" w:hanging="360"/>
      </w:pPr>
      <w:rPr/>
    </w:lvl>
    <w:lvl w:ilvl="8">
      <w:start w:val="1"/>
      <w:numFmt w:val="decimal"/>
      <w:lvlText w:val="%1.%2.%3.%4.%5.%6.%7.%8.%9"/>
      <w:lvlJc w:val="left"/>
      <w:pPr>
        <w:tabs>
          <w:tab w:val="num" w:pos="3600"/>
        </w:tabs>
        <w:ind w:left="3600" w:hanging="360"/>
      </w:pPr>
      <w:rPr/>
    </w:lvl>
  </w:abstractNum>
  <w:abstractNum w:abstractNumId="8">
    <w:lvl w:ilvl="0">
      <w:start w:val="1"/>
      <w:numFmt w:val="bullet"/>
      <w:lvlText w:val=""/>
      <w:lvlJc w:val="left"/>
      <w:pPr>
        <w:tabs>
          <w:tab w:val="num" w:pos="1060"/>
        </w:tabs>
        <w:ind w:left="1060" w:hanging="360"/>
      </w:pPr>
      <w:rPr>
        <w:rFonts w:ascii="Symbol" w:hAnsi="Symbol" w:cs="Symbol" w:hint="default"/>
      </w:rPr>
    </w:lvl>
    <w:lvl w:ilvl="1">
      <w:start w:val="1"/>
      <w:numFmt w:val="bullet"/>
      <w:lvlText w:val=""/>
      <w:lvlJc w:val="left"/>
      <w:pPr>
        <w:tabs>
          <w:tab w:val="num" w:pos="1420"/>
        </w:tabs>
        <w:ind w:left="1420" w:hanging="360"/>
      </w:pPr>
      <w:rPr>
        <w:rFonts w:ascii="Symbol" w:hAnsi="Symbol" w:cs="Symbol" w:hint="default"/>
      </w:rPr>
    </w:lvl>
    <w:lvl w:ilvl="2">
      <w:start w:val="1"/>
      <w:numFmt w:val="bullet"/>
      <w:lvlText w:val=""/>
      <w:lvlJc w:val="left"/>
      <w:pPr>
        <w:tabs>
          <w:tab w:val="num" w:pos="1780"/>
        </w:tabs>
        <w:ind w:left="1780" w:hanging="360"/>
      </w:pPr>
      <w:rPr>
        <w:rFonts w:ascii="Symbol" w:hAnsi="Symbol" w:cs="Symbol" w:hint="default"/>
      </w:rPr>
    </w:lvl>
    <w:lvl w:ilvl="3">
      <w:start w:val="1"/>
      <w:numFmt w:val="bullet"/>
      <w:lvlText w:val=""/>
      <w:lvlJc w:val="left"/>
      <w:pPr>
        <w:tabs>
          <w:tab w:val="num" w:pos="2140"/>
        </w:tabs>
        <w:ind w:left="2140" w:hanging="360"/>
      </w:pPr>
      <w:rPr>
        <w:rFonts w:ascii="Symbol" w:hAnsi="Symbol" w:cs="Symbol" w:hint="default"/>
      </w:rPr>
    </w:lvl>
    <w:lvl w:ilvl="4">
      <w:start w:val="1"/>
      <w:numFmt w:val="bullet"/>
      <w:lvlText w:val=""/>
      <w:lvlJc w:val="left"/>
      <w:pPr>
        <w:tabs>
          <w:tab w:val="num" w:pos="2500"/>
        </w:tabs>
        <w:ind w:left="2500" w:hanging="360"/>
      </w:pPr>
      <w:rPr>
        <w:rFonts w:ascii="Symbol" w:hAnsi="Symbol" w:cs="Symbol" w:hint="default"/>
      </w:rPr>
    </w:lvl>
    <w:lvl w:ilvl="5">
      <w:start w:val="1"/>
      <w:numFmt w:val="bullet"/>
      <w:lvlText w:val=""/>
      <w:lvlJc w:val="left"/>
      <w:pPr>
        <w:tabs>
          <w:tab w:val="num" w:pos="2860"/>
        </w:tabs>
        <w:ind w:left="2860" w:hanging="360"/>
      </w:pPr>
      <w:rPr>
        <w:rFonts w:ascii="Symbol" w:hAnsi="Symbol" w:cs="Symbol" w:hint="default"/>
      </w:rPr>
    </w:lvl>
    <w:lvl w:ilvl="6">
      <w:start w:val="1"/>
      <w:numFmt w:val="bullet"/>
      <w:lvlText w:val=""/>
      <w:lvlJc w:val="left"/>
      <w:pPr>
        <w:tabs>
          <w:tab w:val="num" w:pos="3220"/>
        </w:tabs>
        <w:ind w:left="3220" w:hanging="360"/>
      </w:pPr>
      <w:rPr>
        <w:rFonts w:ascii="Symbol" w:hAnsi="Symbol" w:cs="Symbol" w:hint="default"/>
      </w:rPr>
    </w:lvl>
    <w:lvl w:ilvl="7">
      <w:start w:val="1"/>
      <w:numFmt w:val="bullet"/>
      <w:lvlText w:val=""/>
      <w:lvlJc w:val="left"/>
      <w:pPr>
        <w:tabs>
          <w:tab w:val="num" w:pos="3580"/>
        </w:tabs>
        <w:ind w:left="3580" w:hanging="360"/>
      </w:pPr>
      <w:rPr>
        <w:rFonts w:ascii="Symbol" w:hAnsi="Symbol" w:cs="Symbol" w:hint="default"/>
      </w:rPr>
    </w:lvl>
    <w:lvl w:ilvl="8">
      <w:start w:val="1"/>
      <w:numFmt w:val="bullet"/>
      <w:lvlText w:val=""/>
      <w:lvlJc w:val="left"/>
      <w:pPr>
        <w:tabs>
          <w:tab w:val="num" w:pos="3940"/>
        </w:tabs>
        <w:ind w:left="3940" w:hanging="360"/>
      </w:pPr>
      <w:rPr>
        <w:rFonts w:ascii="Symbol" w:hAnsi="Symbol" w:cs="Symbol" w:hint="default"/>
      </w:rPr>
    </w:lvl>
  </w:abstractNum>
  <w:abstractNum w:abstractNumId="9">
    <w:lvl w:ilvl="0">
      <w:start w:val="1"/>
      <w:numFmt w:val="decimal"/>
      <w:lvlText w:val="%1"/>
      <w:lvlJc w:val="left"/>
      <w:pPr>
        <w:tabs>
          <w:tab w:val="num" w:pos="0"/>
        </w:tabs>
        <w:ind w:left="660" w:hanging="660"/>
      </w:pPr>
      <w:rPr>
        <w:i/>
      </w:rPr>
    </w:lvl>
    <w:lvl w:ilvl="1">
      <w:start w:val="4"/>
      <w:numFmt w:val="decimal"/>
      <w:lvlText w:val="%1.%2"/>
      <w:lvlJc w:val="left"/>
      <w:pPr>
        <w:tabs>
          <w:tab w:val="num" w:pos="0"/>
        </w:tabs>
        <w:ind w:left="780" w:hanging="660"/>
      </w:pPr>
      <w:rPr>
        <w:i/>
      </w:rPr>
    </w:lvl>
    <w:lvl w:ilvl="2">
      <w:start w:val="2"/>
      <w:numFmt w:val="decimal"/>
      <w:lvlText w:val="%1.%2.%3"/>
      <w:lvlJc w:val="left"/>
      <w:pPr>
        <w:tabs>
          <w:tab w:val="num" w:pos="0"/>
        </w:tabs>
        <w:ind w:left="960" w:hanging="720"/>
      </w:pPr>
      <w:rPr>
        <w:i/>
      </w:rPr>
    </w:lvl>
    <w:lvl w:ilvl="3">
      <w:start w:val="1"/>
      <w:numFmt w:val="decimal"/>
      <w:lvlText w:val="%1.%2.%3.%4"/>
      <w:lvlJc w:val="left"/>
      <w:pPr>
        <w:tabs>
          <w:tab w:val="num" w:pos="0"/>
        </w:tabs>
        <w:ind w:left="1080" w:hanging="720"/>
      </w:pPr>
      <w:rPr>
        <w:i/>
      </w:rPr>
    </w:lvl>
    <w:lvl w:ilvl="4">
      <w:start w:val="1"/>
      <w:numFmt w:val="decimal"/>
      <w:lvlText w:val="%1.%2.%3.%4.%5"/>
      <w:lvlJc w:val="left"/>
      <w:pPr>
        <w:tabs>
          <w:tab w:val="num" w:pos="0"/>
        </w:tabs>
        <w:ind w:left="1560" w:hanging="1080"/>
      </w:pPr>
      <w:rPr>
        <w:i/>
      </w:rPr>
    </w:lvl>
    <w:lvl w:ilvl="5">
      <w:start w:val="1"/>
      <w:numFmt w:val="decimal"/>
      <w:lvlText w:val="%1.%2.%3.%4.%5.%6"/>
      <w:lvlJc w:val="left"/>
      <w:pPr>
        <w:tabs>
          <w:tab w:val="num" w:pos="0"/>
        </w:tabs>
        <w:ind w:left="1680" w:hanging="1080"/>
      </w:pPr>
      <w:rPr>
        <w:i/>
      </w:rPr>
    </w:lvl>
    <w:lvl w:ilvl="6">
      <w:start w:val="1"/>
      <w:numFmt w:val="decimal"/>
      <w:lvlText w:val="%1.%2.%3.%4.%5.%6.%7"/>
      <w:lvlJc w:val="left"/>
      <w:pPr>
        <w:tabs>
          <w:tab w:val="num" w:pos="0"/>
        </w:tabs>
        <w:ind w:left="2160" w:hanging="1440"/>
      </w:pPr>
      <w:rPr>
        <w:i/>
      </w:rPr>
    </w:lvl>
    <w:lvl w:ilvl="7">
      <w:start w:val="1"/>
      <w:numFmt w:val="decimal"/>
      <w:lvlText w:val="%1.%2.%3.%4.%5.%6.%7.%8"/>
      <w:lvlJc w:val="left"/>
      <w:pPr>
        <w:tabs>
          <w:tab w:val="num" w:pos="0"/>
        </w:tabs>
        <w:ind w:left="2280" w:hanging="1440"/>
      </w:pPr>
      <w:rPr>
        <w:i/>
      </w:rPr>
    </w:lvl>
    <w:lvl w:ilvl="8">
      <w:start w:val="1"/>
      <w:numFmt w:val="decimal"/>
      <w:lvlText w:val="%1.%2.%3.%4.%5.%6.%7.%8.%9"/>
      <w:lvlJc w:val="left"/>
      <w:pPr>
        <w:tabs>
          <w:tab w:val="num" w:pos="0"/>
        </w:tabs>
        <w:ind w:left="2760" w:hanging="1800"/>
      </w:pPr>
      <w:rPr>
        <w:i/>
      </w:rPr>
    </w:lvl>
  </w:abstractNum>
  <w:abstractNum w:abstractNumId="10">
    <w:lvl w:ilvl="0">
      <w:start w:val="1"/>
      <w:numFmt w:val="decimal"/>
      <w:lvlText w:val="%1."/>
      <w:lvlJc w:val="left"/>
      <w:pPr>
        <w:tabs>
          <w:tab w:val="num" w:pos="0"/>
        </w:tabs>
        <w:ind w:left="720" w:hanging="720"/>
      </w:pPr>
      <w:rPr>
        <w:i/>
      </w:rPr>
    </w:lvl>
    <w:lvl w:ilvl="1">
      <w:start w:val="4"/>
      <w:numFmt w:val="decimal"/>
      <w:lvlText w:val="%1.%2."/>
      <w:lvlJc w:val="left"/>
      <w:pPr>
        <w:tabs>
          <w:tab w:val="num" w:pos="0"/>
        </w:tabs>
        <w:ind w:left="960" w:hanging="720"/>
      </w:pPr>
      <w:rPr>
        <w:i/>
      </w:rPr>
    </w:lvl>
    <w:lvl w:ilvl="2">
      <w:start w:val="2"/>
      <w:numFmt w:val="decimal"/>
      <w:lvlText w:val="%1.%2.%3."/>
      <w:lvlJc w:val="left"/>
      <w:pPr>
        <w:tabs>
          <w:tab w:val="num" w:pos="0"/>
        </w:tabs>
        <w:ind w:left="1200" w:hanging="720"/>
      </w:pPr>
      <w:rPr>
        <w:i/>
      </w:rPr>
    </w:lvl>
    <w:lvl w:ilvl="3">
      <w:start w:val="2"/>
      <w:numFmt w:val="decimal"/>
      <w:lvlText w:val="%1.%2.%3.%4."/>
      <w:lvlJc w:val="left"/>
      <w:pPr>
        <w:tabs>
          <w:tab w:val="num" w:pos="0"/>
        </w:tabs>
        <w:ind w:left="1440" w:hanging="720"/>
      </w:pPr>
      <w:rPr>
        <w:i/>
      </w:rPr>
    </w:lvl>
    <w:lvl w:ilvl="4">
      <w:start w:val="1"/>
      <w:numFmt w:val="decimal"/>
      <w:lvlText w:val="%1.%2.%3.%4.%5."/>
      <w:lvlJc w:val="left"/>
      <w:pPr>
        <w:tabs>
          <w:tab w:val="num" w:pos="0"/>
        </w:tabs>
        <w:ind w:left="2040" w:hanging="1080"/>
      </w:pPr>
      <w:rPr>
        <w:i/>
      </w:rPr>
    </w:lvl>
    <w:lvl w:ilvl="5">
      <w:start w:val="1"/>
      <w:numFmt w:val="decimal"/>
      <w:lvlText w:val="%1.%2.%3.%4.%5.%6."/>
      <w:lvlJc w:val="left"/>
      <w:pPr>
        <w:tabs>
          <w:tab w:val="num" w:pos="0"/>
        </w:tabs>
        <w:ind w:left="2280" w:hanging="1080"/>
      </w:pPr>
      <w:rPr>
        <w:i/>
      </w:rPr>
    </w:lvl>
    <w:lvl w:ilvl="6">
      <w:start w:val="1"/>
      <w:numFmt w:val="decimal"/>
      <w:lvlText w:val="%1.%2.%3.%4.%5.%6.%7."/>
      <w:lvlJc w:val="left"/>
      <w:pPr>
        <w:tabs>
          <w:tab w:val="num" w:pos="0"/>
        </w:tabs>
        <w:ind w:left="2880" w:hanging="1440"/>
      </w:pPr>
      <w:rPr>
        <w:i/>
      </w:rPr>
    </w:lvl>
    <w:lvl w:ilvl="7">
      <w:start w:val="1"/>
      <w:numFmt w:val="decimal"/>
      <w:lvlText w:val="%1.%2.%3.%4.%5.%6.%7.%8."/>
      <w:lvlJc w:val="left"/>
      <w:pPr>
        <w:tabs>
          <w:tab w:val="num" w:pos="0"/>
        </w:tabs>
        <w:ind w:left="3120" w:hanging="1440"/>
      </w:pPr>
      <w:rPr>
        <w:i/>
      </w:rPr>
    </w:lvl>
    <w:lvl w:ilvl="8">
      <w:start w:val="1"/>
      <w:numFmt w:val="decimal"/>
      <w:lvlText w:val="%1.%2.%3.%4.%5.%6.%7.%8.%9."/>
      <w:lvlJc w:val="left"/>
      <w:pPr>
        <w:tabs>
          <w:tab w:val="num" w:pos="0"/>
        </w:tabs>
        <w:ind w:left="3720" w:hanging="1800"/>
      </w:pPr>
      <w:rPr>
        <w:i/>
      </w:rPr>
    </w:lvl>
  </w:abstractNum>
  <w:abstractNum w:abstractNumId="11">
    <w:lvl w:ilvl="0">
      <w:start w:val="1"/>
      <w:numFmt w:val="decimal"/>
      <w:lvlText w:val="%1"/>
      <w:lvlJc w:val="left"/>
      <w:pPr>
        <w:tabs>
          <w:tab w:val="num" w:pos="720"/>
        </w:tabs>
        <w:ind w:left="720" w:hanging="360"/>
      </w:pPr>
      <w:rPr/>
    </w:lvl>
    <w:lvl w:ilvl="1">
      <w:start w:val="1"/>
      <w:numFmt w:val="decimal"/>
      <w:lvlText w:val="%1.%2"/>
      <w:lvlJc w:val="left"/>
      <w:pPr>
        <w:tabs>
          <w:tab w:val="num" w:pos="1080"/>
        </w:tabs>
        <w:ind w:left="1080" w:hanging="360"/>
      </w:pPr>
      <w:rPr/>
    </w:lvl>
    <w:lvl w:ilvl="2">
      <w:start w:val="1"/>
      <w:numFmt w:val="decimal"/>
      <w:lvlText w:val="%1.%2.%3"/>
      <w:lvlJc w:val="left"/>
      <w:pPr>
        <w:tabs>
          <w:tab w:val="num" w:pos="1440"/>
        </w:tabs>
        <w:ind w:left="1440" w:hanging="360"/>
      </w:pPr>
      <w:rPr/>
    </w:lvl>
    <w:lvl w:ilvl="3">
      <w:start w:val="1"/>
      <w:numFmt w:val="decimal"/>
      <w:lvlText w:val="%1.%2.%3.%4"/>
      <w:lvlJc w:val="left"/>
      <w:pPr>
        <w:tabs>
          <w:tab w:val="num" w:pos="1800"/>
        </w:tabs>
        <w:ind w:left="1800" w:hanging="360"/>
      </w:pPr>
      <w:rPr/>
    </w:lvl>
    <w:lvl w:ilvl="4">
      <w:start w:val="1"/>
      <w:numFmt w:val="decimal"/>
      <w:lvlText w:val="%1.%2.%3.%4.%5"/>
      <w:lvlJc w:val="left"/>
      <w:pPr>
        <w:tabs>
          <w:tab w:val="num" w:pos="2160"/>
        </w:tabs>
        <w:ind w:left="2160" w:hanging="360"/>
      </w:pPr>
      <w:rPr/>
    </w:lvl>
    <w:lvl w:ilvl="5">
      <w:start w:val="1"/>
      <w:numFmt w:val="decimal"/>
      <w:lvlText w:val="%1.%2.%3.%4.%5.%6"/>
      <w:lvlJc w:val="left"/>
      <w:pPr>
        <w:tabs>
          <w:tab w:val="num" w:pos="2520"/>
        </w:tabs>
        <w:ind w:left="2520" w:hanging="360"/>
      </w:pPr>
      <w:rPr/>
    </w:lvl>
    <w:lvl w:ilvl="6">
      <w:start w:val="1"/>
      <w:numFmt w:val="decimal"/>
      <w:lvlText w:val="%1.%2.%3.%4.%5.%6.%7"/>
      <w:lvlJc w:val="left"/>
      <w:pPr>
        <w:tabs>
          <w:tab w:val="num" w:pos="2880"/>
        </w:tabs>
        <w:ind w:left="2880" w:hanging="360"/>
      </w:pPr>
      <w:rPr/>
    </w:lvl>
    <w:lvl w:ilvl="7">
      <w:start w:val="1"/>
      <w:numFmt w:val="decimal"/>
      <w:lvlText w:val="%1.%2.%3.%4.%5.%6.%7.%8"/>
      <w:lvlJc w:val="left"/>
      <w:pPr>
        <w:tabs>
          <w:tab w:val="num" w:pos="3240"/>
        </w:tabs>
        <w:ind w:left="3240" w:hanging="360"/>
      </w:pPr>
      <w:rPr/>
    </w:lvl>
    <w:lvl w:ilvl="8">
      <w:start w:val="1"/>
      <w:numFmt w:val="decimal"/>
      <w:lvlText w:val="%1.%2.%3.%4.%5.%6.%7.%8.%9"/>
      <w:lvlJc w:val="left"/>
      <w:pPr>
        <w:tabs>
          <w:tab w:val="num" w:pos="3600"/>
        </w:tabs>
        <w:ind w:left="3600" w:hanging="360"/>
      </w:pPr>
      <w:rPr/>
    </w:lvl>
  </w:abstractNum>
  <w:abstractNum w:abstractNumId="12">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2"/>
    <w:lvlOverride w:ilvl="0">
      <w:startOverride w:val="1"/>
    </w:lvlOverride>
  </w:num>
</w:numbering>
</file>

<file path=word/settings.xml><?xml version="1.0" encoding="utf-8"?>
<w:settings xmlns:w="http://schemas.openxmlformats.org/wordprocessingml/2006/main">
  <w:zoom w:percent="120"/>
  <w:defaultTabStop w:val="720"/>
  <w:autoHyphenation w:val="true"/>
  <w:hyphenationZone w:val="425"/>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pl-PL"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53739"/>
    <w:pPr>
      <w:widowControl/>
      <w:suppressAutoHyphens w:val="false"/>
      <w:bidi w:val="0"/>
      <w:spacing w:before="0" w:after="0"/>
      <w:jc w:val="left"/>
    </w:pPr>
    <w:rPr>
      <w:rFonts w:ascii="Times New Roman" w:hAnsi="Times New Roman" w:eastAsia="Times New Roman" w:cs="Times New Roman"/>
      <w:color w:val="auto"/>
      <w:kern w:val="0"/>
      <w:sz w:val="24"/>
      <w:szCs w:val="24"/>
      <w:lang w:val="pl-PL" w:eastAsia="pl-PL" w:bidi="ar-SA"/>
    </w:rPr>
  </w:style>
  <w:style w:type="paragraph" w:styleId="Heading1">
    <w:name w:val="heading 1"/>
    <w:basedOn w:val="Standard"/>
    <w:next w:val="Standard"/>
    <w:link w:val="Nagwek1Znak"/>
    <w:uiPriority w:val="9"/>
    <w:qFormat/>
    <w:pPr>
      <w:keepNext w:val="true"/>
      <w:spacing w:before="240" w:after="60"/>
      <w:outlineLvl w:val="0"/>
    </w:pPr>
    <w:rPr>
      <w:rFonts w:ascii="Cambria" w:hAnsi="Cambria" w:eastAsia="Cambria" w:cs="Cambria"/>
      <w:b/>
      <w:bCs/>
      <w:sz w:val="32"/>
      <w:szCs w:val="32"/>
    </w:rPr>
  </w:style>
  <w:style w:type="paragraph" w:styleId="Heading2">
    <w:name w:val="heading 2"/>
    <w:basedOn w:val="Standard"/>
    <w:next w:val="Standard"/>
    <w:uiPriority w:val="9"/>
    <w:semiHidden/>
    <w:unhideWhenUsed/>
    <w:qFormat/>
    <w:pPr>
      <w:keepNext w:val="true"/>
      <w:widowControl w:val="false"/>
      <w:jc w:val="center"/>
      <w:outlineLvl w:val="1"/>
    </w:pPr>
    <w:rPr>
      <w:sz w:val="28"/>
      <w:szCs w:val="28"/>
      <w:lang w:val="de-DE"/>
    </w:rPr>
  </w:style>
  <w:style w:type="paragraph" w:styleId="Heading3">
    <w:name w:val="heading 3"/>
    <w:basedOn w:val="Standard"/>
    <w:next w:val="Standard"/>
    <w:uiPriority w:val="9"/>
    <w:semiHidden/>
    <w:unhideWhenUsed/>
    <w:qFormat/>
    <w:pPr>
      <w:keepNext w:val="true"/>
      <w:spacing w:before="240" w:after="60"/>
      <w:outlineLvl w:val="2"/>
    </w:pPr>
    <w:rPr>
      <w:rFonts w:ascii="Cambria" w:hAnsi="Cambria" w:eastAsia="Cambria" w:cs="Cambria"/>
      <w:b/>
      <w:bCs/>
      <w:sz w:val="26"/>
      <w:szCs w:val="26"/>
    </w:rPr>
  </w:style>
  <w:style w:type="paragraph" w:styleId="Heading4">
    <w:name w:val="heading 4"/>
    <w:basedOn w:val="Standard"/>
    <w:next w:val="Standard"/>
    <w:uiPriority w:val="9"/>
    <w:semiHidden/>
    <w:unhideWhenUsed/>
    <w:qFormat/>
    <w:pPr>
      <w:keepNext w:val="true"/>
      <w:widowControl w:val="false"/>
      <w:outlineLvl w:val="3"/>
    </w:pPr>
    <w:rPr>
      <w:b/>
      <w:bCs/>
      <w:sz w:val="28"/>
      <w:szCs w:val="28"/>
    </w:rPr>
  </w:style>
  <w:style w:type="paragraph" w:styleId="Heading5">
    <w:name w:val="heading 5"/>
    <w:basedOn w:val="Standard"/>
    <w:next w:val="Standard"/>
    <w:uiPriority w:val="9"/>
    <w:semiHidden/>
    <w:unhideWhenUsed/>
    <w:qFormat/>
    <w:pPr>
      <w:spacing w:before="240" w:after="60"/>
      <w:outlineLvl w:val="4"/>
    </w:pPr>
    <w:rPr>
      <w:rFonts w:ascii="Calibri" w:hAnsi="Calibri" w:eastAsia="Calibri" w:cs="Calibri"/>
      <w:b/>
      <w:bCs/>
      <w:i/>
      <w:iCs/>
      <w:sz w:val="26"/>
      <w:szCs w:val="26"/>
    </w:rPr>
  </w:style>
  <w:style w:type="paragraph" w:styleId="Heading6">
    <w:name w:val="heading 6"/>
    <w:basedOn w:val="Standard"/>
    <w:next w:val="Standard"/>
    <w:uiPriority w:val="9"/>
    <w:unhideWhenUsed/>
    <w:qFormat/>
    <w:pPr>
      <w:spacing w:before="240" w:after="60"/>
      <w:outlineLvl w:val="5"/>
    </w:pPr>
    <w:rPr>
      <w:b/>
      <w:bCs/>
      <w:sz w:val="22"/>
      <w:szCs w:val="22"/>
    </w:rPr>
  </w:style>
  <w:style w:type="paragraph" w:styleId="Heading8">
    <w:name w:val="heading 8"/>
    <w:basedOn w:val="Normal"/>
    <w:next w:val="Normal"/>
    <w:qFormat/>
    <w:pPr>
      <w:keepNext w:val="true"/>
      <w:keepLines/>
      <w:spacing w:before="40" w:after="0"/>
      <w:outlineLvl w:val="7"/>
    </w:pPr>
    <w:rPr>
      <w:rFonts w:ascii="Calibri Light" w:hAnsi="Calibri Light"/>
      <w:color w:val="272727"/>
      <w:sz w:val="21"/>
      <w:szCs w:val="19"/>
    </w:rPr>
  </w:style>
  <w:style w:type="paragraph" w:styleId="Heading9">
    <w:name w:val="heading 9"/>
    <w:basedOn w:val="Standard"/>
    <w:next w:val="Standard"/>
    <w:qFormat/>
    <w:pPr>
      <w:spacing w:before="240" w:after="60"/>
      <w:outlineLvl w:val="8"/>
    </w:pPr>
    <w:rPr>
      <w:rFonts w:ascii="Arial" w:hAnsi="Arial" w:eastAsia="Arial" w:cs="Arial"/>
      <w:sz w:val="22"/>
      <w:szCs w:val="22"/>
    </w:rPr>
  </w:style>
  <w:style w:type="character" w:styleId="DefaultParagraphFont" w:default="1">
    <w:name w:val="Default Paragraph Font"/>
    <w:uiPriority w:val="1"/>
    <w:unhideWhenUsed/>
    <w:qFormat/>
    <w:rPr/>
  </w:style>
  <w:style w:type="character" w:styleId="WW8Num1z0" w:customStyle="1">
    <w:name w:val="WW8Num1z0"/>
    <w:qFormat/>
    <w:rPr>
      <w:rFonts w:ascii="Symbol" w:hAnsi="Symbol" w:eastAsia="Symbol" w:cs="Symbol"/>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Times New Roman" w:hAnsi="Times New Roman" w:eastAsia="Times New Roman" w:cs="Times New Roman"/>
      <w:b w:val="false"/>
      <w:sz w:val="24"/>
      <w:szCs w:val="24"/>
    </w:rPr>
  </w:style>
  <w:style w:type="character" w:styleId="WW8Num3z0" w:customStyle="1">
    <w:name w:val="WW8Num3z0"/>
    <w:qFormat/>
    <w:rPr/>
  </w:style>
  <w:style w:type="character" w:styleId="WW8Num4z0" w:customStyle="1">
    <w:name w:val="WW8Num4z0"/>
    <w:qFormat/>
    <w:rPr/>
  </w:style>
  <w:style w:type="character" w:styleId="WW8Num5z0" w:customStyle="1">
    <w:name w:val="WW8Num5z0"/>
    <w:qFormat/>
    <w:rPr/>
  </w:style>
  <w:style w:type="character" w:styleId="WW8Num6z0" w:customStyle="1">
    <w:name w:val="WW8Num6z0"/>
    <w:qFormat/>
    <w:rPr>
      <w:b/>
    </w:rPr>
  </w:style>
  <w:style w:type="character" w:styleId="WW8Num7z0" w:customStyle="1">
    <w:name w:val="WW8Num7z0"/>
    <w:qFormat/>
    <w:rPr>
      <w:b/>
    </w:rPr>
  </w:style>
  <w:style w:type="character" w:styleId="WW8Num8z0" w:customStyle="1">
    <w:name w:val="WW8Num8z0"/>
    <w:qFormat/>
    <w:rPr/>
  </w:style>
  <w:style w:type="character" w:styleId="WW8Num9z0" w:customStyle="1">
    <w:name w:val="WW8Num9z0"/>
    <w:qFormat/>
    <w:rPr>
      <w:b/>
    </w:rPr>
  </w:style>
  <w:style w:type="character" w:styleId="WW8Num9z1" w:customStyle="1">
    <w:name w:val="WW8Num9z1"/>
    <w:qFormat/>
    <w:rPr>
      <w:b w:val="false"/>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0" w:customStyle="1">
    <w:name w:val="WW8Num10z0"/>
    <w:qFormat/>
    <w:rPr>
      <w:b/>
    </w:rPr>
  </w:style>
  <w:style w:type="character" w:styleId="WW8Num11z0" w:customStyle="1">
    <w:name w:val="WW8Num11z0"/>
    <w:qFormat/>
    <w:rPr/>
  </w:style>
  <w:style w:type="character" w:styleId="WW8Num12z0" w:customStyle="1">
    <w:name w:val="WW8Num12z0"/>
    <w:qFormat/>
    <w:rPr/>
  </w:style>
  <w:style w:type="character" w:styleId="WW8Num13z0" w:customStyle="1">
    <w:name w:val="WW8Num13z0"/>
    <w:qFormat/>
    <w:rPr/>
  </w:style>
  <w:style w:type="character" w:styleId="WW8Num14z0" w:customStyle="1">
    <w:name w:val="WW8Num14z0"/>
    <w:qFormat/>
    <w:rPr/>
  </w:style>
  <w:style w:type="character" w:styleId="WW8Num15z0" w:customStyle="1">
    <w:name w:val="WW8Num15z0"/>
    <w:qFormat/>
    <w:rPr/>
  </w:style>
  <w:style w:type="character" w:styleId="WW8Num16z0" w:customStyle="1">
    <w:name w:val="WW8Num16z0"/>
    <w:qFormat/>
    <w:rPr>
      <w:rFonts w:ascii="Calibri" w:hAnsi="Calibri" w:eastAsia="Calibri" w:cs="Calibri"/>
      <w:b w:val="false"/>
      <w:i w:val="false"/>
      <w:sz w:val="22"/>
      <w:szCs w:val="22"/>
    </w:rPr>
  </w:style>
  <w:style w:type="character" w:styleId="WW8Num16z2" w:customStyle="1">
    <w:name w:val="WW8Num16z2"/>
    <w:qFormat/>
    <w:rPr>
      <w:b w:val="false"/>
      <w:i w:val="false"/>
    </w:rPr>
  </w:style>
  <w:style w:type="character" w:styleId="WW8Num16z4" w:customStyle="1">
    <w:name w:val="WW8Num16z4"/>
    <w:qFormat/>
    <w:rPr/>
  </w:style>
  <w:style w:type="character" w:styleId="WW8Num17z0" w:customStyle="1">
    <w:name w:val="WW8Num17z0"/>
    <w:qFormat/>
    <w:rPr>
      <w:rFonts w:ascii="Times New Roman" w:hAnsi="Times New Roman" w:eastAsia="Times New Roman" w:cs="Times New Roman"/>
      <w:b w:val="false"/>
      <w:bCs w:val="false"/>
    </w:rPr>
  </w:style>
  <w:style w:type="character" w:styleId="WW8Num17z1" w:customStyle="1">
    <w:name w:val="WW8Num17z1"/>
    <w:qFormat/>
    <w:rPr>
      <w:rFonts w:ascii="Times New Roman" w:hAnsi="Times New Roman" w:eastAsia="Times New Roman" w:cs="Times New Roman"/>
    </w:rPr>
  </w:style>
  <w:style w:type="character" w:styleId="WW8Num17z3" w:customStyle="1">
    <w:name w:val="WW8Num17z3"/>
    <w:qFormat/>
    <w:rPr>
      <w:rFonts w:ascii="Times New Roman" w:hAnsi="Times New Roman" w:eastAsia="Calibri" w:cs="Times New Roman"/>
      <w:color w:val="000000"/>
      <w:kern w:val="2"/>
    </w:rPr>
  </w:style>
  <w:style w:type="character" w:styleId="WW8Num17z6" w:customStyle="1">
    <w:name w:val="WW8Num17z6"/>
    <w:qFormat/>
    <w:rPr>
      <w:rFonts w:ascii="Times New Roman" w:hAnsi="Times New Roman" w:eastAsia="Times New Roman" w:cs="Times New Roman"/>
      <w:sz w:val="24"/>
      <w:szCs w:val="24"/>
    </w:rPr>
  </w:style>
  <w:style w:type="character" w:styleId="WW8Num18z0" w:customStyle="1">
    <w:name w:val="WW8Num18z0"/>
    <w:qFormat/>
    <w:rPr>
      <w:rFonts w:ascii="Symbol" w:hAnsi="Symbol" w:eastAsia="Symbol" w:cs="Symbol"/>
    </w:rPr>
  </w:style>
  <w:style w:type="character" w:styleId="WW8Num18z1" w:customStyle="1">
    <w:name w:val="WW8Num18z1"/>
    <w:qFormat/>
    <w:rPr>
      <w:rFonts w:ascii="Courier New" w:hAnsi="Courier New" w:eastAsia="Courier New" w:cs="Courier New"/>
    </w:rPr>
  </w:style>
  <w:style w:type="character" w:styleId="WW8Num18z2" w:customStyle="1">
    <w:name w:val="WW8Num18z2"/>
    <w:qFormat/>
    <w:rPr>
      <w:rFonts w:ascii="Wingdings" w:hAnsi="Wingdings" w:eastAsia="Wingdings" w:cs="Wingdings"/>
    </w:rPr>
  </w:style>
  <w:style w:type="character" w:styleId="WW8Num19z0" w:customStyle="1">
    <w:name w:val="WW8Num19z0"/>
    <w:qFormat/>
    <w:rPr/>
  </w:style>
  <w:style w:type="character" w:styleId="WW8Num20z0" w:customStyle="1">
    <w:name w:val="WW8Num20z0"/>
    <w:qFormat/>
    <w:rPr>
      <w:rFonts w:ascii="Symbol" w:hAnsi="Symbol" w:eastAsia="Symbol" w:cs="Symbol"/>
    </w:rPr>
  </w:style>
  <w:style w:type="character" w:styleId="WW8Num20z1" w:customStyle="1">
    <w:name w:val="WW8Num20z1"/>
    <w:qFormat/>
    <w:rPr>
      <w:rFonts w:ascii="Courier New" w:hAnsi="Courier New" w:eastAsia="Courier New" w:cs="Courier New"/>
    </w:rPr>
  </w:style>
  <w:style w:type="character" w:styleId="WW8Num20z2" w:customStyle="1">
    <w:name w:val="WW8Num20z2"/>
    <w:qFormat/>
    <w:rPr>
      <w:rFonts w:ascii="Wingdings" w:hAnsi="Wingdings" w:eastAsia="Wingdings" w:cs="Wingdings"/>
    </w:rPr>
  </w:style>
  <w:style w:type="character" w:styleId="WW8Num21z0" w:customStyle="1">
    <w:name w:val="WW8Num21z0"/>
    <w:qFormat/>
    <w:rPr>
      <w:color w:val="000000"/>
      <w:lang w:val="cs-CZ"/>
    </w:rPr>
  </w:style>
  <w:style w:type="character" w:styleId="WW8Num21z1" w:customStyle="1">
    <w:name w:val="WW8Num21z1"/>
    <w:qFormat/>
    <w:rPr/>
  </w:style>
  <w:style w:type="character" w:styleId="WW8Num22z0" w:customStyle="1">
    <w:name w:val="WW8Num22z0"/>
    <w:qFormat/>
    <w:rPr>
      <w:rFonts w:ascii="Times New Roman" w:hAnsi="Times New Roman" w:eastAsia="TimesNewRoman, 'MS Mincho'" w:cs="Times New Roman"/>
      <w:strike w:val="false"/>
      <w:dstrike w:val="false"/>
      <w:color w:val="000000"/>
      <w:sz w:val="24"/>
      <w:szCs w:val="24"/>
      <w:lang w:eastAsia="pl-PL"/>
    </w:rPr>
  </w:style>
  <w:style w:type="character" w:styleId="WW8Num22z1" w:customStyle="1">
    <w:name w:val="WW8Num22z1"/>
    <w:qFormat/>
    <w:rPr>
      <w:rFonts w:ascii="Georgia" w:hAnsi="Georgia" w:eastAsia="Georgia" w:cs="Georgia"/>
      <w:b w:val="false"/>
      <w:bCs w:val="false"/>
      <w:i w:val="false"/>
      <w:iCs w:val="false"/>
      <w:strike w:val="false"/>
      <w:dstrike w:val="false"/>
      <w:sz w:val="20"/>
      <w:szCs w:val="20"/>
    </w:rPr>
  </w:style>
  <w:style w:type="character" w:styleId="WW8Num22z2" w:customStyle="1">
    <w:name w:val="WW8Num22z2"/>
    <w:qFormat/>
    <w:rPr>
      <w:rFonts w:ascii="Times New Roman" w:hAnsi="Times New Roman" w:eastAsia="Times New Roman" w:cs="Times New Roman"/>
    </w:rPr>
  </w:style>
  <w:style w:type="character" w:styleId="WW8Num23z0" w:customStyle="1">
    <w:name w:val="WW8Num23z0"/>
    <w:qFormat/>
    <w:rPr>
      <w:rFonts w:ascii="Times New Roman" w:hAnsi="Times New Roman" w:eastAsia="Times New Roman" w:cs="Times New Roman"/>
      <w:color w:val="000000"/>
    </w:rPr>
  </w:style>
  <w:style w:type="character" w:styleId="WW8Num23z1" w:customStyle="1">
    <w:name w:val="WW8Num23z1"/>
    <w:qFormat/>
    <w:rPr>
      <w:rFonts w:ascii="Times New Roman" w:hAnsi="Times New Roman" w:eastAsia="Times New Roman" w:cs="Times New Roman"/>
    </w:rPr>
  </w:style>
  <w:style w:type="character" w:styleId="WW8Num24z0" w:customStyle="1">
    <w:name w:val="WW8Num24z0"/>
    <w:qFormat/>
    <w:rPr>
      <w:rFonts w:ascii="Times New Roman" w:hAnsi="Times New Roman" w:eastAsia="Times New Roman" w:cs="Times New Roman"/>
      <w:b/>
      <w:bCs w:val="false"/>
      <w:sz w:val="24"/>
      <w:szCs w:val="24"/>
    </w:rPr>
  </w:style>
  <w:style w:type="character" w:styleId="WW8Num24z1" w:customStyle="1">
    <w:name w:val="WW8Num24z1"/>
    <w:qFormat/>
    <w:rPr>
      <w:b w:val="false"/>
      <w:i w:val="false"/>
    </w:rPr>
  </w:style>
  <w:style w:type="character" w:styleId="WW8Num24z4" w:customStyle="1">
    <w:name w:val="WW8Num24z4"/>
    <w:qFormat/>
    <w:rPr>
      <w:b w:val="false"/>
    </w:rPr>
  </w:style>
  <w:style w:type="character" w:styleId="WW8Num24z5" w:customStyle="1">
    <w:name w:val="WW8Num24z5"/>
    <w:qFormat/>
    <w:rPr/>
  </w:style>
  <w:style w:type="character" w:styleId="WW8Num25z0" w:customStyle="1">
    <w:name w:val="WW8Num25z0"/>
    <w:qFormat/>
    <w:rPr>
      <w:rFonts w:ascii="Times New Roman" w:hAnsi="Times New Roman" w:eastAsia="Times New Roman" w:cs="Times New Roman"/>
      <w:strike w:val="false"/>
      <w:dstrike w:val="false"/>
      <w:color w:val="000000"/>
      <w:lang w:eastAsia="pl-PL"/>
    </w:rPr>
  </w:style>
  <w:style w:type="character" w:styleId="WW8Num25z1" w:customStyle="1">
    <w:name w:val="WW8Num25z1"/>
    <w:qFormat/>
    <w:rPr>
      <w:rFonts w:ascii="Georgia" w:hAnsi="Georgia" w:eastAsia="Georgia" w:cs="Georgia"/>
      <w:b w:val="false"/>
      <w:bCs w:val="false"/>
      <w:i w:val="false"/>
      <w:iCs w:val="false"/>
      <w:strike w:val="false"/>
      <w:dstrike w:val="false"/>
      <w:sz w:val="20"/>
      <w:szCs w:val="20"/>
    </w:rPr>
  </w:style>
  <w:style w:type="character" w:styleId="WW8Num25z2" w:customStyle="1">
    <w:name w:val="WW8Num25z2"/>
    <w:qFormat/>
    <w:rPr>
      <w:rFonts w:ascii="Times New Roman" w:hAnsi="Times New Roman" w:eastAsia="Times New Roman" w:cs="Times New Roman"/>
    </w:rPr>
  </w:style>
  <w:style w:type="character" w:styleId="WW8Num26z0" w:customStyle="1">
    <w:name w:val="WW8Num26z0"/>
    <w:qFormat/>
    <w:rPr>
      <w:b/>
    </w:rPr>
  </w:style>
  <w:style w:type="character" w:styleId="WW8Num26z1" w:customStyle="1">
    <w:name w:val="WW8Num26z1"/>
    <w:qFormat/>
    <w:rPr>
      <w:b w:val="false"/>
      <w:i w:val="false"/>
    </w:rPr>
  </w:style>
  <w:style w:type="character" w:styleId="WW8Num26z4" w:customStyle="1">
    <w:name w:val="WW8Num26z4"/>
    <w:qFormat/>
    <w:rPr>
      <w:b w:val="false"/>
    </w:rPr>
  </w:style>
  <w:style w:type="character" w:styleId="WW8Num26z5" w:customStyle="1">
    <w:name w:val="WW8Num26z5"/>
    <w:qFormat/>
    <w:rPr/>
  </w:style>
  <w:style w:type="character" w:styleId="WW8Num27z0" w:customStyle="1">
    <w:name w:val="WW8Num27z0"/>
    <w:qFormat/>
    <w:rPr>
      <w:rFonts w:ascii="Georgia" w:hAnsi="Georgia" w:eastAsia="Georgia" w:cs="Georgia"/>
    </w:rPr>
  </w:style>
  <w:style w:type="character" w:styleId="WW8Num27z1" w:customStyle="1">
    <w:name w:val="WW8Num27z1"/>
    <w:qFormat/>
    <w:rPr>
      <w:rFonts w:ascii="Times New Roman" w:hAnsi="Times New Roman" w:eastAsia="Times New Roman" w:cs="Times New Roman"/>
      <w:color w:val="000000"/>
    </w:rPr>
  </w:style>
  <w:style w:type="character" w:styleId="WW8Num28z0" w:customStyle="1">
    <w:name w:val="WW8Num28z0"/>
    <w:qFormat/>
    <w:rPr>
      <w:rFonts w:ascii="Times New Roman" w:hAnsi="Times New Roman" w:eastAsia="Times New Roman" w:cs="Times New Roman"/>
      <w:color w:val="000000"/>
      <w:sz w:val="24"/>
      <w:szCs w:val="24"/>
    </w:rPr>
  </w:style>
  <w:style w:type="character" w:styleId="WW8Num29z0" w:customStyle="1">
    <w:name w:val="WW8Num29z0"/>
    <w:qFormat/>
    <w:rPr>
      <w:rFonts w:ascii="Arial" w:hAnsi="Arial" w:eastAsia="Times New Roman" w:cs="Times New Roman"/>
    </w:rPr>
  </w:style>
  <w:style w:type="character" w:styleId="WW8Num29z1" w:customStyle="1">
    <w:name w:val="WW8Num29z1"/>
    <w:qFormat/>
    <w:rPr>
      <w:rFonts w:ascii="Times New Roman" w:hAnsi="Times New Roman" w:eastAsia="Times New Roman" w:cs="Times New Roman"/>
      <w:color w:val="000000"/>
      <w:sz w:val="24"/>
      <w:szCs w:val="24"/>
      <w:lang w:eastAsia="en-US"/>
    </w:rPr>
  </w:style>
  <w:style w:type="character" w:styleId="WW8Num30z0" w:customStyle="1">
    <w:name w:val="WW8Num30z0"/>
    <w:qFormat/>
    <w:rPr>
      <w:rFonts w:ascii="Symbol" w:hAnsi="Symbol" w:eastAsia="Symbol" w:cs="Symbol"/>
    </w:rPr>
  </w:style>
  <w:style w:type="character" w:styleId="WW8Num30z1" w:customStyle="1">
    <w:name w:val="WW8Num30z1"/>
    <w:qFormat/>
    <w:rPr/>
  </w:style>
  <w:style w:type="character" w:styleId="WW8Num30z2" w:customStyle="1">
    <w:name w:val="WW8Num30z2"/>
    <w:qFormat/>
    <w:rPr/>
  </w:style>
  <w:style w:type="character" w:styleId="WW8Num30z3" w:customStyle="1">
    <w:name w:val="WW8Num30z3"/>
    <w:qFormat/>
    <w:rPr/>
  </w:style>
  <w:style w:type="character" w:styleId="WW8Num30z4" w:customStyle="1">
    <w:name w:val="WW8Num30z4"/>
    <w:qFormat/>
    <w:rPr/>
  </w:style>
  <w:style w:type="character" w:styleId="WW8Num30z5" w:customStyle="1">
    <w:name w:val="WW8Num30z5"/>
    <w:qFormat/>
    <w:rPr/>
  </w:style>
  <w:style w:type="character" w:styleId="WW8Num30z6" w:customStyle="1">
    <w:name w:val="WW8Num30z6"/>
    <w:qFormat/>
    <w:rPr/>
  </w:style>
  <w:style w:type="character" w:styleId="WW8Num30z7" w:customStyle="1">
    <w:name w:val="WW8Num30z7"/>
    <w:qFormat/>
    <w:rPr/>
  </w:style>
  <w:style w:type="character" w:styleId="WW8Num30z8" w:customStyle="1">
    <w:name w:val="WW8Num30z8"/>
    <w:qFormat/>
    <w:rPr/>
  </w:style>
  <w:style w:type="character" w:styleId="WW8Num31z0" w:customStyle="1">
    <w:name w:val="WW8Num31z0"/>
    <w:qFormat/>
    <w:rPr>
      <w:b/>
    </w:rPr>
  </w:style>
  <w:style w:type="character" w:styleId="WW8Num31z1" w:customStyle="1">
    <w:name w:val="WW8Num31z1"/>
    <w:qFormat/>
    <w:rPr/>
  </w:style>
  <w:style w:type="character" w:styleId="WW8Num31z2" w:customStyle="1">
    <w:name w:val="WW8Num31z2"/>
    <w:qFormat/>
    <w:rPr/>
  </w:style>
  <w:style w:type="character" w:styleId="WW8Num31z3" w:customStyle="1">
    <w:name w:val="WW8Num31z3"/>
    <w:qFormat/>
    <w:rPr/>
  </w:style>
  <w:style w:type="character" w:styleId="WW8Num31z4" w:customStyle="1">
    <w:name w:val="WW8Num31z4"/>
    <w:qFormat/>
    <w:rPr/>
  </w:style>
  <w:style w:type="character" w:styleId="WW8Num31z5" w:customStyle="1">
    <w:name w:val="WW8Num31z5"/>
    <w:qFormat/>
    <w:rPr/>
  </w:style>
  <w:style w:type="character" w:styleId="WW8Num31z6" w:customStyle="1">
    <w:name w:val="WW8Num31z6"/>
    <w:qFormat/>
    <w:rPr/>
  </w:style>
  <w:style w:type="character" w:styleId="WW8Num31z7" w:customStyle="1">
    <w:name w:val="WW8Num31z7"/>
    <w:qFormat/>
    <w:rPr/>
  </w:style>
  <w:style w:type="character" w:styleId="WW8Num31z8" w:customStyle="1">
    <w:name w:val="WW8Num31z8"/>
    <w:qFormat/>
    <w:rPr/>
  </w:style>
  <w:style w:type="character" w:styleId="WW8Num32z0" w:customStyle="1">
    <w:name w:val="WW8Num32z0"/>
    <w:qFormat/>
    <w:rPr>
      <w:b w:val="false"/>
      <w:bCs w:val="false"/>
      <w:sz w:val="24"/>
      <w:szCs w:val="24"/>
    </w:rPr>
  </w:style>
  <w:style w:type="character" w:styleId="WW8Num32z1" w:customStyle="1">
    <w:name w:val="WW8Num32z1"/>
    <w:qFormat/>
    <w:rPr/>
  </w:style>
  <w:style w:type="character" w:styleId="WW8Num32z2" w:customStyle="1">
    <w:name w:val="WW8Num32z2"/>
    <w:qFormat/>
    <w:rPr/>
  </w:style>
  <w:style w:type="character" w:styleId="WW8Num32z3" w:customStyle="1">
    <w:name w:val="WW8Num32z3"/>
    <w:qFormat/>
    <w:rPr/>
  </w:style>
  <w:style w:type="character" w:styleId="WW8Num32z4" w:customStyle="1">
    <w:name w:val="WW8Num32z4"/>
    <w:qFormat/>
    <w:rPr/>
  </w:style>
  <w:style w:type="character" w:styleId="WW8Num32z5" w:customStyle="1">
    <w:name w:val="WW8Num32z5"/>
    <w:qFormat/>
    <w:rPr/>
  </w:style>
  <w:style w:type="character" w:styleId="WW8Num32z6" w:customStyle="1">
    <w:name w:val="WW8Num32z6"/>
    <w:qFormat/>
    <w:rPr/>
  </w:style>
  <w:style w:type="character" w:styleId="WW8Num32z7" w:customStyle="1">
    <w:name w:val="WW8Num32z7"/>
    <w:qFormat/>
    <w:rPr/>
  </w:style>
  <w:style w:type="character" w:styleId="WW8Num32z8" w:customStyle="1">
    <w:name w:val="WW8Num32z8"/>
    <w:qFormat/>
    <w:rPr/>
  </w:style>
  <w:style w:type="character" w:styleId="WW8Num33z0" w:customStyle="1">
    <w:name w:val="WW8Num33z0"/>
    <w:qFormat/>
    <w:rPr>
      <w:rFonts w:eastAsia="Humanist777L2-RomanB"/>
      <w:sz w:val="24"/>
      <w:szCs w:val="24"/>
      <w:lang w:eastAsia="pl-PL"/>
    </w:rPr>
  </w:style>
  <w:style w:type="character" w:styleId="WW8Num34z0" w:customStyle="1">
    <w:name w:val="WW8Num34z0"/>
    <w:qFormat/>
    <w:rPr>
      <w:rFonts w:ascii="Times New Roman" w:hAnsi="Times New Roman" w:eastAsia="Times New Roman" w:cs="Times New Roman"/>
      <w:b/>
      <w:sz w:val="24"/>
      <w:szCs w:val="24"/>
    </w:rPr>
  </w:style>
  <w:style w:type="character" w:styleId="WW8Num34z1" w:customStyle="1">
    <w:name w:val="WW8Num34z1"/>
    <w:qFormat/>
    <w:rPr>
      <w:b w:val="false"/>
      <w:i w:val="false"/>
    </w:rPr>
  </w:style>
  <w:style w:type="character" w:styleId="WW8Num34z2" w:customStyle="1">
    <w:name w:val="WW8Num34z2"/>
    <w:qFormat/>
    <w:rPr>
      <w:b/>
    </w:rPr>
  </w:style>
  <w:style w:type="character" w:styleId="WW8Num34z4" w:customStyle="1">
    <w:name w:val="WW8Num34z4"/>
    <w:qFormat/>
    <w:rPr>
      <w:b w:val="false"/>
    </w:rPr>
  </w:style>
  <w:style w:type="character" w:styleId="WW8Num34z5" w:customStyle="1">
    <w:name w:val="WW8Num34z5"/>
    <w:qFormat/>
    <w:rPr/>
  </w:style>
  <w:style w:type="character" w:styleId="WW8Num35z0" w:customStyle="1">
    <w:name w:val="WW8Num35z0"/>
    <w:qFormat/>
    <w:rPr>
      <w:bCs/>
      <w:color w:val="000000"/>
    </w:rPr>
  </w:style>
  <w:style w:type="character" w:styleId="WW8Num35z1" w:customStyle="1">
    <w:name w:val="WW8Num35z1"/>
    <w:qFormat/>
    <w:rPr>
      <w:color w:val="000000"/>
    </w:rPr>
  </w:style>
  <w:style w:type="character" w:styleId="WW8Num36z0" w:customStyle="1">
    <w:name w:val="WW8Num36z0"/>
    <w:qFormat/>
    <w:rPr/>
  </w:style>
  <w:style w:type="character" w:styleId="WW8Num36z1" w:customStyle="1">
    <w:name w:val="WW8Num36z1"/>
    <w:qFormat/>
    <w:rPr/>
  </w:style>
  <w:style w:type="character" w:styleId="WW8Num36z2" w:customStyle="1">
    <w:name w:val="WW8Num36z2"/>
    <w:qFormat/>
    <w:rPr/>
  </w:style>
  <w:style w:type="character" w:styleId="WW8Num36z3" w:customStyle="1">
    <w:name w:val="WW8Num36z3"/>
    <w:qFormat/>
    <w:rPr/>
  </w:style>
  <w:style w:type="character" w:styleId="WW8Num36z4" w:customStyle="1">
    <w:name w:val="WW8Num36z4"/>
    <w:qFormat/>
    <w:rPr/>
  </w:style>
  <w:style w:type="character" w:styleId="WW8Num36z5" w:customStyle="1">
    <w:name w:val="WW8Num36z5"/>
    <w:qFormat/>
    <w:rPr/>
  </w:style>
  <w:style w:type="character" w:styleId="WW8Num36z6" w:customStyle="1">
    <w:name w:val="WW8Num36z6"/>
    <w:qFormat/>
    <w:rPr/>
  </w:style>
  <w:style w:type="character" w:styleId="WW8Num36z7" w:customStyle="1">
    <w:name w:val="WW8Num36z7"/>
    <w:qFormat/>
    <w:rPr/>
  </w:style>
  <w:style w:type="character" w:styleId="WW8Num36z8" w:customStyle="1">
    <w:name w:val="WW8Num36z8"/>
    <w:qFormat/>
    <w:rPr/>
  </w:style>
  <w:style w:type="character" w:styleId="WW8Num37z0" w:customStyle="1">
    <w:name w:val="WW8Num37z0"/>
    <w:qFormat/>
    <w:rPr>
      <w:color w:val="000000"/>
    </w:rPr>
  </w:style>
  <w:style w:type="character" w:styleId="WW8Num37z1" w:customStyle="1">
    <w:name w:val="WW8Num37z1"/>
    <w:qFormat/>
    <w:rPr/>
  </w:style>
  <w:style w:type="character" w:styleId="WW8Num38z0" w:customStyle="1">
    <w:name w:val="WW8Num38z0"/>
    <w:qFormat/>
    <w:rPr>
      <w:rFonts w:eastAsia="Times New Roman" w:cs="Times New Roman"/>
      <w:b w:val="false"/>
      <w:i w:val="false"/>
      <w:color w:val="000000"/>
    </w:rPr>
  </w:style>
  <w:style w:type="character" w:styleId="WW8Num38z1" w:customStyle="1">
    <w:name w:val="WW8Num38z1"/>
    <w:qFormat/>
    <w:rPr/>
  </w:style>
  <w:style w:type="character" w:styleId="WW8Num38z2" w:customStyle="1">
    <w:name w:val="WW8Num38z2"/>
    <w:qFormat/>
    <w:rPr/>
  </w:style>
  <w:style w:type="character" w:styleId="WW8Num38z3" w:customStyle="1">
    <w:name w:val="WW8Num38z3"/>
    <w:qFormat/>
    <w:rPr/>
  </w:style>
  <w:style w:type="character" w:styleId="WW8Num38z4" w:customStyle="1">
    <w:name w:val="WW8Num38z4"/>
    <w:qFormat/>
    <w:rPr/>
  </w:style>
  <w:style w:type="character" w:styleId="WW8Num38z5" w:customStyle="1">
    <w:name w:val="WW8Num38z5"/>
    <w:qFormat/>
    <w:rPr/>
  </w:style>
  <w:style w:type="character" w:styleId="WW8Num38z6" w:customStyle="1">
    <w:name w:val="WW8Num38z6"/>
    <w:qFormat/>
    <w:rPr/>
  </w:style>
  <w:style w:type="character" w:styleId="WW8Num38z7" w:customStyle="1">
    <w:name w:val="WW8Num38z7"/>
    <w:qFormat/>
    <w:rPr/>
  </w:style>
  <w:style w:type="character" w:styleId="WW8Num38z8" w:customStyle="1">
    <w:name w:val="WW8Num38z8"/>
    <w:qFormat/>
    <w:rPr/>
  </w:style>
  <w:style w:type="character" w:styleId="WW8Num39z0" w:customStyle="1">
    <w:name w:val="WW8Num39z0"/>
    <w:qFormat/>
    <w:rPr>
      <w:rFonts w:ascii="Times New Roman" w:hAnsi="Times New Roman" w:eastAsia="Times New Roman" w:cs="Times New Roman"/>
      <w:b/>
      <w:bCs/>
      <w:iCs/>
      <w:caps/>
      <w:sz w:val="24"/>
      <w:szCs w:val="24"/>
    </w:rPr>
  </w:style>
  <w:style w:type="character" w:styleId="WW8Num39z1" w:customStyle="1">
    <w:name w:val="WW8Num39z1"/>
    <w:qFormat/>
    <w:rPr>
      <w:b w:val="false"/>
      <w:i w:val="false"/>
    </w:rPr>
  </w:style>
  <w:style w:type="character" w:styleId="WW8Num39z2" w:customStyle="1">
    <w:name w:val="WW8Num39z2"/>
    <w:qFormat/>
    <w:rPr>
      <w:b/>
    </w:rPr>
  </w:style>
  <w:style w:type="character" w:styleId="WW8Num39z4" w:customStyle="1">
    <w:name w:val="WW8Num39z4"/>
    <w:qFormat/>
    <w:rPr>
      <w:b w:val="false"/>
    </w:rPr>
  </w:style>
  <w:style w:type="character" w:styleId="WW8Num39z5" w:customStyle="1">
    <w:name w:val="WW8Num39z5"/>
    <w:qFormat/>
    <w:rPr/>
  </w:style>
  <w:style w:type="character" w:styleId="WW8Num40z0" w:customStyle="1">
    <w:name w:val="WW8Num40z0"/>
    <w:qFormat/>
    <w:rPr>
      <w:b/>
    </w:rPr>
  </w:style>
  <w:style w:type="character" w:styleId="WW8Num40z1" w:customStyle="1">
    <w:name w:val="WW8Num40z1"/>
    <w:qFormat/>
    <w:rPr>
      <w:b w:val="false"/>
    </w:rPr>
  </w:style>
  <w:style w:type="character" w:styleId="WW8Num44z0" w:customStyle="1">
    <w:name w:val="WW8Num44z0"/>
    <w:qFormat/>
    <w:rPr>
      <w:b/>
    </w:rPr>
  </w:style>
  <w:style w:type="character" w:styleId="WW8Num44z1" w:customStyle="1">
    <w:name w:val="WW8Num44z1"/>
    <w:qFormat/>
    <w:rPr>
      <w:b w:val="false"/>
    </w:rPr>
  </w:style>
  <w:style w:type="character" w:styleId="WW8Num45z0" w:customStyle="1">
    <w:name w:val="WW8Num45z0"/>
    <w:qFormat/>
    <w:rPr>
      <w:rFonts w:ascii="Times New Roman" w:hAnsi="Times New Roman" w:eastAsia="Times New Roman" w:cs="Times New Roman"/>
      <w:b w:val="false"/>
      <w:i w:val="false"/>
      <w:sz w:val="24"/>
      <w:szCs w:val="24"/>
    </w:rPr>
  </w:style>
  <w:style w:type="character" w:styleId="WW8Num46z0" w:customStyle="1">
    <w:name w:val="WW8Num46z0"/>
    <w:qFormat/>
    <w:rPr>
      <w:b/>
    </w:rPr>
  </w:style>
  <w:style w:type="character" w:styleId="WW8Num46z1" w:customStyle="1">
    <w:name w:val="WW8Num46z1"/>
    <w:qFormat/>
    <w:rPr>
      <w:b w:val="false"/>
    </w:rPr>
  </w:style>
  <w:style w:type="character" w:styleId="WW8Num50z1" w:customStyle="1">
    <w:name w:val="WW8Num50z1"/>
    <w:qFormat/>
    <w:rPr>
      <w:b w:val="false"/>
    </w:rPr>
  </w:style>
  <w:style w:type="character" w:styleId="WW8Num51z0" w:customStyle="1">
    <w:name w:val="WW8Num51z0"/>
    <w:qFormat/>
    <w:rPr>
      <w:b/>
    </w:rPr>
  </w:style>
  <w:style w:type="character" w:styleId="WW8Num51z1" w:customStyle="1">
    <w:name w:val="WW8Num51z1"/>
    <w:qFormat/>
    <w:rPr>
      <w:b w:val="false"/>
    </w:rPr>
  </w:style>
  <w:style w:type="character" w:styleId="WW8Num52z0" w:customStyle="1">
    <w:name w:val="WW8Num52z0"/>
    <w:qFormat/>
    <w:rPr>
      <w:b w:val="false"/>
    </w:rPr>
  </w:style>
  <w:style w:type="character" w:styleId="WW8Num53z0" w:customStyle="1">
    <w:name w:val="WW8Num53z0"/>
    <w:qFormat/>
    <w:rPr>
      <w:b/>
    </w:rPr>
  </w:style>
  <w:style w:type="character" w:styleId="Domylnaczcionkaakapitu2" w:customStyle="1">
    <w:name w:val="Domyślna czcionka akapitu2"/>
    <w:qFormat/>
    <w:rPr/>
  </w:style>
  <w:style w:type="character" w:styleId="WW8Num28z1" w:customStyle="1">
    <w:name w:val="WW8Num28z1"/>
    <w:qFormat/>
    <w:rPr>
      <w:i w:val="false"/>
    </w:rPr>
  </w:style>
  <w:style w:type="character" w:styleId="Domylnaczcionkaakapitu1" w:customStyle="1">
    <w:name w:val="Domyślna czcionka akapitu1"/>
    <w:qFormat/>
    <w:rPr/>
  </w:style>
  <w:style w:type="character" w:styleId="Internetlink" w:customStyle="1">
    <w:name w:val="Internet link"/>
    <w:qFormat/>
    <w:rPr>
      <w:color w:val="0000FF"/>
      <w:u w:val="single"/>
    </w:rPr>
  </w:style>
  <w:style w:type="character" w:styleId="ZnakZnakZnak" w:customStyle="1">
    <w:name w:val="Znak Znak Znak"/>
    <w:qFormat/>
    <w:rPr>
      <w:rFonts w:ascii="Calibri" w:hAnsi="Calibri" w:eastAsia="Calibri" w:cs="Calibri"/>
      <w:b/>
      <w:bCs/>
      <w:i/>
      <w:iCs/>
      <w:sz w:val="26"/>
      <w:szCs w:val="26"/>
      <w:lang w:val="pl-PL" w:bidi="ar-SA"/>
    </w:rPr>
  </w:style>
  <w:style w:type="character" w:styleId="FontStyle38" w:customStyle="1">
    <w:name w:val="Font Style38"/>
    <w:qFormat/>
    <w:rPr>
      <w:rFonts w:ascii="Arial Unicode MS" w:hAnsi="Arial Unicode MS" w:eastAsia="Arial Unicode MS" w:cs="Arial Unicode MS"/>
      <w:sz w:val="18"/>
      <w:szCs w:val="18"/>
    </w:rPr>
  </w:style>
  <w:style w:type="character" w:styleId="FontStyle37" w:customStyle="1">
    <w:name w:val="Font Style37"/>
    <w:qFormat/>
    <w:rPr>
      <w:rFonts w:ascii="Arial Unicode MS" w:hAnsi="Arial Unicode MS" w:eastAsia="Arial Unicode MS" w:cs="Arial Unicode MS"/>
      <w:b/>
      <w:bCs/>
      <w:sz w:val="18"/>
      <w:szCs w:val="18"/>
    </w:rPr>
  </w:style>
  <w:style w:type="character" w:styleId="PageNumber">
    <w:name w:val="page number"/>
    <w:basedOn w:val="Domylnaczcionkaakapitu1"/>
    <w:qFormat/>
    <w:rPr/>
  </w:style>
  <w:style w:type="character" w:styleId="ZnakZnak" w:customStyle="1">
    <w:name w:val="Znak Znak"/>
    <w:qFormat/>
    <w:rPr>
      <w:rFonts w:ascii="Arial Narrow" w:hAnsi="Arial Narrow" w:eastAsia="Arial Narrow" w:cs="Arial Narrow"/>
      <w:sz w:val="28"/>
    </w:rPr>
  </w:style>
  <w:style w:type="character" w:styleId="WW-ZnakZnakZnak" w:customStyle="1">
    <w:name w:val="WW- Znak Znak Znak"/>
    <w:qFormat/>
    <w:rPr>
      <w:rFonts w:ascii="Cambria" w:hAnsi="Cambria" w:eastAsia="Cambria" w:cs="Cambria"/>
      <w:b/>
      <w:bCs/>
      <w:kern w:val="2"/>
      <w:sz w:val="32"/>
      <w:szCs w:val="32"/>
    </w:rPr>
  </w:style>
  <w:style w:type="character" w:styleId="Teksttreci" w:customStyle="1">
    <w:name w:val="Tekst treści_"/>
    <w:qFormat/>
    <w:rPr>
      <w:rFonts w:ascii="Arial" w:hAnsi="Arial" w:eastAsia="Arial" w:cs="Arial"/>
      <w:sz w:val="20"/>
      <w:szCs w:val="20"/>
      <w:u w:val="none"/>
    </w:rPr>
  </w:style>
  <w:style w:type="character" w:styleId="TeksttreciPogrubienie" w:customStyle="1">
    <w:name w:val="Tekst treści + Pogrubienie"/>
    <w:qFormat/>
    <w:rPr>
      <w:rFonts w:ascii="Arial" w:hAnsi="Arial" w:eastAsia="Arial" w:cs="Arial"/>
      <w:b/>
      <w:bCs/>
      <w:sz w:val="20"/>
      <w:szCs w:val="20"/>
      <w:u w:val="none"/>
    </w:rPr>
  </w:style>
  <w:style w:type="character" w:styleId="AkapitzlistZnak" w:customStyle="1">
    <w:name w:val="Akapit z listą Znak"/>
    <w:uiPriority w:val="34"/>
    <w:qFormat/>
    <w:rPr>
      <w:sz w:val="24"/>
      <w:szCs w:val="24"/>
    </w:rPr>
  </w:style>
  <w:style w:type="character" w:styleId="FontStyle32" w:customStyle="1">
    <w:name w:val="Font Style32"/>
    <w:qFormat/>
    <w:rPr>
      <w:rFonts w:ascii="Times New Roman" w:hAnsi="Times New Roman" w:eastAsia="Times New Roman" w:cs="Times New Roman"/>
      <w:sz w:val="22"/>
      <w:szCs w:val="22"/>
    </w:rPr>
  </w:style>
  <w:style w:type="character" w:styleId="FontStyle24" w:customStyle="1">
    <w:name w:val="Font Style24"/>
    <w:qFormat/>
    <w:rPr>
      <w:rFonts w:ascii="Times New Roman" w:hAnsi="Times New Roman" w:eastAsia="Times New Roman" w:cs="Times New Roman"/>
      <w:sz w:val="22"/>
      <w:szCs w:val="22"/>
    </w:rPr>
  </w:style>
  <w:style w:type="character" w:styleId="UnresolvedMention">
    <w:name w:val="Unresolved Mention"/>
    <w:qFormat/>
    <w:rPr>
      <w:color w:val="605E5C"/>
      <w:shd w:fill="E1DFDD" w:val="clear"/>
    </w:rPr>
  </w:style>
  <w:style w:type="character" w:styleId="HTML-wstpniesformatowanyZnak" w:customStyle="1">
    <w:name w:val="HTML - wstępnie sformatowany Znak"/>
    <w:basedOn w:val="DefaultParagraphFont"/>
    <w:qFormat/>
    <w:rPr>
      <w:rFonts w:ascii="Courier New" w:hAnsi="Courier New" w:eastAsia="Courier New" w:cs="Courier New"/>
    </w:rPr>
  </w:style>
  <w:style w:type="character" w:styleId="FootnoteSymbol" w:customStyle="1">
    <w:name w:val="Footnote Symbol"/>
    <w:qFormat/>
    <w:rPr/>
  </w:style>
  <w:style w:type="character" w:styleId="Znakiprzypiswdolnychuser" w:customStyle="1">
    <w:name w:val="Znaki przypisów dolnych (user)"/>
    <w:qFormat/>
    <w:rPr>
      <w:vertAlign w:val="superscript"/>
    </w:rPr>
  </w:style>
  <w:style w:type="character" w:styleId="Znakiprzypiswdolnych" w:customStyle="1">
    <w:name w:val="Znaki przypisów dolnych"/>
    <w:qFormat/>
    <w:rPr>
      <w:vertAlign w:val="superscript"/>
    </w:rPr>
  </w:style>
  <w:style w:type="character" w:styleId="FootnoteReference">
    <w:name w:val="footnote reference"/>
    <w:rPr>
      <w:vertAlign w:val="superscript"/>
    </w:rPr>
  </w:style>
  <w:style w:type="character" w:styleId="Hyperlink">
    <w:name w:val="Hyperlink"/>
    <w:basedOn w:val="DefaultParagraphFont"/>
    <w:rPr>
      <w:color w:val="0000FF"/>
      <w:u w:val="single"/>
    </w:rPr>
  </w:style>
  <w:style w:type="character" w:styleId="NagwekZnak" w:customStyle="1">
    <w:name w:val="Nagłówek Znak"/>
    <w:basedOn w:val="DefaultParagraphFont"/>
    <w:qFormat/>
    <w:rPr>
      <w:szCs w:val="21"/>
    </w:rPr>
  </w:style>
  <w:style w:type="character" w:styleId="StopkaZnak" w:customStyle="1">
    <w:name w:val="Stopka Znak"/>
    <w:basedOn w:val="DefaultParagraphFont"/>
    <w:qFormat/>
    <w:rPr>
      <w:szCs w:val="21"/>
    </w:rPr>
  </w:style>
  <w:style w:type="character" w:styleId="Nagwek8Znak" w:customStyle="1">
    <w:name w:val="Nagłówek 8 Znak"/>
    <w:basedOn w:val="DefaultParagraphFont"/>
    <w:qFormat/>
    <w:rPr>
      <w:rFonts w:ascii="Calibri Light" w:hAnsi="Calibri Light" w:eastAsia="Times New Roman"/>
      <w:color w:val="272727"/>
      <w:sz w:val="21"/>
      <w:szCs w:val="19"/>
    </w:rPr>
  </w:style>
  <w:style w:type="character" w:styleId="TekstpodstawowywcityZnak" w:customStyle="1">
    <w:name w:val="Tekst podstawowy wcięty Znak"/>
    <w:basedOn w:val="DefaultParagraphFont"/>
    <w:uiPriority w:val="99"/>
    <w:qFormat/>
    <w:rsid w:val="005611a7"/>
    <w:rPr>
      <w:szCs w:val="21"/>
    </w:rPr>
  </w:style>
  <w:style w:type="character" w:styleId="markedcontent" w:customStyle="1">
    <w:name w:val="markedcontent"/>
    <w:basedOn w:val="DefaultParagraphFont"/>
    <w:qFormat/>
    <w:rsid w:val="009c6e96"/>
    <w:rPr/>
  </w:style>
  <w:style w:type="character" w:styleId="TekstpodstawowyZnak" w:customStyle="1">
    <w:name w:val="Tekst podstawowy Znak"/>
    <w:basedOn w:val="DefaultParagraphFont"/>
    <w:link w:val="Textbody"/>
    <w:uiPriority w:val="99"/>
    <w:semiHidden/>
    <w:qFormat/>
    <w:rsid w:val="00ce7c4e"/>
    <w:rPr>
      <w:szCs w:val="21"/>
    </w:rPr>
  </w:style>
  <w:style w:type="character" w:styleId="ZwykytekstZnak" w:customStyle="1">
    <w:name w:val="Zwykły tekst Znak"/>
    <w:basedOn w:val="DefaultParagraphFont"/>
    <w:link w:val="PlainText"/>
    <w:qFormat/>
    <w:rsid w:val="00ce7c4e"/>
    <w:rPr>
      <w:rFonts w:ascii="Courier New" w:hAnsi="Courier New" w:eastAsia="Times New Roman" w:cs="Courier New"/>
      <w:kern w:val="0"/>
      <w:sz w:val="20"/>
      <w:szCs w:val="20"/>
      <w:lang w:eastAsia="pl-PL" w:bidi="ar-SA"/>
    </w:rPr>
  </w:style>
  <w:style w:type="character" w:styleId="Nagwek1Znak" w:customStyle="1">
    <w:name w:val="Nagłówek 1 Znak"/>
    <w:basedOn w:val="DefaultParagraphFont"/>
    <w:uiPriority w:val="9"/>
    <w:qFormat/>
    <w:rsid w:val="004900ca"/>
    <w:rPr>
      <w:rFonts w:ascii="Cambria" w:hAnsi="Cambria" w:eastAsia="Cambria" w:cs="Cambria"/>
      <w:b/>
      <w:bCs/>
      <w:sz w:val="32"/>
      <w:szCs w:val="32"/>
      <w:lang w:bidi="ar-SA"/>
    </w:rPr>
  </w:style>
  <w:style w:type="character" w:styleId="pktZnak" w:customStyle="1">
    <w:name w:val="pkt Znak"/>
    <w:link w:val="pkt"/>
    <w:qFormat/>
    <w:locked/>
    <w:rsid w:val="001c4bf4"/>
    <w:rPr>
      <w:rFonts w:ascii="Times New Roman" w:hAnsi="Times New Roman" w:cs="Times New Roman"/>
      <w:kern w:val="0"/>
      <w:szCs w:val="20"/>
      <w:lang w:eastAsia="pl-PL" w:bidi="ar-SA"/>
    </w:rPr>
  </w:style>
  <w:style w:type="character" w:styleId="Pogrubienie1" w:customStyle="1">
    <w:name w:val="Pogrubienie1"/>
    <w:qFormat/>
    <w:rsid w:val="00707f80"/>
    <w:rPr>
      <w:b/>
      <w:bCs/>
    </w:rPr>
  </w:style>
  <w:style w:type="character" w:styleId="Teksttreci7" w:customStyle="1">
    <w:name w:val="Tekst treści (7)_"/>
    <w:basedOn w:val="DefaultParagraphFont"/>
    <w:link w:val="Teksttreci71"/>
    <w:uiPriority w:val="99"/>
    <w:qFormat/>
    <w:rsid w:val="00df15d5"/>
    <w:rPr>
      <w:rFonts w:ascii="Calibri" w:hAnsi="Calibri" w:cs="Calibri"/>
      <w:sz w:val="21"/>
      <w:szCs w:val="21"/>
      <w:shd w:fill="FFFFFF" w:val="clear"/>
    </w:rPr>
  </w:style>
  <w:style w:type="character" w:styleId="CommentReference">
    <w:name w:val="annotation reference"/>
    <w:basedOn w:val="DefaultParagraphFont"/>
    <w:uiPriority w:val="99"/>
    <w:semiHidden/>
    <w:unhideWhenUsed/>
    <w:qFormat/>
    <w:rsid w:val="00093096"/>
    <w:rPr>
      <w:sz w:val="16"/>
      <w:szCs w:val="16"/>
    </w:rPr>
  </w:style>
  <w:style w:type="character" w:styleId="TekstkomentarzaZnak" w:customStyle="1">
    <w:name w:val="Tekst komentarza Znak"/>
    <w:basedOn w:val="DefaultParagraphFont"/>
    <w:link w:val="CommentText"/>
    <w:uiPriority w:val="99"/>
    <w:semiHidden/>
    <w:qFormat/>
    <w:rsid w:val="00093096"/>
    <w:rPr>
      <w:sz w:val="20"/>
      <w:szCs w:val="18"/>
    </w:rPr>
  </w:style>
  <w:style w:type="character" w:styleId="TematkomentarzaZnak" w:customStyle="1">
    <w:name w:val="Temat komentarza Znak"/>
    <w:basedOn w:val="TekstkomentarzaZnak"/>
    <w:link w:val="annotationsubject"/>
    <w:uiPriority w:val="99"/>
    <w:semiHidden/>
    <w:qFormat/>
    <w:rsid w:val="00093096"/>
    <w:rPr>
      <w:b/>
      <w:bCs/>
      <w:sz w:val="20"/>
      <w:szCs w:val="18"/>
    </w:rPr>
  </w:style>
  <w:style w:type="character" w:styleId="Znakiprzypiswkocowychuser" w:customStyle="1">
    <w:name w:val="Znaki przypisów końcowych (user)"/>
    <w:qFormat/>
    <w:rPr>
      <w:vertAlign w:val="superscript"/>
    </w:rPr>
  </w:style>
  <w:style w:type="character" w:styleId="Znakiprzypiswkocowych" w:customStyle="1">
    <w:name w:val="Znaki przypisów końcowych"/>
    <w:qFormat/>
    <w:rPr>
      <w:vertAlign w:val="superscript"/>
    </w:rPr>
  </w:style>
  <w:style w:type="character" w:styleId="EndnoteReference">
    <w:name w:val="endnote reference"/>
    <w:rPr>
      <w:vertAlign w:val="superscript"/>
    </w:rPr>
  </w:style>
  <w:style w:type="character" w:styleId="Znakiwypunktowaniauser" w:customStyle="1">
    <w:name w:val="Znaki wypunktowania (user)"/>
    <w:qFormat/>
    <w:rPr>
      <w:rFonts w:ascii="OpenSymbol" w:hAnsi="OpenSymbol" w:eastAsia="OpenSymbol" w:cs="OpenSymbol"/>
    </w:rPr>
  </w:style>
  <w:style w:type="character" w:styleId="WWCharLFO4LVL1" w:customStyle="1">
    <w:name w:val="WW_CharLFO4LVL1"/>
    <w:qFormat/>
    <w:rPr>
      <w:rFonts w:ascii="Calibri Light" w:hAnsi="Calibri Light" w:eastAsia="Times New Roman" w:cs="Calibri Light"/>
    </w:rPr>
  </w:style>
  <w:style w:type="character" w:styleId="WWCharLFO5LVL1" w:customStyle="1">
    <w:name w:val="WW_CharLFO5LVL1"/>
    <w:qFormat/>
    <w:rPr>
      <w:rFonts w:ascii="Calibri Light" w:hAnsi="Calibri Light" w:cs="Calibri Light"/>
    </w:rPr>
  </w:style>
  <w:style w:type="character" w:styleId="WWCharLFO5LVL2" w:customStyle="1">
    <w:name w:val="WW_CharLFO5LVL2"/>
    <w:qFormat/>
    <w:rPr>
      <w:rFonts w:ascii="Calibri Light" w:hAnsi="Calibri Light" w:eastAsia="Times New Roman" w:cs="Calibri Light"/>
    </w:rPr>
  </w:style>
  <w:style w:type="character" w:styleId="WWCharLFO7LVL2" w:customStyle="1">
    <w:name w:val="WW_CharLFO7LVL2"/>
    <w:qFormat/>
    <w:rPr>
      <w:rFonts w:ascii="Calibri Light" w:hAnsi="Calibri Light" w:eastAsia="Times New Roman" w:cs="Calibri Light"/>
    </w:rPr>
  </w:style>
  <w:style w:type="character" w:styleId="WWCharLFO15LVL1" w:customStyle="1">
    <w:name w:val="WW_CharLFO15LVL1"/>
    <w:qFormat/>
    <w:rPr>
      <w:rFonts w:ascii="Calibri" w:hAnsi="Calibri" w:eastAsia="Times New Roman" w:cs="Calibri"/>
    </w:rPr>
  </w:style>
  <w:style w:type="character" w:styleId="WWCharLFO16LVL1" w:customStyle="1">
    <w:name w:val="WW_CharLFO16LVL1"/>
    <w:qFormat/>
    <w:rPr>
      <w:rFonts w:ascii="Calibri Light" w:hAnsi="Calibri Light" w:eastAsia="Calibri" w:cs="Calibri Light"/>
    </w:rPr>
  </w:style>
  <w:style w:type="character" w:styleId="WWCharLFO20LVL2" w:customStyle="1">
    <w:name w:val="WW_CharLFO20LVL2"/>
    <w:qFormat/>
    <w:rPr>
      <w:rFonts w:ascii="Calibri Light" w:hAnsi="Calibri Light" w:cs="Calibri Light"/>
    </w:rPr>
  </w:style>
  <w:style w:type="character" w:styleId="TekstpodstawowyZnak1" w:customStyle="1">
    <w:name w:val="Tekst podstawowy Znak1"/>
    <w:basedOn w:val="DefaultParagraphFont"/>
    <w:link w:val="Textbody1"/>
    <w:uiPriority w:val="99"/>
    <w:semiHidden/>
    <w:qFormat/>
    <w:rsid w:val="00514987"/>
    <w:rPr>
      <w:szCs w:val="21"/>
    </w:rPr>
  </w:style>
  <w:style w:type="character" w:styleId="Znakinumeracjiuser" w:customStyle="1">
    <w:name w:val="Znaki numeracji (user)"/>
    <w:qFormat/>
    <w:rPr/>
  </w:style>
  <w:style w:type="character" w:styleId="Znakinumeracji" w:customStyle="1">
    <w:name w:val="Znaki numeracji"/>
    <w:qFormat/>
    <w:rPr/>
  </w:style>
  <w:style w:type="character" w:styleId="Znakiwypunktowania" w:customStyle="1">
    <w:name w:val="Znaki wypunktowania"/>
    <w:qFormat/>
    <w:rPr>
      <w:rFonts w:ascii="OpenSymbol" w:hAnsi="OpenSymbol" w:eastAsia="OpenSymbol" w:cs="OpenSymbol"/>
    </w:rPr>
  </w:style>
  <w:style w:type="character" w:styleId="Strong">
    <w:name w:val="Strong"/>
    <w:qFormat/>
    <w:rPr>
      <w:b/>
      <w:bCs/>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99"/>
    <w:semiHidden/>
    <w:unhideWhenUsed/>
    <w:rsid w:val="00514987"/>
    <w:pPr>
      <w:spacing w:before="0" w:after="120"/>
    </w:pPr>
    <w:rPr>
      <w:szCs w:val="21"/>
    </w:rPr>
  </w:style>
  <w:style w:type="paragraph" w:styleId="List">
    <w:name w:val="List"/>
    <w:basedOn w:val="Textbody"/>
    <w:pPr/>
    <w:rPr>
      <w:rFonts w:cs="Tahoma"/>
    </w:rPr>
  </w:style>
  <w:style w:type="paragraph" w:styleId="Caption">
    <w:name w:val="caption"/>
    <w:basedOn w:val="Standard"/>
    <w:qFormat/>
    <w:pPr>
      <w:suppressLineNumbers/>
      <w:spacing w:before="120" w:after="120"/>
    </w:pPr>
    <w:rPr>
      <w:rFonts w:cs="Mangal"/>
      <w:i/>
      <w:iCs/>
    </w:rPr>
  </w:style>
  <w:style w:type="paragraph" w:styleId="Indeks" w:customStyle="1">
    <w:name w:val="Indeks"/>
    <w:basedOn w:val="Normal"/>
    <w:qFormat/>
    <w:pPr>
      <w:suppressLineNumbers/>
    </w:pPr>
    <w:rPr>
      <w:rFonts w:cs="Arial"/>
    </w:rPr>
  </w:style>
  <w:style w:type="paragraph" w:styleId="Nagwekuser" w:customStyle="1">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customStyle="1">
    <w:name w:val="Indeks (user)"/>
    <w:basedOn w:val="Standard"/>
    <w:qFormat/>
    <w:pPr>
      <w:suppressLineNumbers/>
    </w:pPr>
    <w:rPr>
      <w:rFonts w:cs="Tahoma"/>
    </w:rPr>
  </w:style>
  <w:style w:type="paragraph" w:styleId="Gwkaistopkauser" w:customStyle="1">
    <w:name w:val="Główka i stopka (user)"/>
    <w:basedOn w:val="Standard"/>
    <w:qFormat/>
    <w:pPr>
      <w:suppressLineNumbers/>
      <w:tabs>
        <w:tab w:val="clear" w:pos="720"/>
        <w:tab w:val="center" w:pos="4819" w:leader="none"/>
        <w:tab w:val="right" w:pos="9638" w:leader="none"/>
      </w:tabs>
    </w:pPr>
    <w:rPr/>
  </w:style>
  <w:style w:type="paragraph" w:styleId="Gwkaistopka" w:customStyle="1">
    <w:name w:val="Główka i stopka"/>
    <w:basedOn w:val="Normal"/>
    <w:qFormat/>
    <w:pPr/>
    <w:rPr/>
  </w:style>
  <w:style w:type="paragraph" w:styleId="Header">
    <w:name w:val="header"/>
    <w:basedOn w:val="Gwkaistopkauser"/>
    <w:next w:val="BodyText"/>
    <w:pPr/>
    <w:rPr/>
  </w:style>
  <w:style w:type="paragraph" w:styleId="Nagwek1" w:customStyle="1">
    <w:name w:val="Nagłówek1"/>
    <w:basedOn w:val="Gwkaistopkauser"/>
    <w:next w:val="Textbody"/>
    <w:qFormat/>
    <w:pPr>
      <w:keepNext w:val="true"/>
      <w:spacing w:before="240" w:after="120"/>
    </w:pPr>
    <w:rPr>
      <w:rFonts w:ascii="Arial" w:hAnsi="Arial" w:eastAsia="Lucida Sans Unicode" w:cs="Tahoma"/>
      <w:sz w:val="28"/>
      <w:szCs w:val="28"/>
    </w:rPr>
  </w:style>
  <w:style w:type="paragraph" w:styleId="Tekstpodstawowy1" w:customStyle="1">
    <w:name w:val="Tekst podstawowy1"/>
    <w:basedOn w:val="Normal"/>
    <w:qFormat/>
    <w:rsid w:val="004900ca"/>
    <w:pPr>
      <w:spacing w:lineRule="atLeast" w:line="100" w:before="0" w:after="120"/>
    </w:pPr>
    <w:rPr>
      <w:rFonts w:ascii="Verdana" w:hAnsi="Verdana" w:cs="Verdana"/>
      <w:color w:val="000000"/>
    </w:rPr>
  </w:style>
  <w:style w:type="paragraph" w:styleId="Standard" w:customStyle="1">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pl-PL" w:eastAsia="zh-CN" w:bidi="ar-SA"/>
    </w:rPr>
  </w:style>
  <w:style w:type="paragraph" w:styleId="Textbody" w:customStyle="1">
    <w:name w:val="Text body"/>
    <w:basedOn w:val="Normal"/>
    <w:link w:val="TekstpodstawowyZnak"/>
    <w:qFormat/>
    <w:rsid w:val="00ec4436"/>
    <w:pPr>
      <w:jc w:val="both"/>
    </w:pPr>
    <w:rPr/>
  </w:style>
  <w:style w:type="paragraph" w:styleId="Nagwek2" w:customStyle="1">
    <w:name w:val="Nagłówek2"/>
    <w:basedOn w:val="Standard"/>
    <w:next w:val="Textbody"/>
    <w:qFormat/>
    <w:pPr>
      <w:keepNext w:val="true"/>
      <w:spacing w:before="240" w:after="120"/>
    </w:pPr>
    <w:rPr>
      <w:rFonts w:ascii="Arial" w:hAnsi="Arial" w:eastAsia="Lucida Sans Unicode" w:cs="Tahoma"/>
      <w:sz w:val="28"/>
      <w:szCs w:val="28"/>
    </w:rPr>
  </w:style>
  <w:style w:type="paragraph" w:styleId="Podpis2" w:customStyle="1">
    <w:name w:val="Podpis2"/>
    <w:basedOn w:val="Standard"/>
    <w:qFormat/>
    <w:pPr>
      <w:suppressLineNumbers/>
      <w:spacing w:before="120" w:after="120"/>
    </w:pPr>
    <w:rPr>
      <w:rFonts w:cs="Tahoma"/>
      <w:i/>
      <w:iCs/>
    </w:rPr>
  </w:style>
  <w:style w:type="paragraph" w:styleId="Podpis1" w:customStyle="1">
    <w:name w:val="Podpis1"/>
    <w:basedOn w:val="Standard"/>
    <w:qFormat/>
    <w:pPr>
      <w:suppressLineNumbers/>
      <w:spacing w:before="120" w:after="120"/>
    </w:pPr>
    <w:rPr>
      <w:rFonts w:cs="Tahoma"/>
      <w:i/>
      <w:iCs/>
    </w:rPr>
  </w:style>
  <w:style w:type="paragraph" w:styleId="NormalWeb">
    <w:name w:val="Normal (Web)"/>
    <w:basedOn w:val="Normal"/>
    <w:qFormat/>
    <w:pPr/>
    <w:rPr/>
  </w:style>
  <w:style w:type="paragraph" w:styleId="Subtitle">
    <w:name w:val="Subtitle"/>
    <w:basedOn w:val="Nagwek1"/>
    <w:next w:val="Textbody"/>
    <w:uiPriority w:val="11"/>
    <w:qFormat/>
    <w:pPr>
      <w:jc w:val="center"/>
    </w:pPr>
    <w:rPr>
      <w:i/>
      <w:iCs/>
    </w:rPr>
  </w:style>
  <w:style w:type="paragraph" w:styleId="Bullet1" w:customStyle="1">
    <w:name w:val="Bullet 1"/>
    <w:qFormat/>
    <w:pPr>
      <w:widowControl/>
      <w:suppressAutoHyphens w:val="true"/>
      <w:bidi w:val="0"/>
      <w:spacing w:before="0" w:after="0"/>
      <w:ind w:left="576"/>
      <w:jc w:val="both"/>
      <w:textAlignment w:val="baseline"/>
    </w:pPr>
    <w:rPr>
      <w:rFonts w:ascii="Times New Roman" w:hAnsi="Times New Roman" w:eastAsia="Times New Roman" w:cs="Times New Roman"/>
      <w:b/>
      <w:smallCaps/>
      <w:color w:val="000000"/>
      <w:kern w:val="2"/>
      <w:sz w:val="20"/>
      <w:szCs w:val="20"/>
      <w:lang w:val="cs-CZ" w:eastAsia="zh-CN" w:bidi="ar-SA"/>
    </w:rPr>
  </w:style>
  <w:style w:type="paragraph" w:styleId="Tekstpodstawowy31" w:customStyle="1">
    <w:name w:val="Tekst podstawowy 31"/>
    <w:basedOn w:val="Standard"/>
    <w:qFormat/>
    <w:pPr>
      <w:spacing w:before="0" w:after="120"/>
    </w:pPr>
    <w:rPr>
      <w:sz w:val="16"/>
      <w:szCs w:val="16"/>
    </w:rPr>
  </w:style>
  <w:style w:type="paragraph" w:styleId="Style20" w:customStyle="1">
    <w:name w:val="Style20"/>
    <w:basedOn w:val="Standard"/>
    <w:qFormat/>
    <w:pPr>
      <w:widowControl w:val="false"/>
      <w:spacing w:lineRule="exact" w:line="253"/>
      <w:ind w:hanging="250"/>
      <w:jc w:val="both"/>
    </w:pPr>
    <w:rPr/>
  </w:style>
  <w:style w:type="paragraph" w:styleId="Style29" w:customStyle="1">
    <w:name w:val="Style29"/>
    <w:basedOn w:val="Standard"/>
    <w:qFormat/>
    <w:pPr>
      <w:widowControl w:val="false"/>
      <w:spacing w:lineRule="exact" w:line="254"/>
      <w:ind w:hanging="283"/>
    </w:pPr>
    <w:rPr/>
  </w:style>
  <w:style w:type="paragraph" w:styleId="Tekstpodstawowywcity31" w:customStyle="1">
    <w:name w:val="Tekst podstawowy wcięty 31"/>
    <w:basedOn w:val="Standard"/>
    <w:qFormat/>
    <w:pPr>
      <w:ind w:firstLine="708" w:left="426"/>
      <w:jc w:val="both"/>
    </w:pPr>
    <w:rPr>
      <w:szCs w:val="20"/>
    </w:rPr>
  </w:style>
  <w:style w:type="paragraph" w:styleId="Footer">
    <w:name w:val="footer"/>
    <w:basedOn w:val="Normal"/>
    <w:pPr>
      <w:tabs>
        <w:tab w:val="clear" w:pos="720"/>
        <w:tab w:val="center" w:pos="4536" w:leader="none"/>
        <w:tab w:val="right" w:pos="9072" w:leader="none"/>
      </w:tabs>
    </w:pPr>
    <w:rPr>
      <w:szCs w:val="21"/>
    </w:rPr>
  </w:style>
  <w:style w:type="paragraph" w:styleId="NumberList" w:customStyle="1">
    <w:name w:val="Number List"/>
    <w:qFormat/>
    <w:pPr>
      <w:widowControl/>
      <w:suppressAutoHyphens w:val="true"/>
      <w:bidi w:val="0"/>
      <w:spacing w:before="0" w:after="0"/>
      <w:ind w:left="432"/>
      <w:jc w:val="both"/>
      <w:textAlignment w:val="baseline"/>
    </w:pPr>
    <w:rPr>
      <w:rFonts w:ascii="Times New Roman" w:hAnsi="Times New Roman" w:eastAsia="Times New Roman" w:cs="Times New Roman"/>
      <w:color w:val="000000"/>
      <w:kern w:val="2"/>
      <w:sz w:val="24"/>
      <w:szCs w:val="20"/>
      <w:lang w:val="cs-CZ" w:eastAsia="zh-CN" w:bidi="ar-SA"/>
    </w:rPr>
  </w:style>
  <w:style w:type="paragraph" w:styleId="ListParagraph">
    <w:name w:val="List Paragraph"/>
    <w:basedOn w:val="Normal"/>
    <w:uiPriority w:val="34"/>
    <w:qFormat/>
    <w:pPr>
      <w:ind w:left="720"/>
    </w:pPr>
    <w:rPr/>
  </w:style>
  <w:style w:type="paragraph" w:styleId="Teksttreci1" w:customStyle="1">
    <w:name w:val="Tekst treści1"/>
    <w:basedOn w:val="Standard"/>
    <w:qFormat/>
    <w:pPr>
      <w:widowControl w:val="false"/>
      <w:shd w:val="clear" w:color="auto" w:fill="FFFFFF"/>
      <w:spacing w:lineRule="exact" w:line="266" w:before="180" w:after="0"/>
      <w:ind w:hanging="1420"/>
      <w:jc w:val="right"/>
    </w:pPr>
    <w:rPr>
      <w:rFonts w:ascii="Arial" w:hAnsi="Arial" w:eastAsia="Courier New" w:cs="Arial"/>
      <w:sz w:val="20"/>
      <w:szCs w:val="20"/>
    </w:rPr>
  </w:style>
  <w:style w:type="paragraph" w:styleId="BalloonText">
    <w:name w:val="Balloon Text"/>
    <w:basedOn w:val="Standard"/>
    <w:qFormat/>
    <w:pPr/>
    <w:rPr>
      <w:rFonts w:ascii="Tahoma" w:hAnsi="Tahoma" w:eastAsia="Tahoma" w:cs="Tahoma"/>
      <w:sz w:val="16"/>
      <w:szCs w:val="16"/>
    </w:rPr>
  </w:style>
  <w:style w:type="paragraph" w:styleId="Zawartotabeliuser" w:customStyle="1">
    <w:name w:val="Zawartość tabeli (user)"/>
    <w:basedOn w:val="Normal"/>
    <w:qFormat/>
    <w:rsid w:val="000a0968"/>
    <w:pPr>
      <w:suppressLineNumbers/>
    </w:pPr>
    <w:rPr/>
  </w:style>
  <w:style w:type="paragraph" w:styleId="Nagwektabeliuser" w:customStyle="1">
    <w:name w:val="Nagłówek tabeli (user)"/>
    <w:basedOn w:val="Zawartotabeliuser"/>
    <w:qFormat/>
    <w:pPr>
      <w:jc w:val="center"/>
    </w:pPr>
    <w:rPr>
      <w:b/>
      <w:bCs/>
      <w:i/>
      <w:iCs/>
    </w:rPr>
  </w:style>
  <w:style w:type="paragraph" w:styleId="Style21" w:customStyle="1">
    <w:name w:val="Style2"/>
    <w:basedOn w:val="Standard"/>
    <w:qFormat/>
    <w:pPr>
      <w:widowControl w:val="false"/>
      <w:suppressAutoHyphens w:val="false"/>
      <w:spacing w:lineRule="exact" w:line="379"/>
      <w:jc w:val="center"/>
    </w:pPr>
    <w:rPr/>
  </w:style>
  <w:style w:type="paragraph" w:styleId="Style10" w:customStyle="1">
    <w:name w:val="Style10"/>
    <w:basedOn w:val="Standard"/>
    <w:qFormat/>
    <w:pPr>
      <w:widowControl w:val="false"/>
      <w:suppressAutoHyphens w:val="false"/>
      <w:jc w:val="both"/>
    </w:pPr>
    <w:rPr/>
  </w:style>
  <w:style w:type="paragraph" w:styleId="Style51" w:customStyle="1">
    <w:name w:val="Style5"/>
    <w:basedOn w:val="Standard"/>
    <w:qFormat/>
    <w:pPr>
      <w:spacing w:lineRule="exact" w:line="274"/>
      <w:ind w:hanging="360"/>
      <w:jc w:val="both"/>
    </w:pPr>
    <w:rPr/>
  </w:style>
  <w:style w:type="paragraph" w:styleId="Normalny1" w:customStyle="1">
    <w:name w:val="Normalny1"/>
    <w:qFormat/>
    <w:pPr>
      <w:widowControl w:val="false"/>
      <w:suppressAutoHyphens w:val="true"/>
      <w:bidi w:val="0"/>
      <w:spacing w:lineRule="atLeast" w:line="100" w:before="0" w:after="0"/>
      <w:jc w:val="left"/>
      <w:textAlignment w:val="baseline"/>
    </w:pPr>
    <w:rPr>
      <w:rFonts w:ascii="Georgia" w:hAnsi="Georgia" w:eastAsia="Calibri" w:cs="Georgia"/>
      <w:color w:val="auto"/>
      <w:kern w:val="2"/>
      <w:sz w:val="24"/>
      <w:szCs w:val="24"/>
      <w:lang w:val="pl-PL" w:eastAsia="zh-CN" w:bidi="ar-SA"/>
    </w:rPr>
  </w:style>
  <w:style w:type="paragraph" w:styleId="Akapitzlist2" w:customStyle="1">
    <w:name w:val="Akapit z listą2"/>
    <w:basedOn w:val="Standard"/>
    <w:qFormat/>
    <w:pPr>
      <w:spacing w:lineRule="atLeast" w:line="100"/>
      <w:ind w:left="720"/>
    </w:pPr>
    <w:rPr>
      <w:rFonts w:eastAsia="Calibri"/>
    </w:rPr>
  </w:style>
  <w:style w:type="paragraph" w:styleId="Akapitzlist1" w:customStyle="1">
    <w:name w:val="Akapit z listą1"/>
    <w:basedOn w:val="Standard"/>
    <w:qFormat/>
    <w:pPr>
      <w:spacing w:lineRule="auto" w:line="276" w:before="0" w:after="200"/>
      <w:ind w:left="720"/>
    </w:pPr>
    <w:rPr>
      <w:rFonts w:ascii="Calibri" w:hAnsi="Calibri" w:eastAsia="Calibri" w:cs="Calibri"/>
      <w:sz w:val="22"/>
      <w:szCs w:val="22"/>
    </w:rPr>
  </w:style>
  <w:style w:type="paragraph" w:styleId="HTMLPreformatted">
    <w:name w:val="HTML Preformatted"/>
    <w:basedOn w:val="Standard"/>
    <w:qFormat/>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eastAsia="Courier New" w:cs="Courier New"/>
      <w:sz w:val="20"/>
      <w:szCs w:val="20"/>
    </w:rPr>
  </w:style>
  <w:style w:type="paragraph" w:styleId="Akapitzlist4" w:customStyle="1">
    <w:name w:val="Akapit z listą4"/>
    <w:basedOn w:val="Standard"/>
    <w:qFormat/>
    <w:pPr>
      <w:spacing w:lineRule="atLeast" w:line="100"/>
      <w:ind w:left="720"/>
    </w:pPr>
    <w:rPr/>
  </w:style>
  <w:style w:type="paragraph" w:styleId="pkt" w:customStyle="1">
    <w:name w:val="pkt"/>
    <w:basedOn w:val="Standard"/>
    <w:link w:val="pktZnak"/>
    <w:qFormat/>
    <w:pPr>
      <w:suppressAutoHyphens w:val="false"/>
      <w:spacing w:before="60" w:after="60"/>
      <w:ind w:hanging="295" w:left="851"/>
      <w:jc w:val="both"/>
      <w:textAlignment w:val="auto"/>
    </w:pPr>
    <w:rPr>
      <w:rFonts w:eastAsia="NSimSun"/>
      <w:kern w:val="0"/>
      <w:szCs w:val="20"/>
      <w:lang w:eastAsia="pl-PL"/>
    </w:rPr>
  </w:style>
  <w:style w:type="paragraph" w:styleId="Default" w:customStyle="1">
    <w:name w:val="Default"/>
    <w:qFormat/>
    <w:pPr>
      <w:widowControl/>
      <w:suppressAutoHyphens w:val="true"/>
      <w:bidi w:val="0"/>
      <w:spacing w:before="0" w:after="0"/>
      <w:jc w:val="left"/>
      <w:textAlignment w:val="baseline"/>
    </w:pPr>
    <w:rPr>
      <w:rFonts w:ascii="Arial" w:hAnsi="Arial" w:eastAsia="Times New Roman" w:cs="Arial"/>
      <w:color w:val="000000"/>
      <w:kern w:val="2"/>
      <w:sz w:val="24"/>
      <w:szCs w:val="24"/>
      <w:lang w:val="pl-PL" w:eastAsia="zh-CN" w:bidi="hi-IN"/>
    </w:rPr>
  </w:style>
  <w:style w:type="paragraph" w:styleId="Footnote" w:customStyle="1">
    <w:name w:val="Footnote"/>
    <w:basedOn w:val="Standard"/>
    <w:qFormat/>
    <w:pPr>
      <w:suppressLineNumbers/>
      <w:ind w:hanging="339" w:left="339"/>
    </w:pPr>
    <w:rPr>
      <w:sz w:val="20"/>
      <w:szCs w:val="20"/>
    </w:rPr>
  </w:style>
  <w:style w:type="paragraph" w:styleId="Normalny3" w:customStyle="1">
    <w:name w:val="Normalny3"/>
    <w:qFormat/>
    <w:pPr>
      <w:widowControl/>
      <w:suppressAutoHyphens w:val="true"/>
      <w:bidi w:val="0"/>
      <w:spacing w:lineRule="auto" w:line="276" w:before="0" w:after="0"/>
      <w:jc w:val="left"/>
      <w:textAlignment w:val="baseline"/>
    </w:pPr>
    <w:rPr>
      <w:rFonts w:ascii="Arial" w:hAnsi="Arial" w:eastAsia="Arial" w:cs="Arial"/>
      <w:color w:val="auto"/>
      <w:kern w:val="2"/>
      <w:sz w:val="24"/>
      <w:szCs w:val="24"/>
      <w:lang w:val="pl-PL" w:eastAsia="pl-PL" w:bidi="hi-IN"/>
    </w:rPr>
  </w:style>
  <w:style w:type="paragraph" w:styleId="Akapitzlist13" w:customStyle="1">
    <w:name w:val="Akapit z listą13"/>
    <w:basedOn w:val="Standard"/>
    <w:qFormat/>
    <w:pPr>
      <w:spacing w:lineRule="atLeast" w:line="100"/>
      <w:ind w:left="720"/>
    </w:pPr>
    <w:rPr/>
  </w:style>
  <w:style w:type="paragraph" w:styleId="normaltableau" w:customStyle="1">
    <w:name w:val="normal_tableau"/>
    <w:basedOn w:val="Standard"/>
    <w:qFormat/>
    <w:pPr>
      <w:suppressAutoHyphens w:val="false"/>
      <w:spacing w:before="120" w:after="120"/>
      <w:jc w:val="both"/>
    </w:pPr>
    <w:rPr>
      <w:rFonts w:ascii="Optima" w:hAnsi="Optima" w:eastAsia="Optima" w:cs="Optima"/>
      <w:sz w:val="22"/>
      <w:szCs w:val="22"/>
      <w:lang w:val="en-GB" w:eastAsia="ar-SA"/>
    </w:rPr>
  </w:style>
  <w:style w:type="paragraph" w:styleId="BodyText2">
    <w:name w:val="Body Text 2"/>
    <w:basedOn w:val="Standard"/>
    <w:qFormat/>
    <w:pPr>
      <w:spacing w:lineRule="auto" w:line="480" w:before="0" w:after="120"/>
    </w:pPr>
    <w:rPr/>
  </w:style>
  <w:style w:type="paragraph" w:styleId="western" w:customStyle="1">
    <w:name w:val="western"/>
    <w:basedOn w:val="Normal"/>
    <w:qFormat/>
    <w:pPr>
      <w:spacing w:lineRule="atLeast" w:line="363" w:before="100" w:after="100"/>
      <w:jc w:val="both"/>
    </w:pPr>
    <w:rPr/>
  </w:style>
  <w:style w:type="paragraph" w:styleId="Domylnie" w:customStyle="1">
    <w:name w:val="Domyślnie"/>
    <w:qFormat/>
    <w:rsid w:val="00012c73"/>
    <w:pPr>
      <w:widowControl w:val="false"/>
      <w:suppressAutoHyphens w:val="true"/>
      <w:bidi w:val="0"/>
      <w:spacing w:lineRule="atLeast" w:line="100" w:before="0" w:after="0"/>
      <w:jc w:val="left"/>
    </w:pPr>
    <w:rPr>
      <w:rFonts w:ascii="Calibri" w:hAnsi="Calibri" w:eastAsia="Times New Roman" w:cs="Tahoma"/>
      <w:color w:val="000000"/>
      <w:kern w:val="0"/>
      <w:sz w:val="24"/>
      <w:szCs w:val="24"/>
      <w:lang w:val="en-US" w:eastAsia="en-US" w:bidi="ar-SA"/>
    </w:rPr>
  </w:style>
  <w:style w:type="paragraph" w:styleId="BodyTextIndent">
    <w:name w:val="Body Text Indent"/>
    <w:basedOn w:val="Normal"/>
    <w:link w:val="TekstpodstawowywcityZnak"/>
    <w:uiPriority w:val="99"/>
    <w:unhideWhenUsed/>
    <w:rsid w:val="005611a7"/>
    <w:pPr>
      <w:spacing w:before="0" w:after="120"/>
      <w:ind w:left="283"/>
    </w:pPr>
    <w:rPr>
      <w:szCs w:val="21"/>
    </w:rPr>
  </w:style>
  <w:style w:type="paragraph" w:styleId="PlainText">
    <w:name w:val="Plain Text"/>
    <w:basedOn w:val="Normal"/>
    <w:link w:val="ZwykytekstZnak"/>
    <w:qFormat/>
    <w:rsid w:val="00ce7c4e"/>
    <w:pPr/>
    <w:rPr>
      <w:rFonts w:ascii="Courier New" w:hAnsi="Courier New" w:cs="Courier New"/>
      <w:sz w:val="20"/>
      <w:szCs w:val="20"/>
    </w:rPr>
  </w:style>
  <w:style w:type="paragraph" w:styleId="Zwykytekst1" w:customStyle="1">
    <w:name w:val="Zwykły tekst1"/>
    <w:basedOn w:val="Normal"/>
    <w:qFormat/>
    <w:rsid w:val="00ce7c4e"/>
    <w:pPr/>
    <w:rPr>
      <w:rFonts w:ascii="Courier New" w:hAnsi="Courier New" w:cs="Courier New"/>
      <w:sz w:val="20"/>
      <w:szCs w:val="20"/>
      <w:lang w:eastAsia="ar-SA"/>
    </w:rPr>
  </w:style>
  <w:style w:type="paragraph" w:styleId="Tekstpodstawowywcity21" w:customStyle="1">
    <w:name w:val="Tekst podstawowy wcięty 21"/>
    <w:basedOn w:val="Normal"/>
    <w:qFormat/>
    <w:rsid w:val="004900ca"/>
    <w:pPr>
      <w:ind w:left="720"/>
      <w:jc w:val="both"/>
    </w:pPr>
    <w:rPr>
      <w:rFonts w:ascii="Verdana" w:hAnsi="Verdana" w:cs="Verdana"/>
      <w:sz w:val="20"/>
      <w:szCs w:val="20"/>
      <w:lang w:eastAsia="ar-SA"/>
    </w:rPr>
  </w:style>
  <w:style w:type="paragraph" w:styleId="Tekstpodstawowy21" w:customStyle="1">
    <w:name w:val="Tekst podstawowy 21"/>
    <w:basedOn w:val="Normal"/>
    <w:qFormat/>
    <w:rsid w:val="000a0968"/>
    <w:pPr/>
    <w:rPr>
      <w:rFonts w:ascii="Arial" w:hAnsi="Arial" w:cs="Arial"/>
      <w:b/>
      <w:sz w:val="22"/>
      <w:lang w:val="x-none"/>
    </w:rPr>
  </w:style>
  <w:style w:type="paragraph" w:styleId="NoSpacing">
    <w:name w:val="No Spacing"/>
    <w:qFormat/>
    <w:rsid w:val="005774a7"/>
    <w:pPr>
      <w:widowControl/>
      <w:suppressAutoHyphens w:val="true"/>
      <w:bidi w:val="0"/>
      <w:spacing w:before="0" w:after="0"/>
      <w:jc w:val="left"/>
    </w:pPr>
    <w:rPr>
      <w:rFonts w:ascii="Calibri" w:hAnsi="Calibri" w:eastAsia="Calibri" w:cs="Times New Roman" w:asciiTheme="minorHAnsi" w:eastAsiaTheme="minorHAnsi" w:hAnsiTheme="minorHAnsi"/>
      <w:color w:val="auto"/>
      <w:kern w:val="0"/>
      <w:sz w:val="22"/>
      <w:szCs w:val="22"/>
      <w:lang w:val="pl-PL" w:eastAsia="en-US" w:bidi="ar-SA"/>
    </w:rPr>
  </w:style>
  <w:style w:type="paragraph" w:styleId="Teksttreci71" w:customStyle="1">
    <w:name w:val="Tekst treści (7)1"/>
    <w:basedOn w:val="Normal"/>
    <w:link w:val="Teksttreci7"/>
    <w:uiPriority w:val="99"/>
    <w:qFormat/>
    <w:rsid w:val="00df15d5"/>
    <w:pPr>
      <w:shd w:val="clear" w:color="auto" w:fill="FFFFFF"/>
      <w:spacing w:lineRule="atLeast" w:line="240"/>
      <w:ind w:hanging="360"/>
    </w:pPr>
    <w:rPr>
      <w:rFonts w:ascii="Calibri" w:hAnsi="Calibri" w:cs="Calibri"/>
      <w:sz w:val="21"/>
      <w:szCs w:val="21"/>
    </w:rPr>
  </w:style>
  <w:style w:type="paragraph" w:styleId="CommentText">
    <w:name w:val="annotation text"/>
    <w:basedOn w:val="Normal"/>
    <w:link w:val="TekstkomentarzaZnak"/>
    <w:uiPriority w:val="99"/>
    <w:semiHidden/>
    <w:unhideWhenUsed/>
    <w:qFormat/>
    <w:rsid w:val="00093096"/>
    <w:pPr/>
    <w:rPr>
      <w:sz w:val="20"/>
      <w:szCs w:val="18"/>
    </w:rPr>
  </w:style>
  <w:style w:type="paragraph" w:styleId="annotationsubject">
    <w:name w:val="annotation subject"/>
    <w:basedOn w:val="CommentText"/>
    <w:next w:val="CommentText"/>
    <w:link w:val="TematkomentarzaZnak"/>
    <w:uiPriority w:val="99"/>
    <w:semiHidden/>
    <w:unhideWhenUsed/>
    <w:qFormat/>
    <w:rsid w:val="00093096"/>
    <w:pPr/>
    <w:rPr>
      <w:b/>
      <w:bCs/>
    </w:rPr>
  </w:style>
  <w:style w:type="paragraph" w:styleId="FootnoteText">
    <w:name w:val="footnote text"/>
    <w:basedOn w:val="Normal"/>
    <w:pPr/>
    <w:rPr/>
  </w:style>
  <w:style w:type="paragraph" w:styleId="Standard1" w:customStyle="1">
    <w:name w:val="Standard1"/>
    <w:qFormat/>
    <w:rsid w:val="00502d11"/>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pl-PL" w:eastAsia="zh-CN" w:bidi="ar-SA"/>
    </w:rPr>
  </w:style>
  <w:style w:type="paragraph" w:styleId="Textbody1" w:customStyle="1">
    <w:name w:val="Text body1"/>
    <w:basedOn w:val="Normal"/>
    <w:link w:val="TekstpodstawowyZnak1"/>
    <w:qFormat/>
    <w:rsid w:val="00be75e2"/>
    <w:pPr>
      <w:jc w:val="both"/>
    </w:pPr>
    <w:rPr>
      <w:kern w:val="2"/>
    </w:rPr>
  </w:style>
  <w:style w:type="paragraph" w:styleId="Textbody11" w:customStyle="1">
    <w:name w:val="Text body11"/>
    <w:basedOn w:val="Normal"/>
    <w:qFormat/>
    <w:rsid w:val="009b0329"/>
    <w:pPr>
      <w:jc w:val="both"/>
    </w:pPr>
    <w:rPr/>
  </w:style>
  <w:style w:type="paragraph" w:styleId="Zawartotabeli" w:customStyle="1">
    <w:name w:val="Zawartość tabeli"/>
    <w:basedOn w:val="Normal"/>
    <w:qFormat/>
    <w:pPr>
      <w:widowControl w:val="false"/>
      <w:suppressLineNumbers/>
    </w:pPr>
    <w:rPr/>
  </w:style>
  <w:style w:type="paragraph" w:styleId="Nagwektabeli" w:customStyle="1">
    <w:name w:val="Nagłówek tabeli"/>
    <w:basedOn w:val="Zawartotabeli"/>
    <w:qFormat/>
    <w:pPr>
      <w:jc w:val="center"/>
    </w:pPr>
    <w:rPr>
      <w:b/>
      <w:bCs/>
    </w:rPr>
  </w:style>
  <w:style w:type="numbering" w:styleId="Bezlistyuser" w:default="1">
    <w:name w:val="Bez listy (user)"/>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2" w:customStyle="1">
    <w:name w:val="WW8Num22"/>
    <w:qFormat/>
  </w:style>
  <w:style w:type="numbering" w:styleId="WW8Num23" w:customStyle="1">
    <w:name w:val="WW8Num23"/>
    <w:qFormat/>
  </w:style>
  <w:style w:type="numbering" w:styleId="WW8Num24" w:customStyle="1">
    <w:name w:val="WW8Num24"/>
    <w:qFormat/>
  </w:style>
  <w:style w:type="numbering" w:styleId="WW8Num25" w:customStyle="1">
    <w:name w:val="WW8Num25"/>
    <w:qFormat/>
  </w:style>
  <w:style w:type="numbering" w:styleId="WW8Num26" w:customStyle="1">
    <w:name w:val="WW8Num26"/>
    <w:qFormat/>
  </w:style>
  <w:style w:type="numbering" w:styleId="WW8Num27" w:customStyle="1">
    <w:name w:val="WW8Num27"/>
    <w:qFormat/>
  </w:style>
  <w:style w:type="numbering" w:styleId="WW8Num28" w:customStyle="1">
    <w:name w:val="WW8Num28"/>
    <w:qFormat/>
  </w:style>
  <w:style w:type="numbering" w:styleId="WW8Num29" w:customStyle="1">
    <w:name w:val="WW8Num29"/>
    <w:qFormat/>
  </w:style>
  <w:style w:type="numbering" w:styleId="WW8Num30" w:customStyle="1">
    <w:name w:val="WW8Num30"/>
    <w:qFormat/>
  </w:style>
  <w:style w:type="numbering" w:styleId="WW8Num31" w:customStyle="1">
    <w:name w:val="WW8Num31"/>
    <w:qFormat/>
  </w:style>
  <w:style w:type="numbering" w:styleId="WW8Num32" w:customStyle="1">
    <w:name w:val="WW8Num32"/>
    <w:qFormat/>
  </w:style>
  <w:style w:type="numbering" w:styleId="WW8Num33" w:customStyle="1">
    <w:name w:val="WW8Num33"/>
    <w:qFormat/>
  </w:style>
  <w:style w:type="numbering" w:styleId="WW8Num34" w:customStyle="1">
    <w:name w:val="WW8Num34"/>
    <w:qFormat/>
  </w:style>
  <w:style w:type="numbering" w:styleId="WW8Num35" w:customStyle="1">
    <w:name w:val="WW8Num35"/>
    <w:qFormat/>
  </w:style>
  <w:style w:type="numbering" w:styleId="WW8Num36" w:customStyle="1">
    <w:name w:val="WW8Num36"/>
    <w:qFormat/>
  </w:style>
  <w:style w:type="numbering" w:styleId="WW8Num37" w:customStyle="1">
    <w:name w:val="WW8Num37"/>
    <w:qFormat/>
  </w:style>
  <w:style w:type="numbering" w:styleId="WW8Num38" w:customStyle="1">
    <w:name w:val="WW8Num38"/>
    <w:qFormat/>
  </w:style>
  <w:style w:type="numbering" w:styleId="WW8Num39" w:customStyle="1">
    <w:name w:val="WW8Num39"/>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06546c"/>
    <w:rPr>
      <w:rFonts w:asciiTheme="minorHAnsi" w:hAnsiTheme="minorHAnsi" w:eastAsiaTheme="minorHAnsi" w:cstheme="minorBidi"/>
      <w:sz w:val="22"/>
      <w:szCs w:val="22"/>
      <w:lang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latformazakupowa.pl/pn/szpital_andrychow" TargetMode="External"/><Relationship Id="rId3" Type="http://schemas.openxmlformats.org/officeDocument/2006/relationships/hyperlink" Target="mailto:szpital@szpital.info.pl" TargetMode="External"/><Relationship Id="rId4" Type="http://schemas.openxmlformats.org/officeDocument/2006/relationships/hyperlink" Target="http://www.szpital.info.pl/" TargetMode="External"/><Relationship Id="rId5" Type="http://schemas.openxmlformats.org/officeDocument/2006/relationships/hyperlink" Target="https://platformazakupowa.pl/pn/szpital_andrychow" TargetMode="External"/><Relationship Id="rId6" Type="http://schemas.openxmlformats.org/officeDocument/2006/relationships/hyperlink" Target="https://platformazakupowa.pl/pn/szpital_andrychow" TargetMode="External"/><Relationship Id="rId7" Type="http://schemas.openxmlformats.org/officeDocument/2006/relationships/hyperlink" Target="http://platformazakupowa.pl/" TargetMode="External"/><Relationship Id="rId8" Type="http://schemas.openxmlformats.org/officeDocument/2006/relationships/hyperlink" Target="http://platformazakupowa.pl/" TargetMode="External"/><Relationship Id="rId9" Type="http://schemas.openxmlformats.org/officeDocument/2006/relationships/hyperlink" Target="http://platformazakupowa.pl/" TargetMode="External"/><Relationship Id="rId10" Type="http://schemas.openxmlformats.org/officeDocument/2006/relationships/hyperlink" Target="https://platformazakupowa.pl/pn/szpital_andrychow" TargetMode="External"/><Relationship Id="rId11" Type="http://schemas.openxmlformats.org/officeDocument/2006/relationships/hyperlink" Target="https://platformazakupowa.pl/" TargetMode="External"/><Relationship Id="rId12" Type="http://schemas.openxmlformats.org/officeDocument/2006/relationships/hyperlink" Target="https://platformazakupowa.pl/strona/1-regulamin" TargetMode="External"/><Relationship Id="rId13" Type="http://schemas.openxmlformats.org/officeDocument/2006/relationships/hyperlink" Target="http://platformazakupowa.pl/" TargetMode="External"/><Relationship Id="rId14" Type="http://schemas.openxmlformats.org/officeDocument/2006/relationships/hyperlink" Target="http://platformazakupowa.pl/" TargetMode="External"/><Relationship Id="rId15" Type="http://schemas.openxmlformats.org/officeDocument/2006/relationships/hyperlink" Target="http://platformazakupowa.pl/" TargetMode="External"/><Relationship Id="rId16" Type="http://schemas.openxmlformats.org/officeDocument/2006/relationships/hyperlink" Target="https://platformazakupowa.pl/strona/45-instrukcje" TargetMode="External"/><Relationship Id="rId17"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19" Type="http://schemas.openxmlformats.org/officeDocument/2006/relationships/hyperlink" Target="https://platformazakupowa.pl/pn/szpital_andrychow" TargetMode="External"/><Relationship Id="rId20" Type="http://schemas.openxmlformats.org/officeDocument/2006/relationships/hyperlink" Target="https://platformazakupowa.pl/pn/szpital_andrychow" TargetMode="External"/><Relationship Id="rId21" Type="http://schemas.openxmlformats.org/officeDocument/2006/relationships/hyperlink" Target="mailto:mguzdek@szpital.info.pl.*" TargetMode="External"/><Relationship Id="rId22" Type="http://schemas.openxmlformats.org/officeDocument/2006/relationships/header" Target="header1.xml"/><Relationship Id="rId23" Type="http://schemas.openxmlformats.org/officeDocument/2006/relationships/header" Target="header2.xml"/><Relationship Id="rId24" Type="http://schemas.openxmlformats.org/officeDocument/2006/relationships/header" Target="header3.xml"/><Relationship Id="rId25" Type="http://schemas.openxmlformats.org/officeDocument/2006/relationships/footer" Target="footer1.xml"/><Relationship Id="rId26" Type="http://schemas.openxmlformats.org/officeDocument/2006/relationships/footer" Target="footer2.xml"/><Relationship Id="rId27" Type="http://schemas.openxmlformats.org/officeDocument/2006/relationships/footer" Target="footer3.xml"/><Relationship Id="rId28" Type="http://schemas.openxmlformats.org/officeDocument/2006/relationships/header" Target="header4.xml"/><Relationship Id="rId29" Type="http://schemas.openxmlformats.org/officeDocument/2006/relationships/header" Target="header5.xml"/><Relationship Id="rId30" Type="http://schemas.openxmlformats.org/officeDocument/2006/relationships/header" Target="header6.xml"/><Relationship Id="rId31" Type="http://schemas.openxmlformats.org/officeDocument/2006/relationships/footer" Target="footer4.xml"/><Relationship Id="rId32" Type="http://schemas.openxmlformats.org/officeDocument/2006/relationships/footer" Target="footer5.xml"/><Relationship Id="rId33" Type="http://schemas.openxmlformats.org/officeDocument/2006/relationships/footer" Target="footer6.xml"/><Relationship Id="rId34" Type="http://schemas.openxmlformats.org/officeDocument/2006/relationships/footnotes" Target="footnotes.xml"/><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Relationship Id="rId39"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hyperlink" Target="http://www.szpital.lublin.pl/" TargetMode="External"/><Relationship Id="rId2" Type="http://schemas.openxmlformats.org/officeDocument/2006/relationships/hyperlink" Target="mailto:szpital@szpital.info.pl" TargetMode="External"/>
</Relationships>
</file>

<file path=word/_rels/footer3.xml.rels><?xml version="1.0" encoding="UTF-8"?>
<Relationships xmlns="http://schemas.openxmlformats.org/package/2006/relationships"><Relationship Id="rId1" Type="http://schemas.openxmlformats.org/officeDocument/2006/relationships/hyperlink" Target="http://www.szpital.lublin.pl/" TargetMode="External"/><Relationship Id="rId2" Type="http://schemas.openxmlformats.org/officeDocument/2006/relationships/hyperlink" Target="mailto:szpital@szpital.info.pl" TargetMode="External"/>
</Relationships>
</file>

<file path=word/_rels/footer5.xml.rels><?xml version="1.0" encoding="UTF-8"?>
<Relationships xmlns="http://schemas.openxmlformats.org/package/2006/relationships"><Relationship Id="rId1" Type="http://schemas.openxmlformats.org/officeDocument/2006/relationships/hyperlink" Target="http://www.szpital.lublin.pl/" TargetMode="External"/><Relationship Id="rId2" Type="http://schemas.openxmlformats.org/officeDocument/2006/relationships/hyperlink" Target="mailto:szpital@szpital.info.pl" TargetMode="External"/>
</Relationships>
</file>

<file path=word/_rels/footer6.xml.rels><?xml version="1.0" encoding="UTF-8"?>
<Relationships xmlns="http://schemas.openxmlformats.org/package/2006/relationships"><Relationship Id="rId1" Type="http://schemas.openxmlformats.org/officeDocument/2006/relationships/hyperlink" Target="http://www.szpital.lublin.pl/" TargetMode="External"/><Relationship Id="rId2" Type="http://schemas.openxmlformats.org/officeDocument/2006/relationships/hyperlink" Target="mailto:szpital@szpital.info.pl" TargetMode="Externa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_rels/header5.xml.rels><?xml version="1.0" encoding="UTF-8"?>
<Relationships xmlns="http://schemas.openxmlformats.org/package/2006/relationships"><Relationship Id="rId1" Type="http://schemas.openxmlformats.org/officeDocument/2006/relationships/image" Target="media/image1.jpeg"/>
</Relationships>
</file>

<file path=word/_rels/header6.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FEAD0-34C0-493F-B003-11E5C0E7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Application>LibreOffice/25.8.5.2$Windows_X86_64 LibreOffice_project/9c8b85f387cc00a89945a79c9e6239f32e450ac2</Application>
  <AppVersion>15.0000</AppVersion>
  <Pages>40</Pages>
  <Words>12646</Words>
  <Characters>87295</Characters>
  <CharactersWithSpaces>103868</CharactersWithSpaces>
  <Paragraphs>771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2026-01-22T05:41:00Z</dcterms:created>
  <dc:creator>Władysław Baksza</dc:creator>
  <dc:description/>
  <dc:language>pl-PL</dc:language>
  <cp:lastModifiedBy/>
  <cp:lastPrinted>2026-04-21T13:08:08Z</cp:lastPrinted>
  <dcterms:modified xsi:type="dcterms:W3CDTF">2026-04-21T13:35:12Z</dcterms:modified>
  <cp:revision>40</cp:revision>
  <dc:subject/>
  <dc:title>Akt prawny</dc:title>
</cp:coreProperties>
</file>

<file path=docProps/custom.xml><?xml version="1.0" encoding="utf-8"?>
<Properties xmlns="http://schemas.openxmlformats.org/officeDocument/2006/custom-properties" xmlns:vt="http://schemas.openxmlformats.org/officeDocument/2006/docPropsVTypes"/>
</file>