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D778C" w14:textId="046935E5" w:rsidR="00EE1D68" w:rsidRPr="00AA2EFA" w:rsidRDefault="00DF2377" w:rsidP="00B43592">
      <w:pPr>
        <w:spacing w:after="120" w:line="360" w:lineRule="auto"/>
        <w:jc w:val="center"/>
        <w:rPr>
          <w:rFonts w:ascii="Arial" w:hAnsi="Arial" w:cs="Arial"/>
          <w:sz w:val="24"/>
          <w:szCs w:val="24"/>
          <w:lang w:val="pl-PL"/>
        </w:rPr>
      </w:pPr>
      <w:r w:rsidRPr="00AA2EFA">
        <w:rPr>
          <w:rFonts w:ascii="Arial" w:hAnsi="Arial" w:cs="Arial"/>
          <w:b/>
          <w:sz w:val="24"/>
          <w:szCs w:val="24"/>
          <w:lang w:val="pl-PL"/>
        </w:rPr>
        <w:t>Opis techniczny przedmiotu zamówienia</w:t>
      </w:r>
    </w:p>
    <w:p w14:paraId="63B840E6" w14:textId="77777777" w:rsidR="00B43592" w:rsidRPr="00B43592" w:rsidRDefault="00B43592" w:rsidP="00B43592">
      <w:pPr>
        <w:pStyle w:val="Podtytu"/>
        <w:spacing w:after="0" w:line="360" w:lineRule="auto"/>
        <w:jc w:val="center"/>
        <w:rPr>
          <w:rFonts w:ascii="Arial" w:hAnsi="Arial" w:cs="Arial"/>
          <w:b/>
          <w:i w:val="0"/>
          <w:color w:val="auto"/>
          <w:highlight w:val="yellow"/>
        </w:rPr>
      </w:pPr>
      <w:bookmarkStart w:id="0" w:name="_Hlk205202713"/>
      <w:proofErr w:type="spellStart"/>
      <w:r w:rsidRPr="00B43592">
        <w:rPr>
          <w:rFonts w:ascii="Arial" w:hAnsi="Arial" w:cs="Arial"/>
          <w:b/>
          <w:i w:val="0"/>
          <w:color w:val="auto"/>
        </w:rPr>
        <w:t>Dostawa</w:t>
      </w:r>
      <w:proofErr w:type="spellEnd"/>
      <w:r w:rsidRPr="00B43592">
        <w:rPr>
          <w:rFonts w:ascii="Arial" w:hAnsi="Arial" w:cs="Arial"/>
          <w:b/>
          <w:i w:val="0"/>
          <w:color w:val="auto"/>
        </w:rPr>
        <w:t xml:space="preserve"> </w:t>
      </w:r>
      <w:proofErr w:type="spellStart"/>
      <w:r w:rsidRPr="00B43592">
        <w:rPr>
          <w:rFonts w:ascii="Arial" w:hAnsi="Arial" w:cs="Arial"/>
          <w:b/>
          <w:i w:val="0"/>
          <w:color w:val="auto"/>
        </w:rPr>
        <w:t>serwera</w:t>
      </w:r>
      <w:proofErr w:type="spellEnd"/>
      <w:r w:rsidRPr="00B43592">
        <w:rPr>
          <w:rFonts w:ascii="Arial" w:hAnsi="Arial" w:cs="Arial"/>
          <w:b/>
          <w:i w:val="0"/>
          <w:color w:val="auto"/>
        </w:rPr>
        <w:t xml:space="preserve"> </w:t>
      </w:r>
      <w:proofErr w:type="spellStart"/>
      <w:r w:rsidRPr="00B43592">
        <w:rPr>
          <w:rFonts w:ascii="Arial" w:hAnsi="Arial" w:cs="Arial"/>
          <w:b/>
          <w:i w:val="0"/>
          <w:color w:val="auto"/>
        </w:rPr>
        <w:t>obliczeniowego</w:t>
      </w:r>
      <w:proofErr w:type="spellEnd"/>
      <w:r w:rsidRPr="00B43592">
        <w:rPr>
          <w:rFonts w:ascii="Arial" w:hAnsi="Arial" w:cs="Arial"/>
          <w:b/>
          <w:i w:val="0"/>
          <w:color w:val="auto"/>
        </w:rPr>
        <w:t xml:space="preserve"> </w:t>
      </w:r>
      <w:proofErr w:type="spellStart"/>
      <w:r w:rsidRPr="00B43592">
        <w:rPr>
          <w:rFonts w:ascii="Arial" w:hAnsi="Arial" w:cs="Arial"/>
          <w:b/>
          <w:i w:val="0"/>
          <w:color w:val="auto"/>
        </w:rPr>
        <w:t>wyposażonego</w:t>
      </w:r>
      <w:proofErr w:type="spellEnd"/>
      <w:r w:rsidRPr="00B43592">
        <w:rPr>
          <w:rFonts w:ascii="Arial" w:hAnsi="Arial" w:cs="Arial"/>
          <w:b/>
          <w:i w:val="0"/>
          <w:color w:val="auto"/>
        </w:rPr>
        <w:t xml:space="preserve"> </w:t>
      </w:r>
      <w:r w:rsidRPr="00B43592">
        <w:rPr>
          <w:rFonts w:ascii="Arial" w:hAnsi="Arial" w:cs="Arial"/>
          <w:b/>
          <w:i w:val="0"/>
          <w:color w:val="auto"/>
        </w:rPr>
        <w:br/>
        <w:t xml:space="preserve">w </w:t>
      </w:r>
      <w:proofErr w:type="spellStart"/>
      <w:r w:rsidRPr="00B43592">
        <w:rPr>
          <w:rFonts w:ascii="Arial" w:hAnsi="Arial" w:cs="Arial"/>
          <w:b/>
          <w:i w:val="0"/>
          <w:color w:val="auto"/>
        </w:rPr>
        <w:t>akcelerator</w:t>
      </w:r>
      <w:proofErr w:type="spellEnd"/>
      <w:r w:rsidRPr="00B43592">
        <w:rPr>
          <w:rFonts w:ascii="Arial" w:hAnsi="Arial" w:cs="Arial"/>
          <w:b/>
          <w:i w:val="0"/>
          <w:color w:val="auto"/>
        </w:rPr>
        <w:t xml:space="preserve"> GPU do </w:t>
      </w:r>
      <w:proofErr w:type="spellStart"/>
      <w:r w:rsidRPr="00B43592">
        <w:rPr>
          <w:rFonts w:ascii="Arial" w:hAnsi="Arial" w:cs="Arial"/>
          <w:b/>
          <w:i w:val="0"/>
          <w:color w:val="auto"/>
        </w:rPr>
        <w:t>pracy</w:t>
      </w:r>
      <w:proofErr w:type="spellEnd"/>
      <w:r w:rsidRPr="00B43592">
        <w:rPr>
          <w:rFonts w:ascii="Arial" w:hAnsi="Arial" w:cs="Arial"/>
          <w:b/>
          <w:i w:val="0"/>
          <w:color w:val="auto"/>
        </w:rPr>
        <w:t xml:space="preserve"> z </w:t>
      </w:r>
      <w:proofErr w:type="spellStart"/>
      <w:r w:rsidRPr="00B43592">
        <w:rPr>
          <w:rFonts w:ascii="Arial" w:hAnsi="Arial" w:cs="Arial"/>
          <w:b/>
          <w:i w:val="0"/>
          <w:color w:val="auto"/>
        </w:rPr>
        <w:t>nowoczesnymi</w:t>
      </w:r>
      <w:proofErr w:type="spellEnd"/>
      <w:r w:rsidRPr="00B43592">
        <w:rPr>
          <w:rFonts w:ascii="Arial" w:hAnsi="Arial" w:cs="Arial"/>
          <w:b/>
          <w:i w:val="0"/>
          <w:color w:val="auto"/>
        </w:rPr>
        <w:t xml:space="preserve"> </w:t>
      </w:r>
      <w:proofErr w:type="spellStart"/>
      <w:r w:rsidRPr="00B43592">
        <w:rPr>
          <w:rFonts w:ascii="Arial" w:hAnsi="Arial" w:cs="Arial"/>
          <w:b/>
          <w:i w:val="0"/>
          <w:color w:val="auto"/>
        </w:rPr>
        <w:t>narzędziami</w:t>
      </w:r>
      <w:proofErr w:type="spellEnd"/>
      <w:r w:rsidRPr="00B43592">
        <w:rPr>
          <w:rFonts w:ascii="Arial" w:hAnsi="Arial" w:cs="Arial"/>
          <w:b/>
          <w:i w:val="0"/>
          <w:color w:val="auto"/>
        </w:rPr>
        <w:t xml:space="preserve"> </w:t>
      </w:r>
      <w:proofErr w:type="spellStart"/>
      <w:r w:rsidRPr="00B43592">
        <w:rPr>
          <w:rFonts w:ascii="Arial" w:hAnsi="Arial" w:cs="Arial"/>
          <w:b/>
          <w:i w:val="0"/>
          <w:color w:val="auto"/>
        </w:rPr>
        <w:t>sztucznej</w:t>
      </w:r>
      <w:proofErr w:type="spellEnd"/>
      <w:r w:rsidRPr="00B43592">
        <w:rPr>
          <w:rFonts w:ascii="Arial" w:hAnsi="Arial" w:cs="Arial"/>
          <w:b/>
          <w:i w:val="0"/>
          <w:color w:val="auto"/>
        </w:rPr>
        <w:t xml:space="preserve"> </w:t>
      </w:r>
      <w:proofErr w:type="spellStart"/>
      <w:r w:rsidRPr="00B43592">
        <w:rPr>
          <w:rFonts w:ascii="Arial" w:hAnsi="Arial" w:cs="Arial"/>
          <w:b/>
          <w:i w:val="0"/>
          <w:color w:val="auto"/>
        </w:rPr>
        <w:t>inteligencji</w:t>
      </w:r>
      <w:proofErr w:type="spellEnd"/>
      <w:r w:rsidRPr="00B43592">
        <w:rPr>
          <w:rFonts w:ascii="Arial" w:hAnsi="Arial" w:cs="Arial"/>
          <w:b/>
          <w:i w:val="0"/>
          <w:color w:val="auto"/>
        </w:rPr>
        <w:t>.</w:t>
      </w:r>
    </w:p>
    <w:tbl>
      <w:tblPr>
        <w:tblStyle w:val="Tabela-Siatka"/>
        <w:tblW w:w="13462" w:type="dxa"/>
        <w:jc w:val="center"/>
        <w:tblLook w:val="04A0" w:firstRow="1" w:lastRow="0" w:firstColumn="1" w:lastColumn="0" w:noHBand="0" w:noVBand="1"/>
      </w:tblPr>
      <w:tblGrid>
        <w:gridCol w:w="576"/>
        <w:gridCol w:w="2004"/>
        <w:gridCol w:w="4510"/>
        <w:gridCol w:w="6372"/>
      </w:tblGrid>
      <w:tr w:rsidR="00EE1D68" w:rsidRPr="00AA2EFA" w14:paraId="2B024E3E" w14:textId="77777777" w:rsidTr="00BC737F">
        <w:trPr>
          <w:jc w:val="center"/>
        </w:trPr>
        <w:tc>
          <w:tcPr>
            <w:tcW w:w="576" w:type="dxa"/>
            <w:vAlign w:val="center"/>
          </w:tcPr>
          <w:bookmarkEnd w:id="0"/>
          <w:p w14:paraId="355303E8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b/>
                <w:sz w:val="24"/>
                <w:szCs w:val="24"/>
              </w:rPr>
              <w:t>Lp</w:t>
            </w:r>
            <w:proofErr w:type="spellEnd"/>
            <w:r w:rsidRPr="00AA2EF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2004" w:type="dxa"/>
            <w:vAlign w:val="center"/>
          </w:tcPr>
          <w:p w14:paraId="4CC9A3BD" w14:textId="77777777" w:rsidR="00EE1D68" w:rsidRPr="00AA2EFA" w:rsidRDefault="00DF2377" w:rsidP="00BC737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b/>
                <w:sz w:val="24"/>
                <w:szCs w:val="24"/>
              </w:rPr>
              <w:t>Składniki</w:t>
            </w:r>
            <w:proofErr w:type="spellEnd"/>
            <w:r w:rsidRPr="00AA2EF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A2EFA">
              <w:rPr>
                <w:rFonts w:ascii="Arial" w:hAnsi="Arial" w:cs="Arial"/>
                <w:b/>
                <w:sz w:val="24"/>
                <w:szCs w:val="24"/>
              </w:rPr>
              <w:t>zestawu</w:t>
            </w:r>
            <w:proofErr w:type="spellEnd"/>
          </w:p>
        </w:tc>
        <w:tc>
          <w:tcPr>
            <w:tcW w:w="4510" w:type="dxa"/>
            <w:vAlign w:val="center"/>
          </w:tcPr>
          <w:p w14:paraId="6E9B55EF" w14:textId="77777777" w:rsidR="00EE1D68" w:rsidRPr="00AA2EFA" w:rsidRDefault="00DF2377" w:rsidP="00BC737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b/>
                <w:sz w:val="24"/>
                <w:szCs w:val="24"/>
                <w:lang w:val="pl-PL"/>
              </w:rPr>
              <w:t>Opis techniczny</w:t>
            </w:r>
            <w:r w:rsidRPr="00AA2EFA">
              <w:rPr>
                <w:rFonts w:ascii="Arial" w:hAnsi="Arial" w:cs="Arial"/>
                <w:b/>
                <w:sz w:val="24"/>
                <w:szCs w:val="24"/>
                <w:lang w:val="pl-PL"/>
              </w:rPr>
              <w:br/>
              <w:t>(minimalne wymagania zamawiającego)</w:t>
            </w:r>
          </w:p>
        </w:tc>
        <w:tc>
          <w:tcPr>
            <w:tcW w:w="6372" w:type="dxa"/>
            <w:vAlign w:val="center"/>
          </w:tcPr>
          <w:p w14:paraId="5E6D5981" w14:textId="77777777" w:rsidR="00BC737F" w:rsidRPr="00B91077" w:rsidRDefault="00BC737F" w:rsidP="00BC737F">
            <w:pPr>
              <w:snapToGrid w:val="0"/>
              <w:spacing w:before="24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proofErr w:type="spellStart"/>
            <w:r w:rsidRPr="00B910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Oferowana</w:t>
            </w:r>
            <w:proofErr w:type="spellEnd"/>
            <w:r w:rsidRPr="00B910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910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konfiguracja</w:t>
            </w:r>
            <w:proofErr w:type="spellEnd"/>
            <w:r w:rsidRPr="00B910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B910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parametry</w:t>
            </w:r>
            <w:proofErr w:type="spellEnd"/>
            <w:r w:rsidRPr="00B910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*</w:t>
            </w:r>
          </w:p>
          <w:p w14:paraId="583CAE94" w14:textId="240FA4AC" w:rsidR="00EE1D68" w:rsidRPr="00AA2EFA" w:rsidRDefault="00BC737F" w:rsidP="00BC737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3787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*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Kolumnę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należy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uzupełnić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poprzez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wskazanie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konkretnych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parametrów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oferowanego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sprzętu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oraz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, tam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gdzie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to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możliwe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podać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typ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/model</w:t>
            </w:r>
          </w:p>
        </w:tc>
      </w:tr>
      <w:tr w:rsidR="0077243F" w:rsidRPr="00AA2EFA" w14:paraId="23E9BBBD" w14:textId="77777777" w:rsidTr="00BC737F">
        <w:trPr>
          <w:jc w:val="center"/>
        </w:trPr>
        <w:tc>
          <w:tcPr>
            <w:tcW w:w="576" w:type="dxa"/>
            <w:vAlign w:val="center"/>
          </w:tcPr>
          <w:p w14:paraId="36BD778A" w14:textId="58D3FB81" w:rsidR="0077243F" w:rsidRPr="003A74E5" w:rsidRDefault="0077243F" w:rsidP="00AA2EFA">
            <w:pPr>
              <w:spacing w:before="120" w:after="12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3A74E5">
              <w:rPr>
                <w:rFonts w:ascii="Arial" w:hAnsi="Arial" w:cs="Arial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2004" w:type="dxa"/>
            <w:vAlign w:val="center"/>
          </w:tcPr>
          <w:p w14:paraId="1D9FB4AA" w14:textId="57646665" w:rsidR="0077243F" w:rsidRPr="003A74E5" w:rsidRDefault="0077243F" w:rsidP="00BC737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3A74E5">
              <w:rPr>
                <w:rFonts w:ascii="Arial" w:hAnsi="Arial" w:cs="Arial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4510" w:type="dxa"/>
            <w:vAlign w:val="center"/>
          </w:tcPr>
          <w:p w14:paraId="12E294D5" w14:textId="41B90510" w:rsidR="0077243F" w:rsidRPr="003A74E5" w:rsidRDefault="0077243F" w:rsidP="00BC737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  <w:lang w:val="pl-PL"/>
              </w:rPr>
            </w:pPr>
            <w:r w:rsidRPr="003A74E5">
              <w:rPr>
                <w:rFonts w:ascii="Arial" w:hAnsi="Arial" w:cs="Arial"/>
                <w:b/>
                <w:i/>
                <w:sz w:val="24"/>
                <w:szCs w:val="24"/>
                <w:lang w:val="pl-PL"/>
              </w:rPr>
              <w:t>c</w:t>
            </w:r>
          </w:p>
        </w:tc>
        <w:tc>
          <w:tcPr>
            <w:tcW w:w="6372" w:type="dxa"/>
            <w:vAlign w:val="center"/>
          </w:tcPr>
          <w:p w14:paraId="19747644" w14:textId="7203FE84" w:rsidR="0077243F" w:rsidRPr="003A74E5" w:rsidRDefault="0077243F" w:rsidP="00BC737F">
            <w:pPr>
              <w:snapToGrid w:val="0"/>
              <w:spacing w:before="240"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pl-PL"/>
              </w:rPr>
            </w:pPr>
            <w:r w:rsidRPr="003A74E5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pl-PL"/>
              </w:rPr>
              <w:t>d</w:t>
            </w:r>
          </w:p>
        </w:tc>
      </w:tr>
      <w:tr w:rsidR="00EE1D68" w:rsidRPr="00AA2EFA" w14:paraId="56B4D6BB" w14:textId="77777777" w:rsidTr="00B43592">
        <w:trPr>
          <w:jc w:val="center"/>
        </w:trPr>
        <w:tc>
          <w:tcPr>
            <w:tcW w:w="576" w:type="dxa"/>
          </w:tcPr>
          <w:p w14:paraId="12805846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14:paraId="60C72E4C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Typ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urządzenia</w:t>
            </w:r>
            <w:proofErr w:type="spellEnd"/>
          </w:p>
        </w:tc>
        <w:tc>
          <w:tcPr>
            <w:tcW w:w="4510" w:type="dxa"/>
          </w:tcPr>
          <w:p w14:paraId="544814A4" w14:textId="77777777" w:rsidR="00EE1D68" w:rsidRPr="00AA2EFA" w:rsidRDefault="00DF2377" w:rsidP="00AA2EFA">
            <w:pPr>
              <w:spacing w:before="24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Stacja robocza GPU (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tower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lub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rack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) do zastosowań w obszarze sztucznej inteligencji, uczenia maszynowego i głębokiego uczenia (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deep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learning).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Zestaw dostarczony złożony, uruchomiony i przetestowany.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Wykonawca odpowiada za kompatybilność wszystkich komponentów.</w:t>
            </w:r>
          </w:p>
        </w:tc>
        <w:tc>
          <w:tcPr>
            <w:tcW w:w="6372" w:type="dxa"/>
          </w:tcPr>
          <w:p w14:paraId="6C4CBB28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5D24B38E" w14:textId="77777777" w:rsidTr="00B43592">
        <w:trPr>
          <w:jc w:val="center"/>
        </w:trPr>
        <w:tc>
          <w:tcPr>
            <w:tcW w:w="576" w:type="dxa"/>
          </w:tcPr>
          <w:p w14:paraId="729E9EAB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004" w:type="dxa"/>
          </w:tcPr>
          <w:p w14:paraId="4A3A050D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Zastosowanie</w:t>
            </w:r>
            <w:proofErr w:type="spellEnd"/>
          </w:p>
        </w:tc>
        <w:tc>
          <w:tcPr>
            <w:tcW w:w="4510" w:type="dxa"/>
          </w:tcPr>
          <w:p w14:paraId="2EE0922D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Obliczenia AI/ML: trenowanie i fine-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tuning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dużych modeli językowych (LLM),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inference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z równoczesnym dostępem wielu użytkowników, przetwarzanie zbiorów danych badawczych.</w:t>
            </w:r>
          </w:p>
        </w:tc>
        <w:tc>
          <w:tcPr>
            <w:tcW w:w="6372" w:type="dxa"/>
          </w:tcPr>
          <w:p w14:paraId="785482A4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504EB546" w14:textId="77777777" w:rsidTr="00B43592">
        <w:trPr>
          <w:jc w:val="center"/>
        </w:trPr>
        <w:tc>
          <w:tcPr>
            <w:tcW w:w="576" w:type="dxa"/>
          </w:tcPr>
          <w:p w14:paraId="640930AA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04" w:type="dxa"/>
          </w:tcPr>
          <w:p w14:paraId="4F9CE10B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t xml:space="preserve">Karta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graficzna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t xml:space="preserve"> GPU</w:t>
            </w:r>
            <w:r w:rsidRPr="00AA2EFA">
              <w:rPr>
                <w:rFonts w:ascii="Arial" w:hAnsi="Arial" w:cs="Arial"/>
                <w:sz w:val="24"/>
                <w:szCs w:val="24"/>
              </w:rPr>
              <w:br/>
              <w:t xml:space="preserve">(2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sztuki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510" w:type="dxa"/>
          </w:tcPr>
          <w:p w14:paraId="5072436E" w14:textId="0075045C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2 szt. kart GPU o parametrach nie gorszych niż: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- Pamięć VRAM: min. 96 GB z korekcją błędów ECC na kartę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- Łączna pamięć VRAM: min. 192 GB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- Wydajność nie gorsza niż 32</w:t>
            </w:r>
            <w:r w:rsidR="00B257FA" w:rsidRPr="00AA2EFA">
              <w:rPr>
                <w:rFonts w:ascii="Arial" w:hAnsi="Arial" w:cs="Arial"/>
                <w:sz w:val="24"/>
                <w:szCs w:val="24"/>
                <w:lang w:val="pl-PL"/>
              </w:rPr>
              <w:t>,496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pkt. w teście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PassMark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G3D Mark https://www.videocardbenchmark.net z dnia </w:t>
            </w:r>
            <w:r w:rsidR="00AF6155" w:rsidRPr="00AA2EFA">
              <w:rPr>
                <w:rFonts w:ascii="Arial" w:hAnsi="Arial" w:cs="Arial"/>
                <w:sz w:val="24"/>
                <w:szCs w:val="24"/>
                <w:lang w:val="pl-PL"/>
              </w:rPr>
              <w:t>08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-0</w:t>
            </w:r>
            <w:r w:rsidR="00AF6155" w:rsidRPr="00AA2EFA">
              <w:rPr>
                <w:rFonts w:ascii="Arial" w:hAnsi="Arial" w:cs="Arial"/>
                <w:sz w:val="24"/>
                <w:szCs w:val="24"/>
                <w:lang w:val="pl-PL"/>
              </w:rPr>
              <w:t>4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-2026.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 xml:space="preserve">Wyniki testu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PassMark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na dzień </w:t>
            </w:r>
            <w:r w:rsidR="00B257FA" w:rsidRPr="00AA2EFA">
              <w:rPr>
                <w:rFonts w:ascii="Arial" w:hAnsi="Arial" w:cs="Arial"/>
                <w:sz w:val="24"/>
                <w:szCs w:val="24"/>
                <w:lang w:val="pl-PL"/>
              </w:rPr>
              <w:t>08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-0</w:t>
            </w:r>
            <w:r w:rsidR="00B257FA" w:rsidRPr="00AA2EFA">
              <w:rPr>
                <w:rFonts w:ascii="Arial" w:hAnsi="Arial" w:cs="Arial"/>
                <w:sz w:val="24"/>
                <w:szCs w:val="24"/>
                <w:lang w:val="pl-PL"/>
              </w:rPr>
              <w:t>4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-2026 znajdują się w załączniku G1.</w:t>
            </w:r>
            <w:r w:rsidR="00B257FA" w:rsidRPr="00AA2EFA">
              <w:rPr>
                <w:rFonts w:ascii="Arial" w:hAnsi="Arial" w:cs="Arial"/>
                <w:sz w:val="24"/>
                <w:szCs w:val="24"/>
                <w:lang w:val="pl-PL"/>
              </w:rPr>
              <w:t>PNG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</w:r>
          </w:p>
        </w:tc>
        <w:tc>
          <w:tcPr>
            <w:tcW w:w="6372" w:type="dxa"/>
          </w:tcPr>
          <w:p w14:paraId="4A91A408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20BF1016" w14:textId="77777777" w:rsidTr="00B43592">
        <w:trPr>
          <w:jc w:val="center"/>
        </w:trPr>
        <w:tc>
          <w:tcPr>
            <w:tcW w:w="576" w:type="dxa"/>
          </w:tcPr>
          <w:p w14:paraId="768D2D9F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2004" w:type="dxa"/>
          </w:tcPr>
          <w:p w14:paraId="211C1BE2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Procesor</w:t>
            </w:r>
            <w:proofErr w:type="spellEnd"/>
          </w:p>
        </w:tc>
        <w:tc>
          <w:tcPr>
            <w:tcW w:w="4510" w:type="dxa"/>
          </w:tcPr>
          <w:p w14:paraId="4E666EF7" w14:textId="0A01E290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Procesor klasy x86 dedykowany do pracy w stacjach roboczych o wydajności nie gorszej niż 60</w:t>
            </w:r>
            <w:r w:rsidR="001325F9" w:rsidRPr="00AA2EFA">
              <w:rPr>
                <w:rFonts w:ascii="Arial" w:hAnsi="Arial" w:cs="Arial"/>
                <w:sz w:val="24"/>
                <w:szCs w:val="24"/>
                <w:lang w:val="pl-PL"/>
              </w:rPr>
              <w:t>,075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pkt. w teście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PassMark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CPU Mark https://www.cpubenchmark.net z dnia </w:t>
            </w:r>
            <w:r w:rsidR="001325F9" w:rsidRPr="00AA2EFA">
              <w:rPr>
                <w:rFonts w:ascii="Arial" w:hAnsi="Arial" w:cs="Arial"/>
                <w:sz w:val="24"/>
                <w:szCs w:val="24"/>
                <w:lang w:val="pl-PL"/>
              </w:rPr>
              <w:t>08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-0</w:t>
            </w:r>
            <w:r w:rsidR="001325F9" w:rsidRPr="00AA2EFA">
              <w:rPr>
                <w:rFonts w:ascii="Arial" w:hAnsi="Arial" w:cs="Arial"/>
                <w:sz w:val="24"/>
                <w:szCs w:val="24"/>
                <w:lang w:val="pl-PL"/>
              </w:rPr>
              <w:t>4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-2026.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 xml:space="preserve">Wyniki testu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PassMark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na dzień </w:t>
            </w:r>
            <w:r w:rsidR="004B6878" w:rsidRPr="00AA2EFA">
              <w:rPr>
                <w:rFonts w:ascii="Arial" w:hAnsi="Arial" w:cs="Arial"/>
                <w:sz w:val="24"/>
                <w:szCs w:val="24"/>
                <w:lang w:val="pl-PL"/>
              </w:rPr>
              <w:t>08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-0</w:t>
            </w:r>
            <w:r w:rsidR="004B6878" w:rsidRPr="00AA2EFA">
              <w:rPr>
                <w:rFonts w:ascii="Arial" w:hAnsi="Arial" w:cs="Arial"/>
                <w:sz w:val="24"/>
                <w:szCs w:val="24"/>
                <w:lang w:val="pl-PL"/>
              </w:rPr>
              <w:t>4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-2026 znajdują się w załączniku P1.</w:t>
            </w:r>
            <w:r w:rsidR="001325F9" w:rsidRPr="00AA2EFA">
              <w:rPr>
                <w:rFonts w:ascii="Arial" w:hAnsi="Arial" w:cs="Arial"/>
                <w:sz w:val="24"/>
                <w:szCs w:val="24"/>
                <w:lang w:val="pl-PL"/>
              </w:rPr>
              <w:t>PNG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Wymagania dodatkowe: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- Min. 16 rdzeni / 32 wątki</w:t>
            </w:r>
          </w:p>
        </w:tc>
        <w:tc>
          <w:tcPr>
            <w:tcW w:w="6372" w:type="dxa"/>
          </w:tcPr>
          <w:p w14:paraId="4ABBC69B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29E576C9" w14:textId="77777777" w:rsidTr="00B43592">
        <w:trPr>
          <w:jc w:val="center"/>
        </w:trPr>
        <w:tc>
          <w:tcPr>
            <w:tcW w:w="576" w:type="dxa"/>
          </w:tcPr>
          <w:p w14:paraId="5CD8E56C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04" w:type="dxa"/>
          </w:tcPr>
          <w:p w14:paraId="07E63A60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Pamięć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t xml:space="preserve"> RAM</w:t>
            </w:r>
          </w:p>
        </w:tc>
        <w:tc>
          <w:tcPr>
            <w:tcW w:w="4510" w:type="dxa"/>
          </w:tcPr>
          <w:p w14:paraId="265A3C0F" w14:textId="18330AF6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Min. 128 GB DDR5 ECC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Taktowanie: min. 4800 MHz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Możliwość rozbudowy do min. 256 GB</w:t>
            </w:r>
            <w:r w:rsidR="00A96F05" w:rsidRPr="00AA2EFA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</w:tc>
        <w:tc>
          <w:tcPr>
            <w:tcW w:w="6372" w:type="dxa"/>
          </w:tcPr>
          <w:p w14:paraId="6EBED45A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05E3E992" w14:textId="77777777" w:rsidTr="00B43592">
        <w:trPr>
          <w:jc w:val="center"/>
        </w:trPr>
        <w:tc>
          <w:tcPr>
            <w:tcW w:w="576" w:type="dxa"/>
          </w:tcPr>
          <w:p w14:paraId="630ABAAF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004" w:type="dxa"/>
          </w:tcPr>
          <w:p w14:paraId="2DA8B839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Dysk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t xml:space="preserve"> SSD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NVMe</w:t>
            </w:r>
            <w:proofErr w:type="spellEnd"/>
          </w:p>
        </w:tc>
        <w:tc>
          <w:tcPr>
            <w:tcW w:w="4510" w:type="dxa"/>
          </w:tcPr>
          <w:p w14:paraId="3CB024B8" w14:textId="5499501A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Min. 4 TB łącznie (1 lub 2 dyski)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 xml:space="preserve">Interfejs: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NVMe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PCIe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Gen 4.0</w:t>
            </w:r>
            <w:r w:rsidR="00A96F05"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lub nowszy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Prędkość odczytu sekwencyjnego: min. 5 000 MB/s</w:t>
            </w:r>
          </w:p>
        </w:tc>
        <w:tc>
          <w:tcPr>
            <w:tcW w:w="6372" w:type="dxa"/>
          </w:tcPr>
          <w:p w14:paraId="4C7D81A8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2B9B8B58" w14:textId="77777777" w:rsidTr="00B43592">
        <w:trPr>
          <w:jc w:val="center"/>
        </w:trPr>
        <w:tc>
          <w:tcPr>
            <w:tcW w:w="576" w:type="dxa"/>
          </w:tcPr>
          <w:p w14:paraId="138429DC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2004" w:type="dxa"/>
          </w:tcPr>
          <w:p w14:paraId="504689A7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Dysk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t xml:space="preserve"> HDD</w:t>
            </w:r>
          </w:p>
        </w:tc>
        <w:tc>
          <w:tcPr>
            <w:tcW w:w="4510" w:type="dxa"/>
          </w:tcPr>
          <w:p w14:paraId="3D1BB65E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Min. 16 TB łącznie (1 lub 2 dyski)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Interfejs: SATA III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Przeznaczenie: przechowywanie zbiorów danych i punktów kontrolnych modeli</w:t>
            </w:r>
          </w:p>
        </w:tc>
        <w:tc>
          <w:tcPr>
            <w:tcW w:w="6372" w:type="dxa"/>
          </w:tcPr>
          <w:p w14:paraId="6B3000CC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7E508981" w14:textId="77777777" w:rsidTr="00B43592">
        <w:trPr>
          <w:jc w:val="center"/>
        </w:trPr>
        <w:tc>
          <w:tcPr>
            <w:tcW w:w="576" w:type="dxa"/>
          </w:tcPr>
          <w:p w14:paraId="093D84EA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004" w:type="dxa"/>
          </w:tcPr>
          <w:p w14:paraId="1820C599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Zasilacz</w:t>
            </w:r>
            <w:proofErr w:type="spellEnd"/>
          </w:p>
        </w:tc>
        <w:tc>
          <w:tcPr>
            <w:tcW w:w="4510" w:type="dxa"/>
          </w:tcPr>
          <w:p w14:paraId="3C494816" w14:textId="51A18A03" w:rsidR="00EE1D68" w:rsidRPr="00AA2EFA" w:rsidRDefault="00A96F05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Zasilacz dobrany przez producenta lub wykonawcę do oferowanej konfiguracji, zapewniający stabilną pracę całego zestawu przy pełnym obciążeniu.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Sprawność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t xml:space="preserve">: min. 80 PLUS Platinum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lub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równoważna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72" w:type="dxa"/>
          </w:tcPr>
          <w:p w14:paraId="625F5519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79C38B52" w14:textId="77777777" w:rsidTr="00B43592">
        <w:trPr>
          <w:jc w:val="center"/>
        </w:trPr>
        <w:tc>
          <w:tcPr>
            <w:tcW w:w="576" w:type="dxa"/>
          </w:tcPr>
          <w:p w14:paraId="72B80981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004" w:type="dxa"/>
          </w:tcPr>
          <w:p w14:paraId="19518C95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Chłodzenie</w:t>
            </w:r>
            <w:proofErr w:type="spellEnd"/>
          </w:p>
        </w:tc>
        <w:tc>
          <w:tcPr>
            <w:tcW w:w="4510" w:type="dxa"/>
          </w:tcPr>
          <w:p w14:paraId="688AE733" w14:textId="7FA4ECB2" w:rsidR="00EE1D68" w:rsidRPr="00AA2EFA" w:rsidRDefault="00A96F05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System chłodzenia dobrany </w:t>
            </w:r>
            <w:r w:rsidR="00FF7C02"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przez producenta lub wykonawcę 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zapewniający ciągłą i stabilną pracę 24/7 przy pełnym obciążeniu oferowanej konfiguracji, bez utraty funkcjonalności i bez niestabilności systemu.</w:t>
            </w:r>
          </w:p>
        </w:tc>
        <w:tc>
          <w:tcPr>
            <w:tcW w:w="6372" w:type="dxa"/>
          </w:tcPr>
          <w:p w14:paraId="33D47CC6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7D021A6D" w14:textId="77777777" w:rsidTr="00B43592">
        <w:trPr>
          <w:jc w:val="center"/>
        </w:trPr>
        <w:tc>
          <w:tcPr>
            <w:tcW w:w="576" w:type="dxa"/>
          </w:tcPr>
          <w:p w14:paraId="5DC4CF5C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4" w:type="dxa"/>
          </w:tcPr>
          <w:p w14:paraId="6253DEF3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Obudowa</w:t>
            </w:r>
            <w:proofErr w:type="spellEnd"/>
          </w:p>
        </w:tc>
        <w:tc>
          <w:tcPr>
            <w:tcW w:w="4510" w:type="dxa"/>
          </w:tcPr>
          <w:p w14:paraId="469D0B03" w14:textId="190FEE65" w:rsidR="00EE1D68" w:rsidRPr="00AA2EFA" w:rsidRDefault="00A96F05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Tower lub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rack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19"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Miejsce dla min. 2 kart GPU pełnej długości i podwójnej szerokości</w:t>
            </w:r>
          </w:p>
        </w:tc>
        <w:tc>
          <w:tcPr>
            <w:tcW w:w="6372" w:type="dxa"/>
          </w:tcPr>
          <w:p w14:paraId="11BC39CD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293C7D50" w14:textId="77777777" w:rsidTr="00B43592">
        <w:trPr>
          <w:jc w:val="center"/>
        </w:trPr>
        <w:tc>
          <w:tcPr>
            <w:tcW w:w="576" w:type="dxa"/>
          </w:tcPr>
          <w:p w14:paraId="54BCC733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004" w:type="dxa"/>
          </w:tcPr>
          <w:p w14:paraId="6932D640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Łączność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sieciowa</w:t>
            </w:r>
            <w:proofErr w:type="spellEnd"/>
          </w:p>
        </w:tc>
        <w:tc>
          <w:tcPr>
            <w:tcW w:w="4510" w:type="dxa"/>
          </w:tcPr>
          <w:p w14:paraId="5E525693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Min. 1 port Gigabit Ethernet (RJ-45)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Możliwość zdalnego zarządzania (IPMI/BMC lub oprogramowanie producenta)</w:t>
            </w:r>
          </w:p>
        </w:tc>
        <w:tc>
          <w:tcPr>
            <w:tcW w:w="6372" w:type="dxa"/>
          </w:tcPr>
          <w:p w14:paraId="17D032E0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32FDFDB7" w14:textId="77777777" w:rsidTr="00B43592">
        <w:trPr>
          <w:jc w:val="center"/>
        </w:trPr>
        <w:tc>
          <w:tcPr>
            <w:tcW w:w="576" w:type="dxa"/>
          </w:tcPr>
          <w:p w14:paraId="10A039E9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004" w:type="dxa"/>
          </w:tcPr>
          <w:p w14:paraId="6DDA5CEF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Kompatybilność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oprogramowania</w:t>
            </w:r>
            <w:proofErr w:type="spellEnd"/>
          </w:p>
        </w:tc>
        <w:tc>
          <w:tcPr>
            <w:tcW w:w="4510" w:type="dxa"/>
          </w:tcPr>
          <w:p w14:paraId="6D2C2CFD" w14:textId="40079511" w:rsidR="00EE1D68" w:rsidRPr="00AA2EFA" w:rsidRDefault="000B35EC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Kompatybilność z oprogramowaniem wykorzystywanym do obliczeń AI/ML, w szczególności: NVIDIA CUDA Toolkit 12.x,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PyTorch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TensorFlow</w:t>
            </w:r>
            <w:proofErr w:type="spellEnd"/>
          </w:p>
        </w:tc>
        <w:tc>
          <w:tcPr>
            <w:tcW w:w="6372" w:type="dxa"/>
          </w:tcPr>
          <w:p w14:paraId="52C6E2F7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1C46CD80" w14:textId="77777777" w:rsidTr="00B43592">
        <w:trPr>
          <w:jc w:val="center"/>
        </w:trPr>
        <w:tc>
          <w:tcPr>
            <w:tcW w:w="576" w:type="dxa"/>
          </w:tcPr>
          <w:p w14:paraId="54FB231B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004" w:type="dxa"/>
          </w:tcPr>
          <w:p w14:paraId="417EA38B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Gwarancja</w:t>
            </w:r>
            <w:proofErr w:type="spellEnd"/>
          </w:p>
        </w:tc>
        <w:tc>
          <w:tcPr>
            <w:tcW w:w="4510" w:type="dxa"/>
          </w:tcPr>
          <w:p w14:paraId="3254D214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Min. 36 miesięcy gwarancji na cały zestaw.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Czas reakcji serwisu: do końca następnego dnia roboczego.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Serwis realizowany przez Producenta lub Autoryzowanego Partnera Serwisowego.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</w:r>
            <w:bookmarkStart w:id="1" w:name="_Hlk227315038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W przypadku awarii dysków — dysk pozostaje u Zamawiającego.</w:t>
            </w:r>
            <w:bookmarkEnd w:id="1"/>
          </w:p>
        </w:tc>
        <w:tc>
          <w:tcPr>
            <w:tcW w:w="6372" w:type="dxa"/>
          </w:tcPr>
          <w:p w14:paraId="7B0C2726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E1D68" w:rsidRPr="00AA2EFA" w14:paraId="43EFEE39" w14:textId="77777777" w:rsidTr="00B43592">
        <w:trPr>
          <w:jc w:val="center"/>
        </w:trPr>
        <w:tc>
          <w:tcPr>
            <w:tcW w:w="576" w:type="dxa"/>
          </w:tcPr>
          <w:p w14:paraId="6346622B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A2E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004" w:type="dxa"/>
          </w:tcPr>
          <w:p w14:paraId="1E30EE14" w14:textId="77777777" w:rsidR="00EE1D68" w:rsidRPr="00AA2EFA" w:rsidRDefault="00DF2377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Wymagania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</w:rPr>
              <w:t>dodatkowe</w:t>
            </w:r>
            <w:proofErr w:type="spellEnd"/>
          </w:p>
        </w:tc>
        <w:tc>
          <w:tcPr>
            <w:tcW w:w="4510" w:type="dxa"/>
          </w:tcPr>
          <w:p w14:paraId="562A42AA" w14:textId="6840E675" w:rsidR="000B35EC" w:rsidRPr="00AA2EFA" w:rsidRDefault="000B35EC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Oferowany zestaw musi być nowy, nieużywany wcześniej przez inny podmiot, kompletny oraz wolny od wad. Zamawiający nie dopuszcza sprzętu poleasingowego, powystawowego, odnawianego,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rekondycjonowanego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 xml:space="preserve"> ani typu </w:t>
            </w:r>
            <w:proofErr w:type="spellStart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refurbished</w:t>
            </w:r>
            <w:proofErr w:type="spellEnd"/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  <w:r w:rsidRPr="00AA2EFA">
              <w:rPr>
                <w:rFonts w:ascii="Arial" w:hAnsi="Arial" w:cs="Arial"/>
                <w:sz w:val="24"/>
                <w:szCs w:val="24"/>
                <w:lang w:val="pl-PL"/>
              </w:rPr>
              <w:br/>
              <w:t>Komplet kabli zasilających i sygnałowych.</w:t>
            </w:r>
          </w:p>
        </w:tc>
        <w:tc>
          <w:tcPr>
            <w:tcW w:w="6372" w:type="dxa"/>
          </w:tcPr>
          <w:p w14:paraId="2E4C65F3" w14:textId="77777777" w:rsidR="00EE1D68" w:rsidRPr="00AA2EFA" w:rsidRDefault="00EE1D68" w:rsidP="00AA2EFA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14:paraId="24ECAD35" w14:textId="6E18434A" w:rsidR="00EE1D68" w:rsidRDefault="00EE1D68" w:rsidP="00AA2EFA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7E1311FC" w14:textId="77777777" w:rsidR="00B43592" w:rsidRPr="00B43592" w:rsidRDefault="00B43592" w:rsidP="00B43592">
      <w:pPr>
        <w:spacing w:after="0" w:line="360" w:lineRule="auto"/>
        <w:rPr>
          <w:rFonts w:ascii="Arial" w:eastAsia="Times New Roman" w:hAnsi="Arial" w:cs="Arial"/>
          <w:b/>
          <w:bCs/>
          <w:i/>
          <w:iCs/>
          <w:color w:val="FF0000"/>
          <w:sz w:val="24"/>
          <w:lang w:val="pl-PL" w:eastAsia="pl-PL"/>
        </w:rPr>
      </w:pPr>
      <w:r w:rsidRPr="00B43592">
        <w:rPr>
          <w:rFonts w:ascii="Arial" w:eastAsia="Times New Roman" w:hAnsi="Arial" w:cs="Arial"/>
          <w:b/>
          <w:bCs/>
          <w:i/>
          <w:iCs/>
          <w:color w:val="FF0000"/>
          <w:sz w:val="24"/>
          <w:lang w:val="pl-PL" w:eastAsia="pl-PL"/>
        </w:rPr>
        <w:t>Dokument należy wypełnić i podpisać kwalifikowanym podpisem elektronicznym lub podpisem zaufanym lub podpisem osobistym.</w:t>
      </w:r>
    </w:p>
    <w:p w14:paraId="33DA6312" w14:textId="610F8B59" w:rsidR="00B43592" w:rsidRPr="00AA2EFA" w:rsidRDefault="00B43592" w:rsidP="003A74E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43592">
        <w:rPr>
          <w:rFonts w:ascii="Arial" w:eastAsia="Times New Roman" w:hAnsi="Arial" w:cs="Arial"/>
          <w:b/>
          <w:bCs/>
          <w:i/>
          <w:iCs/>
          <w:color w:val="FF0000"/>
          <w:sz w:val="24"/>
          <w:lang w:val="pl-PL" w:eastAsia="pl-PL"/>
        </w:rPr>
        <w:t>Zamawiający zaleca zapisanie dokumentu w formacie PDF.</w:t>
      </w:r>
    </w:p>
    <w:p w14:paraId="26BD9A21" w14:textId="77777777" w:rsidR="00EE1D68" w:rsidRPr="00AA2EFA" w:rsidRDefault="00DF2377" w:rsidP="00AA2EFA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proofErr w:type="spellStart"/>
      <w:r w:rsidRPr="00AA2EFA">
        <w:rPr>
          <w:rFonts w:ascii="Arial" w:hAnsi="Arial" w:cs="Arial"/>
          <w:b/>
          <w:sz w:val="24"/>
          <w:szCs w:val="24"/>
        </w:rPr>
        <w:t>Załączniki</w:t>
      </w:r>
      <w:proofErr w:type="spellEnd"/>
      <w:r w:rsidRPr="00AA2EFA">
        <w:rPr>
          <w:rFonts w:ascii="Arial" w:hAnsi="Arial" w:cs="Arial"/>
          <w:b/>
          <w:sz w:val="24"/>
          <w:szCs w:val="24"/>
        </w:rPr>
        <w:t>:</w:t>
      </w:r>
    </w:p>
    <w:p w14:paraId="52CEAF97" w14:textId="62023047" w:rsidR="00EE1D68" w:rsidRPr="00AA2EFA" w:rsidRDefault="00DF2377" w:rsidP="00AA2EFA">
      <w:pPr>
        <w:pStyle w:val="Listapunktowana"/>
        <w:spacing w:before="120" w:after="120" w:line="360" w:lineRule="auto"/>
        <w:contextualSpacing w:val="0"/>
        <w:rPr>
          <w:rFonts w:ascii="Arial" w:hAnsi="Arial" w:cs="Arial"/>
          <w:sz w:val="24"/>
          <w:szCs w:val="24"/>
          <w:lang w:val="pl-PL"/>
        </w:rPr>
      </w:pPr>
      <w:r w:rsidRPr="00AA2EFA">
        <w:rPr>
          <w:rFonts w:ascii="Arial" w:hAnsi="Arial" w:cs="Arial"/>
          <w:sz w:val="24"/>
          <w:szCs w:val="24"/>
          <w:lang w:val="pl-PL"/>
        </w:rPr>
        <w:t>P1</w:t>
      </w:r>
      <w:r w:rsidR="002C50D3" w:rsidRPr="00AA2EFA">
        <w:rPr>
          <w:rFonts w:ascii="Arial" w:hAnsi="Arial" w:cs="Arial"/>
          <w:sz w:val="24"/>
          <w:szCs w:val="24"/>
          <w:lang w:val="pl-PL"/>
        </w:rPr>
        <w:t>.PNG</w:t>
      </w:r>
      <w:r w:rsidRPr="00AA2EFA">
        <w:rPr>
          <w:rFonts w:ascii="Arial" w:hAnsi="Arial" w:cs="Arial"/>
          <w:sz w:val="24"/>
          <w:szCs w:val="24"/>
          <w:lang w:val="pl-PL"/>
        </w:rPr>
        <w:t xml:space="preserve"> — Wyniki testu </w:t>
      </w:r>
      <w:proofErr w:type="spellStart"/>
      <w:r w:rsidRPr="00AA2EFA">
        <w:rPr>
          <w:rFonts w:ascii="Arial" w:hAnsi="Arial" w:cs="Arial"/>
          <w:sz w:val="24"/>
          <w:szCs w:val="24"/>
          <w:lang w:val="pl-PL"/>
        </w:rPr>
        <w:t>PassMark</w:t>
      </w:r>
      <w:proofErr w:type="spellEnd"/>
      <w:r w:rsidRPr="00AA2EFA">
        <w:rPr>
          <w:rFonts w:ascii="Arial" w:hAnsi="Arial" w:cs="Arial"/>
          <w:sz w:val="24"/>
          <w:szCs w:val="24"/>
          <w:lang w:val="pl-PL"/>
        </w:rPr>
        <w:t xml:space="preserve"> CPU Mark z dnia </w:t>
      </w:r>
      <w:r w:rsidR="002C50D3" w:rsidRPr="00AA2EFA">
        <w:rPr>
          <w:rFonts w:ascii="Arial" w:hAnsi="Arial" w:cs="Arial"/>
          <w:sz w:val="24"/>
          <w:szCs w:val="24"/>
          <w:lang w:val="pl-PL"/>
        </w:rPr>
        <w:t>08</w:t>
      </w:r>
      <w:r w:rsidRPr="00AA2EFA">
        <w:rPr>
          <w:rFonts w:ascii="Arial" w:hAnsi="Arial" w:cs="Arial"/>
          <w:sz w:val="24"/>
          <w:szCs w:val="24"/>
          <w:lang w:val="pl-PL"/>
        </w:rPr>
        <w:t>-0</w:t>
      </w:r>
      <w:r w:rsidR="002C50D3" w:rsidRPr="00AA2EFA">
        <w:rPr>
          <w:rFonts w:ascii="Arial" w:hAnsi="Arial" w:cs="Arial"/>
          <w:sz w:val="24"/>
          <w:szCs w:val="24"/>
          <w:lang w:val="pl-PL"/>
        </w:rPr>
        <w:t>4</w:t>
      </w:r>
      <w:r w:rsidRPr="00AA2EFA">
        <w:rPr>
          <w:rFonts w:ascii="Arial" w:hAnsi="Arial" w:cs="Arial"/>
          <w:sz w:val="24"/>
          <w:szCs w:val="24"/>
          <w:lang w:val="pl-PL"/>
        </w:rPr>
        <w:t>-2026 (cpubenchmark.net)</w:t>
      </w:r>
    </w:p>
    <w:p w14:paraId="5E331842" w14:textId="0D494625" w:rsidR="00EE1D68" w:rsidRPr="00AA2EFA" w:rsidRDefault="00DF2377" w:rsidP="00AA2EFA">
      <w:pPr>
        <w:pStyle w:val="Listapunktowana"/>
        <w:spacing w:before="120" w:after="120" w:line="360" w:lineRule="auto"/>
        <w:contextualSpacing w:val="0"/>
        <w:rPr>
          <w:rFonts w:ascii="Arial" w:hAnsi="Arial" w:cs="Arial"/>
          <w:sz w:val="24"/>
          <w:szCs w:val="24"/>
          <w:lang w:val="pl-PL"/>
        </w:rPr>
      </w:pPr>
      <w:r w:rsidRPr="00AA2EFA">
        <w:rPr>
          <w:rFonts w:ascii="Arial" w:hAnsi="Arial" w:cs="Arial"/>
          <w:sz w:val="24"/>
          <w:szCs w:val="24"/>
          <w:lang w:val="pl-PL"/>
        </w:rPr>
        <w:t>G1</w:t>
      </w:r>
      <w:r w:rsidR="002C50D3" w:rsidRPr="00AA2EFA">
        <w:rPr>
          <w:rFonts w:ascii="Arial" w:hAnsi="Arial" w:cs="Arial"/>
          <w:sz w:val="24"/>
          <w:szCs w:val="24"/>
          <w:lang w:val="pl-PL"/>
        </w:rPr>
        <w:t>.PNG</w:t>
      </w:r>
      <w:r w:rsidRPr="00AA2EFA">
        <w:rPr>
          <w:rFonts w:ascii="Arial" w:hAnsi="Arial" w:cs="Arial"/>
          <w:sz w:val="24"/>
          <w:szCs w:val="24"/>
          <w:lang w:val="pl-PL"/>
        </w:rPr>
        <w:t xml:space="preserve"> — Wyniki testu </w:t>
      </w:r>
      <w:proofErr w:type="spellStart"/>
      <w:r w:rsidRPr="00AA2EFA">
        <w:rPr>
          <w:rFonts w:ascii="Arial" w:hAnsi="Arial" w:cs="Arial"/>
          <w:sz w:val="24"/>
          <w:szCs w:val="24"/>
          <w:lang w:val="pl-PL"/>
        </w:rPr>
        <w:t>PassMark</w:t>
      </w:r>
      <w:proofErr w:type="spellEnd"/>
      <w:r w:rsidRPr="00AA2EFA">
        <w:rPr>
          <w:rFonts w:ascii="Arial" w:hAnsi="Arial" w:cs="Arial"/>
          <w:sz w:val="24"/>
          <w:szCs w:val="24"/>
          <w:lang w:val="pl-PL"/>
        </w:rPr>
        <w:t xml:space="preserve"> G3D Mark z dnia </w:t>
      </w:r>
      <w:r w:rsidR="002C50D3" w:rsidRPr="00AA2EFA">
        <w:rPr>
          <w:rFonts w:ascii="Arial" w:hAnsi="Arial" w:cs="Arial"/>
          <w:sz w:val="24"/>
          <w:szCs w:val="24"/>
          <w:lang w:val="pl-PL"/>
        </w:rPr>
        <w:t>08</w:t>
      </w:r>
      <w:r w:rsidRPr="00AA2EFA">
        <w:rPr>
          <w:rFonts w:ascii="Arial" w:hAnsi="Arial" w:cs="Arial"/>
          <w:sz w:val="24"/>
          <w:szCs w:val="24"/>
          <w:lang w:val="pl-PL"/>
        </w:rPr>
        <w:t>-0</w:t>
      </w:r>
      <w:r w:rsidR="002C50D3" w:rsidRPr="00AA2EFA">
        <w:rPr>
          <w:rFonts w:ascii="Arial" w:hAnsi="Arial" w:cs="Arial"/>
          <w:sz w:val="24"/>
          <w:szCs w:val="24"/>
          <w:lang w:val="pl-PL"/>
        </w:rPr>
        <w:t>4</w:t>
      </w:r>
      <w:r w:rsidRPr="00AA2EFA">
        <w:rPr>
          <w:rFonts w:ascii="Arial" w:hAnsi="Arial" w:cs="Arial"/>
          <w:sz w:val="24"/>
          <w:szCs w:val="24"/>
          <w:lang w:val="pl-PL"/>
        </w:rPr>
        <w:t>-2026 (videocardbenchmark.net)</w:t>
      </w:r>
    </w:p>
    <w:sectPr w:rsidR="00EE1D68" w:rsidRPr="00AA2EFA" w:rsidSect="00B43592">
      <w:headerReference w:type="default" r:id="rId8"/>
      <w:pgSz w:w="15840" w:h="12240" w:orient="landscape"/>
      <w:pgMar w:top="1800" w:right="1440" w:bottom="180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5A9A" w14:textId="77777777" w:rsidR="00DF2377" w:rsidRDefault="00DF2377" w:rsidP="00DF2377">
      <w:pPr>
        <w:spacing w:after="0" w:line="240" w:lineRule="auto"/>
      </w:pPr>
      <w:r>
        <w:separator/>
      </w:r>
    </w:p>
  </w:endnote>
  <w:endnote w:type="continuationSeparator" w:id="0">
    <w:p w14:paraId="1DE9D245" w14:textId="77777777" w:rsidR="00DF2377" w:rsidRDefault="00DF2377" w:rsidP="00DF2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06A24" w14:textId="77777777" w:rsidR="00DF2377" w:rsidRDefault="00DF2377" w:rsidP="00DF2377">
      <w:pPr>
        <w:spacing w:after="0" w:line="240" w:lineRule="auto"/>
      </w:pPr>
      <w:r>
        <w:separator/>
      </w:r>
    </w:p>
  </w:footnote>
  <w:footnote w:type="continuationSeparator" w:id="0">
    <w:p w14:paraId="0E588650" w14:textId="77777777" w:rsidR="00DF2377" w:rsidRDefault="00DF2377" w:rsidP="00DF2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23B77" w14:textId="77777777" w:rsidR="00CD6EBB" w:rsidRPr="00AA2EFA" w:rsidRDefault="00CD6EBB" w:rsidP="00CD6EBB">
    <w:pPr>
      <w:ind w:left="142" w:right="-284" w:hanging="142"/>
      <w:jc w:val="center"/>
      <w:rPr>
        <w:rFonts w:ascii="Arial" w:hAnsi="Arial" w:cs="Arial"/>
        <w:i/>
        <w:iCs/>
        <w:color w:val="1F497D"/>
        <w:sz w:val="24"/>
        <w:szCs w:val="24"/>
      </w:rPr>
    </w:pPr>
    <w:r w:rsidRPr="00A565E5">
      <w:tab/>
    </w:r>
  </w:p>
  <w:p w14:paraId="03BE2C9B" w14:textId="6483E87F" w:rsidR="00DF2377" w:rsidRPr="00AA2EFA" w:rsidRDefault="00CD6EBB" w:rsidP="00AA2EFA">
    <w:pPr>
      <w:pStyle w:val="Nagwek"/>
      <w:jc w:val="center"/>
      <w:rPr>
        <w:sz w:val="24"/>
        <w:szCs w:val="24"/>
      </w:rPr>
    </w:pPr>
    <w:r w:rsidRPr="00AA2EFA">
      <w:rPr>
        <w:rFonts w:ascii="Arial" w:hAnsi="Arial" w:cs="Arial"/>
        <w:b/>
        <w:i/>
        <w:sz w:val="24"/>
        <w:szCs w:val="24"/>
      </w:rPr>
      <w:t xml:space="preserve">Nr sprawy  ZP/D/27/2026          </w:t>
    </w:r>
    <w:r w:rsidR="00B43592">
      <w:rPr>
        <w:rFonts w:ascii="Arial" w:hAnsi="Arial" w:cs="Arial"/>
        <w:b/>
        <w:i/>
        <w:sz w:val="24"/>
        <w:szCs w:val="24"/>
      </w:rPr>
      <w:t xml:space="preserve">                      </w:t>
    </w:r>
    <w:r w:rsidRPr="00AA2EFA">
      <w:rPr>
        <w:rFonts w:ascii="Arial" w:hAnsi="Arial" w:cs="Arial"/>
        <w:b/>
        <w:i/>
        <w:sz w:val="24"/>
        <w:szCs w:val="24"/>
      </w:rPr>
      <w:t xml:space="preserve">             </w:t>
    </w:r>
    <w:r w:rsidRPr="00AA2EFA">
      <w:rPr>
        <w:rFonts w:ascii="Arial" w:hAnsi="Arial" w:cs="Arial"/>
        <w:b/>
        <w:i/>
        <w:sz w:val="24"/>
        <w:szCs w:val="24"/>
      </w:rPr>
      <w:tab/>
    </w:r>
    <w:r w:rsidR="00AA2EFA">
      <w:rPr>
        <w:rFonts w:ascii="Arial" w:hAnsi="Arial" w:cs="Arial"/>
        <w:b/>
        <w:i/>
        <w:sz w:val="24"/>
        <w:szCs w:val="24"/>
      </w:rPr>
      <w:t xml:space="preserve">        </w:t>
    </w:r>
    <w:r w:rsidRPr="00AA2EFA">
      <w:rPr>
        <w:rFonts w:ascii="Arial" w:hAnsi="Arial" w:cs="Arial"/>
        <w:b/>
        <w:i/>
        <w:sz w:val="24"/>
        <w:szCs w:val="24"/>
      </w:rPr>
      <w:t xml:space="preserve"> </w:t>
    </w:r>
    <w:r w:rsidR="00AA2EFA">
      <w:rPr>
        <w:rFonts w:ascii="Arial" w:hAnsi="Arial" w:cs="Arial"/>
        <w:b/>
        <w:i/>
        <w:sz w:val="24"/>
        <w:szCs w:val="24"/>
      </w:rPr>
      <w:t xml:space="preserve">      </w:t>
    </w:r>
    <w:r w:rsidR="00B43592">
      <w:rPr>
        <w:rFonts w:ascii="Arial" w:hAnsi="Arial" w:cs="Arial"/>
        <w:b/>
        <w:i/>
        <w:sz w:val="24"/>
        <w:szCs w:val="24"/>
      </w:rPr>
      <w:t xml:space="preserve">                                                      </w:t>
    </w:r>
    <w:r w:rsidRPr="00AA2EFA">
      <w:rPr>
        <w:rFonts w:ascii="Arial" w:hAnsi="Arial" w:cs="Arial"/>
        <w:b/>
        <w:i/>
        <w:sz w:val="24"/>
        <w:szCs w:val="24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9A8C519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0030507">
    <w:abstractNumId w:val="8"/>
  </w:num>
  <w:num w:numId="2" w16cid:durableId="813718080">
    <w:abstractNumId w:val="6"/>
  </w:num>
  <w:num w:numId="3" w16cid:durableId="509835693">
    <w:abstractNumId w:val="5"/>
  </w:num>
  <w:num w:numId="4" w16cid:durableId="198713041">
    <w:abstractNumId w:val="4"/>
  </w:num>
  <w:num w:numId="5" w16cid:durableId="537814194">
    <w:abstractNumId w:val="7"/>
  </w:num>
  <w:num w:numId="6" w16cid:durableId="1134521155">
    <w:abstractNumId w:val="3"/>
  </w:num>
  <w:num w:numId="7" w16cid:durableId="533929733">
    <w:abstractNumId w:val="2"/>
  </w:num>
  <w:num w:numId="8" w16cid:durableId="950819882">
    <w:abstractNumId w:val="1"/>
  </w:num>
  <w:num w:numId="9" w16cid:durableId="7274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35EC"/>
    <w:rsid w:val="001325F9"/>
    <w:rsid w:val="0015074B"/>
    <w:rsid w:val="00242814"/>
    <w:rsid w:val="0029639D"/>
    <w:rsid w:val="002C50D3"/>
    <w:rsid w:val="00326F90"/>
    <w:rsid w:val="00371972"/>
    <w:rsid w:val="003A1694"/>
    <w:rsid w:val="003A74E5"/>
    <w:rsid w:val="004B6878"/>
    <w:rsid w:val="004C260A"/>
    <w:rsid w:val="00714504"/>
    <w:rsid w:val="0077243F"/>
    <w:rsid w:val="009E733B"/>
    <w:rsid w:val="00A96F05"/>
    <w:rsid w:val="00AA1D8D"/>
    <w:rsid w:val="00AA2EFA"/>
    <w:rsid w:val="00AF6155"/>
    <w:rsid w:val="00B257FA"/>
    <w:rsid w:val="00B36460"/>
    <w:rsid w:val="00B43592"/>
    <w:rsid w:val="00B47730"/>
    <w:rsid w:val="00B96792"/>
    <w:rsid w:val="00BC737F"/>
    <w:rsid w:val="00CB0664"/>
    <w:rsid w:val="00CC0EC3"/>
    <w:rsid w:val="00CD6EBB"/>
    <w:rsid w:val="00D51325"/>
    <w:rsid w:val="00D85363"/>
    <w:rsid w:val="00DF2377"/>
    <w:rsid w:val="00E81C47"/>
    <w:rsid w:val="00EE1D68"/>
    <w:rsid w:val="00F8248C"/>
    <w:rsid w:val="00FC693F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85BBA1E"/>
  <w14:defaultImageDpi w14:val="300"/>
  <w15:docId w15:val="{EC2C06F0-197B-40EE-8B7B-A8E09BE5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hAnsi="Calibri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rsid w:val="00CD6EBB"/>
    <w:pPr>
      <w:spacing w:after="0" w:line="240" w:lineRule="auto"/>
    </w:pPr>
    <w:rPr>
      <w:rFonts w:ascii="Tahoma" w:eastAsia="Times New Roman" w:hAnsi="Tahoma" w:cs="Times New Roman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6EBB"/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43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A74E5"/>
    <w:pPr>
      <w:spacing w:after="0" w:line="240" w:lineRule="auto"/>
    </w:pPr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DCF266-1723-4440-AA9F-322BC0AB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522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Kamilla Jaszczyńska</cp:lastModifiedBy>
  <cp:revision>2</cp:revision>
  <dcterms:created xsi:type="dcterms:W3CDTF">2026-04-21T09:58:00Z</dcterms:created>
  <dcterms:modified xsi:type="dcterms:W3CDTF">2026-04-21T09:58:00Z</dcterms:modified>
  <cp:category/>
</cp:coreProperties>
</file>