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8532A" w14:textId="77777777" w:rsidR="00C164C0" w:rsidRPr="002B7CA6" w:rsidRDefault="00C164C0" w:rsidP="00C164C0">
      <w:pPr>
        <w:spacing w:before="100" w:beforeAutospacing="1" w:after="100" w:afterAutospacing="1"/>
        <w:jc w:val="center"/>
        <w:outlineLvl w:val="0"/>
        <w:rPr>
          <w:rFonts w:ascii="Calibri" w:eastAsia="Calibri" w:hAnsi="Calibri" w:cs="Calibri"/>
          <w:b/>
          <w:bCs/>
          <w:kern w:val="36"/>
        </w:rPr>
      </w:pPr>
      <w:r w:rsidRPr="002B7CA6">
        <w:rPr>
          <w:rFonts w:ascii="Calibri" w:hAnsi="Calibri" w:cs="Calibri"/>
          <w:noProof/>
          <w:lang w:eastAsia="pl-PL"/>
        </w:rPr>
        <w:drawing>
          <wp:inline distT="0" distB="0" distL="0" distR="0" wp14:anchorId="2379C623" wp14:editId="11B2F2DA">
            <wp:extent cx="5731510" cy="456565"/>
            <wp:effectExtent l="0" t="0" r="2540" b="635"/>
            <wp:docPr id="6" name="Obraz 6" descr="R:\ZAMÓWIENIA PUBLICZNE\.ZP 2026\Wyposażenie biblioteki\pasek-logotypow-FEWL-z-polsa-flaga-RGB-scal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R:\ZAMÓWIENIA PUBLICZNE\.ZP 2026\Wyposażenie biblioteki\pasek-logotypow-FEWL-z-polsa-flaga-RGB-scale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B2330" w14:textId="77777777" w:rsidR="00C164C0" w:rsidRPr="002B7CA6" w:rsidRDefault="00C164C0" w:rsidP="00C164C0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</w:p>
    <w:p w14:paraId="6781B35D" w14:textId="1D1E5C2D" w:rsidR="00C164C0" w:rsidRPr="002B7CA6" w:rsidRDefault="00C164C0" w:rsidP="00C164C0">
      <w:pPr>
        <w:spacing w:before="100" w:beforeAutospacing="1" w:after="100" w:afterAutospacing="1"/>
        <w:jc w:val="right"/>
        <w:outlineLvl w:val="0"/>
        <w:rPr>
          <w:rFonts w:ascii="Calibri" w:hAnsi="Calibri" w:cs="Calibri"/>
        </w:rPr>
      </w:pPr>
      <w:r w:rsidRPr="002B7CA6">
        <w:rPr>
          <w:rFonts w:ascii="Calibri" w:hAnsi="Calibri" w:cs="Calibri"/>
        </w:rPr>
        <w:t xml:space="preserve">Załącznik </w:t>
      </w:r>
      <w:r w:rsidR="002B7CA6" w:rsidRPr="002B7CA6">
        <w:rPr>
          <w:rFonts w:ascii="Calibri" w:hAnsi="Calibri" w:cs="Calibri"/>
        </w:rPr>
        <w:t>F</w:t>
      </w:r>
      <w:r w:rsidRPr="002B7CA6">
        <w:rPr>
          <w:rFonts w:ascii="Calibri" w:hAnsi="Calibri" w:cs="Calibri"/>
        </w:rPr>
        <w:t xml:space="preserve"> do SWZ</w:t>
      </w:r>
    </w:p>
    <w:p w14:paraId="75CAE933" w14:textId="77777777" w:rsidR="00C164C0" w:rsidRPr="002B7CA6" w:rsidRDefault="00C164C0" w:rsidP="00C164C0">
      <w:pPr>
        <w:spacing w:before="100" w:beforeAutospacing="1" w:after="100" w:afterAutospacing="1"/>
        <w:outlineLvl w:val="0"/>
        <w:rPr>
          <w:rFonts w:ascii="Calibri" w:eastAsia="Calibri" w:hAnsi="Calibri" w:cs="Calibri"/>
          <w:b/>
          <w:bCs/>
          <w:kern w:val="36"/>
        </w:rPr>
      </w:pPr>
      <w:r w:rsidRPr="002B7CA6">
        <w:rPr>
          <w:rFonts w:ascii="Calibri" w:hAnsi="Calibri" w:cs="Calibri"/>
        </w:rPr>
        <w:t>Nr postępowania: RI.271.1.12.2026.TF</w:t>
      </w:r>
    </w:p>
    <w:p w14:paraId="04613162" w14:textId="77777777" w:rsidR="00C164C0" w:rsidRPr="002B7CA6" w:rsidRDefault="00C164C0" w:rsidP="00C164C0">
      <w:pPr>
        <w:spacing w:line="360" w:lineRule="auto"/>
        <w:jc w:val="center"/>
        <w:rPr>
          <w:rFonts w:ascii="Calibri" w:hAnsi="Calibri" w:cs="Calibri"/>
          <w:b/>
          <w:lang w:eastAsia="pl-PL"/>
        </w:rPr>
      </w:pPr>
      <w:r w:rsidRPr="002B7CA6">
        <w:rPr>
          <w:rFonts w:ascii="Calibri" w:hAnsi="Calibri" w:cs="Calibri"/>
          <w:b/>
        </w:rPr>
        <w:t>Wspieranie zintegrowanego i sprzyjającego włączeniu społecznemu rozwoju społecznego, gospodarczego i środowiskowego w obszarze PPWLZR -rozwój obszarów miejskich i pozamiejskich</w:t>
      </w:r>
    </w:p>
    <w:p w14:paraId="31868CE7" w14:textId="77777777" w:rsidR="00C164C0" w:rsidRPr="002B7CA6" w:rsidRDefault="00C164C0" w:rsidP="00634139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</w:pPr>
    </w:p>
    <w:p w14:paraId="3A1496B1" w14:textId="3AD0B531" w:rsidR="00634139" w:rsidRPr="002B7CA6" w:rsidRDefault="002B7CA6" w:rsidP="00634139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  <w:t xml:space="preserve">OPIS PRZEDMIOTU ZAMÓWIENIA </w:t>
      </w:r>
      <w:r w:rsidR="0021667F">
        <w:rPr>
          <w:rFonts w:ascii="Calibri" w:eastAsia="Times New Roman" w:hAnsi="Calibri" w:cs="Calibri"/>
          <w:b/>
          <w:bCs/>
          <w:kern w:val="36"/>
          <w:lang w:eastAsia="en-GB"/>
          <w14:ligatures w14:val="none"/>
        </w:rPr>
        <w:t xml:space="preserve">– </w:t>
      </w:r>
      <w:r w:rsidRPr="002B7CA6">
        <w:rPr>
          <w:rFonts w:ascii="Calibri" w:eastAsia="Calibri" w:hAnsi="Calibri" w:cs="Calibri"/>
          <w:b/>
          <w:bCs/>
          <w:lang w:val="x-none" w:eastAsia="x-none"/>
        </w:rPr>
        <w:t>CZĘŚ</w:t>
      </w:r>
      <w:r w:rsidRPr="002B7CA6">
        <w:rPr>
          <w:rFonts w:ascii="Calibri" w:eastAsia="Calibri" w:hAnsi="Calibri" w:cs="Calibri"/>
          <w:b/>
          <w:bCs/>
          <w:lang w:eastAsia="x-none"/>
        </w:rPr>
        <w:t>Ć</w:t>
      </w:r>
      <w:r w:rsidR="0021667F">
        <w:rPr>
          <w:rFonts w:ascii="Calibri" w:eastAsia="Calibri" w:hAnsi="Calibri" w:cs="Calibri"/>
          <w:b/>
          <w:bCs/>
          <w:lang w:eastAsia="x-none"/>
        </w:rPr>
        <w:t xml:space="preserve"> </w:t>
      </w:r>
      <w:bookmarkStart w:id="0" w:name="_GoBack"/>
      <w:bookmarkEnd w:id="0"/>
      <w:r w:rsidRPr="002B7CA6">
        <w:rPr>
          <w:rFonts w:ascii="Calibri" w:eastAsia="Calibri" w:hAnsi="Calibri" w:cs="Calibri"/>
          <w:b/>
          <w:bCs/>
          <w:lang w:val="x-none" w:eastAsia="x-none"/>
        </w:rPr>
        <w:t xml:space="preserve"> I</w:t>
      </w:r>
      <w:r w:rsidRPr="002B7CA6">
        <w:rPr>
          <w:rFonts w:ascii="Calibri" w:eastAsia="Calibri" w:hAnsi="Calibri" w:cs="Calibri"/>
          <w:b/>
          <w:bCs/>
          <w:lang w:eastAsia="x-none"/>
        </w:rPr>
        <w:t>V</w:t>
      </w:r>
      <w:r w:rsidRPr="002B7CA6">
        <w:rPr>
          <w:rFonts w:ascii="Calibri" w:eastAsia="Calibri" w:hAnsi="Calibri" w:cs="Calibri"/>
          <w:b/>
          <w:bCs/>
          <w:lang w:val="x-none" w:eastAsia="x-none"/>
        </w:rPr>
        <w:t xml:space="preserve"> ZAMÓWIENIA  – DOSTAWA </w:t>
      </w:r>
      <w:r w:rsidRPr="002B7CA6">
        <w:rPr>
          <w:rFonts w:ascii="Calibri" w:eastAsia="Calibri" w:hAnsi="Calibri" w:cs="Calibri"/>
          <w:b/>
          <w:bCs/>
          <w:lang w:eastAsia="x-none"/>
        </w:rPr>
        <w:t>OŚWIETLENIA</w:t>
      </w:r>
    </w:p>
    <w:p w14:paraId="42E5E6D5" w14:textId="371A1C76" w:rsidR="00634139" w:rsidRDefault="00634139" w:rsidP="00634139">
      <w:pPr>
        <w:spacing w:before="100" w:beforeAutospacing="1" w:after="100" w:afterAutospacing="1" w:line="240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 xml:space="preserve">Iluminacja elewacji budynków – Biblioteka Publiczna oraz budynek dawnego sklepu </w:t>
      </w:r>
      <w:r w:rsidR="002B7CA6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mięsnego (Centrum Infromacj</w:t>
      </w: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i Turystycznej)</w:t>
      </w:r>
    </w:p>
    <w:p w14:paraId="29939687" w14:textId="77777777" w:rsidR="00740B07" w:rsidRDefault="00740B07" w:rsidP="00740B07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</w:p>
    <w:p w14:paraId="5FC1C833" w14:textId="77777777" w:rsidR="00740B07" w:rsidRPr="008657E0" w:rsidRDefault="00740B07" w:rsidP="00740B07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FFFFFF" w:themeColor="background1"/>
          <w:kern w:val="36"/>
        </w:rPr>
      </w:pPr>
      <w:r w:rsidRPr="008657E0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</w:rPr>
        <w:t>WYMAGANIA</w:t>
      </w:r>
      <w:r w:rsidRPr="008657E0">
        <w:rPr>
          <w:rFonts w:ascii="Calibri" w:eastAsia="Times New Roman" w:hAnsi="Calibri" w:cs="Calibri"/>
          <w:b/>
          <w:bCs/>
          <w:color w:val="FFFFFF" w:themeColor="background1"/>
          <w:kern w:val="36"/>
          <w:highlight w:val="black"/>
        </w:rPr>
        <w:t xml:space="preserve"> </w:t>
      </w:r>
      <w:r w:rsidRPr="008657E0">
        <w:rPr>
          <w:rFonts w:ascii="Calibri" w:eastAsia="Calibri" w:hAnsi="Calibri" w:cs="Calibri"/>
          <w:b/>
          <w:bCs/>
          <w:color w:val="FFFFFF" w:themeColor="background1"/>
          <w:kern w:val="36"/>
          <w:highlight w:val="black"/>
        </w:rPr>
        <w:t>OGÓLNE</w:t>
      </w:r>
    </w:p>
    <w:p w14:paraId="773C3138" w14:textId="048FEB3F" w:rsidR="00740B07" w:rsidRPr="008657E0" w:rsidRDefault="00740B07" w:rsidP="00740B07">
      <w:pPr>
        <w:numPr>
          <w:ilvl w:val="0"/>
          <w:numId w:val="14"/>
        </w:numPr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</w:rPr>
        <w:t>Dostarczone oświetlenie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musi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być</w:t>
      </w:r>
      <w:r w:rsidRPr="008657E0">
        <w:rPr>
          <w:rFonts w:ascii="Calibri" w:eastAsia="Times New Roman" w:hAnsi="Calibri" w:cs="Calibri"/>
        </w:rPr>
        <w:t>:</w:t>
      </w:r>
    </w:p>
    <w:p w14:paraId="5B3921BC" w14:textId="5396F1F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fabrycznie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now</w:t>
      </w:r>
      <w:r>
        <w:rPr>
          <w:rFonts w:ascii="Calibri" w:eastAsia="Calibri" w:hAnsi="Calibri" w:cs="Calibri"/>
          <w:kern w:val="0"/>
          <w:lang w:eastAsia="en-GB"/>
          <w14:ligatures w14:val="none"/>
        </w:rPr>
        <w:t>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,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nieużywan</w:t>
      </w:r>
      <w:r>
        <w:rPr>
          <w:rFonts w:ascii="Calibri" w:eastAsia="Calibri" w:hAnsi="Calibri" w:cs="Calibri"/>
          <w:kern w:val="0"/>
          <w:lang w:eastAsia="en-GB"/>
          <w14:ligatures w14:val="none"/>
        </w:rPr>
        <w:t>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39D014D2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wolna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od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wad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fizycznych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prawnych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7EBB88DD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dopuszczona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obrotu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terenie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UE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7B7E788C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zgodna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obowiązującymi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normami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PN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-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EN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3DE39336" w14:textId="77777777" w:rsidR="00740B07" w:rsidRPr="008657E0" w:rsidRDefault="00740B07" w:rsidP="00740B07">
      <w:pPr>
        <w:pStyle w:val="Akapitzlist"/>
        <w:numPr>
          <w:ilvl w:val="0"/>
          <w:numId w:val="15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oznakowana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CE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(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jeśli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dotyczy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)</w:t>
      </w:r>
      <w:r w:rsidRPr="008657E0">
        <w:rPr>
          <w:rFonts w:ascii="Calibri" w:hAnsi="Calibri" w:cs="Calibri"/>
        </w:rPr>
        <w:t>.</w:t>
      </w:r>
    </w:p>
    <w:p w14:paraId="5E935E4D" w14:textId="77777777" w:rsidR="00740B07" w:rsidRPr="008657E0" w:rsidRDefault="00740B07" w:rsidP="00740B07">
      <w:pPr>
        <w:pStyle w:val="Akapitzlist"/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</w:p>
    <w:p w14:paraId="56958816" w14:textId="60CD6A0B" w:rsidR="00740B07" w:rsidRPr="008657E0" w:rsidRDefault="00740B07" w:rsidP="00740B07">
      <w:pPr>
        <w:pStyle w:val="Akapitzlist"/>
        <w:numPr>
          <w:ilvl w:val="0"/>
          <w:numId w:val="14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hAnsi="Calibri" w:cs="Calibri"/>
        </w:rPr>
        <w:t>Zamawiający dopuszcza rozwiązania równoważne, pod warunkiem zachowania parametrów technicznych oraz zbliżonego charakteru wizualnego i jakościowego.</w:t>
      </w:r>
    </w:p>
    <w:p w14:paraId="31D8CDB4" w14:textId="77777777" w:rsidR="00740B07" w:rsidRPr="008657E0" w:rsidRDefault="00740B07" w:rsidP="00740B07">
      <w:pPr>
        <w:numPr>
          <w:ilvl w:val="0"/>
          <w:numId w:val="14"/>
        </w:numPr>
        <w:spacing w:before="100" w:beforeAutospacing="1" w:after="100" w:afterAutospacing="1" w:line="240" w:lineRule="auto"/>
        <w:ind w:left="284" w:hanging="284"/>
        <w:rPr>
          <w:rFonts w:ascii="Calibri" w:eastAsia="Times New Roman" w:hAnsi="Calibri" w:cs="Calibri"/>
        </w:rPr>
      </w:pPr>
      <w:r w:rsidRPr="008657E0">
        <w:rPr>
          <w:rFonts w:ascii="Calibri" w:eastAsia="Calibri" w:hAnsi="Calibri" w:cs="Calibri"/>
        </w:rPr>
        <w:t>Wykonawca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zobowiązany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jest</w:t>
      </w:r>
      <w:r w:rsidRPr="008657E0">
        <w:rPr>
          <w:rFonts w:ascii="Calibri" w:eastAsia="Times New Roman" w:hAnsi="Calibri" w:cs="Calibri"/>
        </w:rPr>
        <w:t xml:space="preserve"> </w:t>
      </w:r>
      <w:r w:rsidRPr="008657E0">
        <w:rPr>
          <w:rFonts w:ascii="Calibri" w:eastAsia="Calibri" w:hAnsi="Calibri" w:cs="Calibri"/>
        </w:rPr>
        <w:t>do</w:t>
      </w:r>
      <w:r w:rsidRPr="008657E0">
        <w:rPr>
          <w:rFonts w:ascii="Calibri" w:eastAsia="Times New Roman" w:hAnsi="Calibri" w:cs="Calibri"/>
        </w:rPr>
        <w:t>:</w:t>
      </w:r>
    </w:p>
    <w:p w14:paraId="513147B8" w14:textId="77777777" w:rsidR="00740B07" w:rsidRPr="008657E0" w:rsidRDefault="00740B07" w:rsidP="00740B07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zapewnienia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min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. 24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miesięcy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gwarancji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,</w:t>
      </w:r>
    </w:p>
    <w:p w14:paraId="6A993A01" w14:textId="77777777" w:rsidR="00740B07" w:rsidRPr="008657E0" w:rsidRDefault="00740B07" w:rsidP="00740B07">
      <w:pPr>
        <w:pStyle w:val="Akapitzlist"/>
        <w:numPr>
          <w:ilvl w:val="0"/>
          <w:numId w:val="16"/>
        </w:numPr>
        <w:spacing w:before="100" w:beforeAutospacing="1" w:after="100" w:afterAutospacing="1" w:line="240" w:lineRule="auto"/>
        <w:ind w:left="709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zapewnienia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serwisu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</w:t>
      </w:r>
      <w:r w:rsidRPr="008657E0">
        <w:rPr>
          <w:rFonts w:ascii="Calibri" w:eastAsia="Calibri" w:hAnsi="Calibri" w:cs="Calibri"/>
          <w:kern w:val="0"/>
          <w:lang w:eastAsia="en-GB"/>
          <w14:ligatures w14:val="none"/>
        </w:rPr>
        <w:t>gwarancyjnego</w:t>
      </w:r>
      <w:r w:rsidRPr="008657E0">
        <w:rPr>
          <w:rFonts w:ascii="Calibri" w:eastAsia="Times New Roman" w:hAnsi="Calibri" w:cs="Calibri"/>
          <w:kern w:val="0"/>
          <w:lang w:eastAsia="en-GB"/>
          <w14:ligatures w14:val="none"/>
        </w:rPr>
        <w:t>.</w:t>
      </w:r>
    </w:p>
    <w:p w14:paraId="08D54DC0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1. Przedmiot zamówienia</w:t>
      </w:r>
    </w:p>
    <w:p w14:paraId="0A1B5D7C" w14:textId="7A89167B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Przedmiotem zamówienia jest zaprojektowanie, dostawa, montaż, uruchomienie oraz regulacja systemu iluminacji architektonicznej dwóch budynków zlokalizowanych w centrum miejscowości, tj.: budynek 1 - budynku Biblioteki Publicznej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budynek 2 - budynku dawnego sklepu mięsnego (Centrum Infromacji Turystycznej).</w:t>
      </w:r>
    </w:p>
    <w:p w14:paraId="717858B2" w14:textId="35289F92" w:rsidR="00694B31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>Zakres zamówienia obejmuje wykonanie</w:t>
      </w:r>
      <w:r w:rsidR="00D31A62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dokumentacji, uzyskanie </w:t>
      </w:r>
      <w:r w:rsidR="008464A1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niezbędnych uzgodnień w zakresie lokalizacji opraw i sposobu zasilania z właścicielami nieruchomości / budynków lub słupów oraz gestorem sieci, uzyskanie </w:t>
      </w:r>
      <w:r w:rsidR="00D31A62"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>pozwolenia na budowę wraz z uzgodnieniem z Lubuskim Wojewódzkim Konserwatorem Zabytku, wykonanie</w:t>
      </w:r>
      <w:r w:rsidRPr="007C4651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 kompletnej instalacji oświetlenia elewacyjnego wraz z montażem, zasilaniem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, sterowaniem oraz uruchomieniem systemu.</w:t>
      </w:r>
    </w:p>
    <w:p w14:paraId="20D96735" w14:textId="48E9F6DE" w:rsidR="00694B31" w:rsidRPr="002B7CA6" w:rsidRDefault="00694B31" w:rsidP="00694B3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noProof/>
          <w:kern w:val="0"/>
          <w:lang w:eastAsia="pl-PL"/>
        </w:rPr>
        <w:drawing>
          <wp:inline distT="0" distB="0" distL="0" distR="0" wp14:anchorId="17D958A4" wp14:editId="289DDF28">
            <wp:extent cx="4637903" cy="3166271"/>
            <wp:effectExtent l="0" t="0" r="0" b="0"/>
            <wp:docPr id="541417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17204" name="Picture 5414172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317" cy="321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068E4" w14:textId="67FC78AB" w:rsidR="00694B31" w:rsidRPr="002B7CA6" w:rsidRDefault="00694B31" w:rsidP="00694B3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i/>
          <w:iCs/>
          <w:kern w:val="0"/>
          <w:lang w:eastAsia="en-GB"/>
          <w14:ligatures w14:val="none"/>
        </w:rPr>
        <w:t>Schemat 1  - lokalizacja budynków.</w:t>
      </w:r>
    </w:p>
    <w:p w14:paraId="6B01ACC6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2. Charakter iluminacji</w:t>
      </w:r>
    </w:p>
    <w:p w14:paraId="3A4E12A1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Iluminacja powinna mieć charakter:</w:t>
      </w:r>
    </w:p>
    <w:p w14:paraId="4B4072F3" w14:textId="66C55F48" w:rsidR="00634139" w:rsidRPr="002B7CA6" w:rsidRDefault="005D144F" w:rsidP="005D14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a</w:t>
      </w:r>
      <w:r w:rsidR="00634139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rchitektoniczny</w:t>
      </w: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, </w:t>
      </w:r>
      <w:r w:rsidR="00634139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zalewowy (flood lighting), </w:t>
      </w:r>
    </w:p>
    <w:p w14:paraId="03374D8F" w14:textId="67438636" w:rsidR="00634139" w:rsidRPr="002B7CA6" w:rsidRDefault="00634139" w:rsidP="005D144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równomierny, podkreślający detale architektoniczne, </w:t>
      </w:r>
    </w:p>
    <w:p w14:paraId="7BA71255" w14:textId="77777777" w:rsidR="00634139" w:rsidRPr="002B7CA6" w:rsidRDefault="00634139" w:rsidP="0063413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dostosowany do historycznego charakteru zabudowy. </w:t>
      </w:r>
    </w:p>
    <w:p w14:paraId="53773E3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Oświetlenie ma eksponować w szczególności:</w:t>
      </w:r>
    </w:p>
    <w:p w14:paraId="209B63A2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całą płaszczyznę elewacji, </w:t>
      </w:r>
    </w:p>
    <w:p w14:paraId="338F7802" w14:textId="40CBBE2A" w:rsidR="00634139" w:rsidRPr="002B7CA6" w:rsidRDefault="00634139" w:rsidP="005D144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gzymsy, opaski okienne, pilastry i podziały pionowe, </w:t>
      </w:r>
    </w:p>
    <w:p w14:paraId="21FBA34B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detale sztukatorskie, </w:t>
      </w:r>
    </w:p>
    <w:p w14:paraId="4DB4416C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szczyty i elementy dachowe, </w:t>
      </w:r>
    </w:p>
    <w:p w14:paraId="173EA986" w14:textId="77777777" w:rsidR="00634139" w:rsidRPr="002B7CA6" w:rsidRDefault="00634139" w:rsidP="006341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wejścia główne. </w:t>
      </w:r>
    </w:p>
    <w:p w14:paraId="6E74FFC3" w14:textId="78A9F9BC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Efekt końcowy powinien być zbliżony do stosowanego w iluminacji obiektów zabytkowych i reprezentacyjnych, z równomiernym rozkładem światła i bez widocznych punktów świetlnych.</w:t>
      </w:r>
    </w:p>
    <w:p w14:paraId="1984BB4D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3. Zasada lokalizacji opraw – montaż poza elewacją oświetlaną</w:t>
      </w:r>
    </w:p>
    <w:p w14:paraId="14123C56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>Ze względu na charakter architektoniczny budynków oraz wymagania estetyczne, przyjmuje się następującą zasadę:</w:t>
      </w:r>
    </w:p>
    <w:p w14:paraId="1AA16E09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Oprawy oświetleniowe nie mogą być montowane na elewacjach iluminowanych budynków, jeżeli istnieje możliwość oświetlenia ich z innych obiektów. </w:t>
      </w:r>
    </w:p>
    <w:p w14:paraId="3E070AFD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Oświetlenie należy realizować poprzez montaż opraw na: </w:t>
      </w:r>
    </w:p>
    <w:p w14:paraId="2F3D5CD6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budynkach przeciwległych, </w:t>
      </w:r>
    </w:p>
    <w:p w14:paraId="601F37CF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budynkach sąsiednich, </w:t>
      </w:r>
    </w:p>
    <w:p w14:paraId="28ACF7A3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dachach, </w:t>
      </w:r>
    </w:p>
    <w:p w14:paraId="0EA4F039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elewacjach bocznych, </w:t>
      </w:r>
    </w:p>
    <w:p w14:paraId="68A08389" w14:textId="46F11184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konstrukcjach pomocniczych niewidocznych z poziomu chodnika, </w:t>
      </w:r>
    </w:p>
    <w:p w14:paraId="70E30DE3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innych elementach niewidocznych z poziomu chodnika. </w:t>
      </w:r>
    </w:p>
    <w:p w14:paraId="5198A59D" w14:textId="77777777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Oprawy powinny być zlokalizowane w taki sposób, aby: </w:t>
      </w:r>
    </w:p>
    <w:p w14:paraId="68166474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były widoczne w normalnym polu widzenia pieszego, </w:t>
      </w:r>
    </w:p>
    <w:p w14:paraId="3E18AFF9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powodowały olśnienia, </w:t>
      </w:r>
    </w:p>
    <w:p w14:paraId="5423CAA2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świeciły bezpośrednio w okna budynków mieszkalnych, </w:t>
      </w:r>
    </w:p>
    <w:p w14:paraId="7C218742" w14:textId="77777777" w:rsidR="00634139" w:rsidRPr="002B7CA6" w:rsidRDefault="00634139" w:rsidP="0063413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zakłócały ruchu drogowego. </w:t>
      </w:r>
    </w:p>
    <w:p w14:paraId="47771240" w14:textId="4E18564B" w:rsidR="00634139" w:rsidRPr="002B7CA6" w:rsidRDefault="00634139" w:rsidP="0063413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Przewody, uchwyty i elementy montażowe muszą być prowadzone w sposób możliwie niewidoczny. </w:t>
      </w:r>
    </w:p>
    <w:p w14:paraId="3E040D4C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4. Wzorzec efektu iluminacji</w:t>
      </w:r>
    </w:p>
    <w:p w14:paraId="3C7EF39A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Jako wzorzec jakościowy przyjmuje się iluminację obiektów historycznych wykonywaną z zastosowaniem opraw montowanych w oddaleniu od elewacji, zapewniającą równomierne podświetlenie całej bryły oraz detali architektonicznych, bez widocznych opraw na fasadzie.</w:t>
      </w:r>
    </w:p>
    <w:p w14:paraId="6D54305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Iluminacja powinna odpowiadać standardom stosowanym w oświetleniu obiektów zabytkowych, w których stosuje się:</w:t>
      </w:r>
    </w:p>
    <w:p w14:paraId="51D03C52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projektory LED o optyce asymetrycznej lub szerokokątnej, </w:t>
      </w:r>
    </w:p>
    <w:p w14:paraId="3CA6FC37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montaż na budynkach przeciwległych, </w:t>
      </w:r>
    </w:p>
    <w:p w14:paraId="6D26AF6E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oświetlenie wielopunktowe, </w:t>
      </w:r>
    </w:p>
    <w:p w14:paraId="00250CEB" w14:textId="7777777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wyrównanie natężenia światła na całej powierzchni elewacji, </w:t>
      </w:r>
    </w:p>
    <w:p w14:paraId="0537EE02" w14:textId="32E82FD7" w:rsidR="00634139" w:rsidRPr="002B7CA6" w:rsidRDefault="00634139" w:rsidP="0063413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ciepłą barwę światła. </w:t>
      </w:r>
    </w:p>
    <w:p w14:paraId="4DB2699D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5. Parametry światła</w:t>
      </w:r>
    </w:p>
    <w:p w14:paraId="508A904A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Wymagane parametry:</w:t>
      </w:r>
    </w:p>
    <w:p w14:paraId="6ECE4211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technologia: LED, </w:t>
      </w:r>
    </w:p>
    <w:p w14:paraId="79C9888C" w14:textId="1DFC7643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temperatura barwowa: 3000 K (dopuszcza się zakres 2700–3000 K), </w:t>
      </w:r>
    </w:p>
    <w:p w14:paraId="43886529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wskaźnik oddawania barw: CRI ≥ 80, </w:t>
      </w:r>
    </w:p>
    <w:p w14:paraId="629DAAF0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migotania, </w:t>
      </w:r>
    </w:p>
    <w:p w14:paraId="55B3993F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równomierne oświetlenie całej elewacji, </w:t>
      </w:r>
    </w:p>
    <w:p w14:paraId="660ADA7B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olśnienia, </w:t>
      </w:r>
    </w:p>
    <w:p w14:paraId="496C7D4B" w14:textId="77777777" w:rsidR="00634139" w:rsidRPr="002B7CA6" w:rsidRDefault="00634139" w:rsidP="0063413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brak emisji światła w górę powyżej wymaganej strefy. </w:t>
      </w:r>
    </w:p>
    <w:p w14:paraId="620F9391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Natężenie oświetlenia należy dobrać tak, aby:</w:t>
      </w:r>
    </w:p>
    <w:p w14:paraId="0A9CFC0B" w14:textId="77777777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lastRenderedPageBreak/>
        <w:t xml:space="preserve">elewacje były czytelne po zmroku, </w:t>
      </w:r>
    </w:p>
    <w:p w14:paraId="437DE7B8" w14:textId="77777777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detale architektoniczne były wyraźnie widoczne, </w:t>
      </w:r>
    </w:p>
    <w:p w14:paraId="449F7699" w14:textId="5A05FDAA" w:rsidR="00634139" w:rsidRPr="002B7CA6" w:rsidRDefault="00634139" w:rsidP="0063413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powodować nadmiernej luminancji. </w:t>
      </w:r>
      <w:r w:rsidR="00694B31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</w:r>
      <w:r w:rsidR="00694B31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</w:r>
    </w:p>
    <w:p w14:paraId="3495A50C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6. Wymagania dotyczące opraw</w:t>
      </w:r>
    </w:p>
    <w:p w14:paraId="6BE9928D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Oprawy muszą spełniać następujące wymagania:</w:t>
      </w:r>
    </w:p>
    <w:p w14:paraId="7AA81937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źródło światła LED, </w:t>
      </w:r>
    </w:p>
    <w:p w14:paraId="1DDC45B3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stopień szczelności min. IP66, </w:t>
      </w:r>
    </w:p>
    <w:p w14:paraId="266A9B1A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odporność mechaniczna min. IK08, </w:t>
      </w:r>
    </w:p>
    <w:p w14:paraId="62CCFB53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trwałość min. 50 000 h, </w:t>
      </w:r>
    </w:p>
    <w:p w14:paraId="6CD298E9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regulacji kąta świecenia, </w:t>
      </w:r>
    </w:p>
    <w:p w14:paraId="664102DA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regulacji mocy, </w:t>
      </w:r>
    </w:p>
    <w:p w14:paraId="671747B9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sterowania, </w:t>
      </w:r>
    </w:p>
    <w:p w14:paraId="03277EF2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obudowa odporna na warunki atmosferyczne, </w:t>
      </w:r>
    </w:p>
    <w:p w14:paraId="1D3DAB42" w14:textId="77777777" w:rsidR="00634139" w:rsidRPr="002B7CA6" w:rsidRDefault="00634139" w:rsidP="0063413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kolor obudowy dopasowany do miejsca montażu. </w:t>
      </w:r>
    </w:p>
    <w:p w14:paraId="61DFD64C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Dopuszcza się stosowanie:</w:t>
      </w:r>
    </w:p>
    <w:p w14:paraId="632D11DA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naświetlaczy architektonicznych, </w:t>
      </w:r>
    </w:p>
    <w:p w14:paraId="5312B5C8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projektorów LED, </w:t>
      </w:r>
    </w:p>
    <w:p w14:paraId="0FD48E7A" w14:textId="77777777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 typu wallwasher, </w:t>
      </w:r>
    </w:p>
    <w:p w14:paraId="5EF467EA" w14:textId="071ABD08" w:rsidR="00634139" w:rsidRPr="002B7CA6" w:rsidRDefault="00634139" w:rsidP="0063413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opraw asymetrycznych. </w:t>
      </w:r>
    </w:p>
    <w:p w14:paraId="6143577E" w14:textId="77777777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7. Szacunkowa liczba opraw</w:t>
      </w:r>
    </w:p>
    <w:p w14:paraId="3C7D238F" w14:textId="77777777" w:rsidR="005D144F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Dla potrzeb określenia zakresu zamówienia przyjmuje się następującą orientacyjną liczbę opraw iluminacyjnych:</w:t>
      </w:r>
      <w:r w:rsidR="005D144F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Biblioteka Publiczna -  min. 5 szt.</w:t>
      </w:r>
      <w:r w:rsidR="005D144F"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br/>
        <w:t>Budynek dawnego sklepu mięsnego – min. 7 szt.</w:t>
      </w:r>
    </w:p>
    <w:p w14:paraId="34AEA433" w14:textId="58F7FBA1" w:rsidR="005D144F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Przyjęta liczba opraw wynika z konieczności uzyskania równomiernego oświetlenia całych elewacji z wykorzystaniem opraw montowanych na budynkach przeciwległych lub sąsiednich.</w:t>
      </w:r>
    </w:p>
    <w:p w14:paraId="4710B08F" w14:textId="531DAE25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Dopuszcza się zmianę liczby opraw na etapie projektu wykonawczego wyłącznie na podstawie obliczeń fotometrycznych i wizualizacji nocnej, pod warunkiem uzyskania efektu równoważnego lub lepszego.</w:t>
      </w:r>
    </w:p>
    <w:p w14:paraId="6453E5E1" w14:textId="73B88331" w:rsidR="00634139" w:rsidRPr="002B7CA6" w:rsidRDefault="005D144F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8</w:t>
      </w:r>
      <w:r w:rsidR="00634139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Instalacja elektryczna i sterowanie</w:t>
      </w:r>
    </w:p>
    <w:p w14:paraId="01A6CB20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Instalacja musi obejmować:</w:t>
      </w:r>
    </w:p>
    <w:p w14:paraId="76CB2AB1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zasilanie opraw, </w:t>
      </w:r>
    </w:p>
    <w:p w14:paraId="6B31BE9D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zabezpieczenia, </w:t>
      </w:r>
    </w:p>
    <w:p w14:paraId="6E6A6B38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układ sterowania, </w:t>
      </w:r>
    </w:p>
    <w:p w14:paraId="03A029A0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automatycznego włączania, </w:t>
      </w:r>
    </w:p>
    <w:p w14:paraId="3269905B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zegar astronomiczny lub równoważny system, </w:t>
      </w:r>
    </w:p>
    <w:p w14:paraId="16D3B380" w14:textId="77777777" w:rsidR="00634139" w:rsidRPr="002B7CA6" w:rsidRDefault="00634139" w:rsidP="0063413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możliwość redukcji mocy w godzinach nocnych. </w:t>
      </w:r>
    </w:p>
    <w:p w14:paraId="76C20286" w14:textId="772CB7D2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Instalacja musi być wykonana zgodnie z obowiązującymi normami.</w:t>
      </w:r>
    </w:p>
    <w:p w14:paraId="0BE7B75C" w14:textId="332F7DB9" w:rsidR="00634139" w:rsidRPr="002B7CA6" w:rsidRDefault="005D144F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9</w:t>
      </w:r>
      <w:r w:rsidR="00634139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Wymagania estetyczne i konserwatorskie</w:t>
      </w:r>
    </w:p>
    <w:p w14:paraId="5371EE75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W trakcie realizacji należy:</w:t>
      </w:r>
    </w:p>
    <w:p w14:paraId="54D5D485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uszkadzać elewacji, </w:t>
      </w:r>
    </w:p>
    <w:p w14:paraId="2A46E03D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ingerować w detale architektoniczne, </w:t>
      </w:r>
    </w:p>
    <w:p w14:paraId="7C15498A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nie prowadzić widocznych przewodów, </w:t>
      </w:r>
    </w:p>
    <w:p w14:paraId="57B33AFA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stosować uchwyty o minimalnej widoczności, </w:t>
      </w:r>
    </w:p>
    <w:p w14:paraId="340F803F" w14:textId="77777777" w:rsidR="00634139" w:rsidRPr="002B7CA6" w:rsidRDefault="00634139" w:rsidP="0063413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zachować historyczny charakter zabudowy</w:t>
      </w:r>
    </w:p>
    <w:p w14:paraId="206AF1C0" w14:textId="7F250191" w:rsidR="00634139" w:rsidRPr="002B7CA6" w:rsidRDefault="00634139" w:rsidP="0063413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1</w:t>
      </w:r>
      <w:r w:rsidR="005D144F"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0</w:t>
      </w:r>
      <w:r w:rsidRPr="002B7CA6">
        <w:rPr>
          <w:rFonts w:ascii="Calibri" w:eastAsia="Times New Roman" w:hAnsi="Calibri" w:cs="Calibri"/>
          <w:b/>
          <w:bCs/>
          <w:kern w:val="0"/>
          <w:lang w:eastAsia="en-GB"/>
          <w14:ligatures w14:val="none"/>
        </w:rPr>
        <w:t>. Odbiór</w:t>
      </w:r>
    </w:p>
    <w:p w14:paraId="41C92373" w14:textId="77777777" w:rsidR="00634139" w:rsidRPr="002B7CA6" w:rsidRDefault="00634139" w:rsidP="00634139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Odbiór nastąpi po:</w:t>
      </w:r>
    </w:p>
    <w:p w14:paraId="5C61BE4E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uruchomieniu instalacji, </w:t>
      </w:r>
    </w:p>
    <w:p w14:paraId="2CCE93C6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regulacji opraw, </w:t>
      </w:r>
    </w:p>
    <w:p w14:paraId="0C07D9D1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sprawdzeniu równomierności oświetlenia, </w:t>
      </w:r>
    </w:p>
    <w:p w14:paraId="243BD3F6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 xml:space="preserve">potwierdzeniu niewidoczności opraw, </w:t>
      </w:r>
    </w:p>
    <w:p w14:paraId="263F3E37" w14:textId="77777777" w:rsidR="00634139" w:rsidRPr="002B7CA6" w:rsidRDefault="00634139" w:rsidP="0063413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GB"/>
          <w14:ligatures w14:val="none"/>
        </w:rPr>
      </w:pPr>
      <w:r w:rsidRPr="002B7CA6">
        <w:rPr>
          <w:rFonts w:ascii="Calibri" w:eastAsia="Times New Roman" w:hAnsi="Calibri" w:cs="Calibri"/>
          <w:kern w:val="0"/>
          <w:lang w:eastAsia="en-GB"/>
          <w14:ligatures w14:val="none"/>
        </w:rPr>
        <w:t>zatwierdzeniu efektu nocnego przez Zamawiającego.</w:t>
      </w:r>
    </w:p>
    <w:p w14:paraId="26D4AF5F" w14:textId="77777777" w:rsidR="008D5B3C" w:rsidRPr="002B7CA6" w:rsidRDefault="008D5B3C" w:rsidP="00634139">
      <w:pPr>
        <w:rPr>
          <w:rFonts w:ascii="Calibri" w:hAnsi="Calibri" w:cs="Calibri"/>
        </w:rPr>
      </w:pPr>
    </w:p>
    <w:sectPr w:rsidR="008D5B3C" w:rsidRPr="002B7CA6"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97EB2" w14:textId="77777777" w:rsidR="005E29CA" w:rsidRDefault="005E29CA" w:rsidP="005D144F">
      <w:pPr>
        <w:spacing w:after="0" w:line="240" w:lineRule="auto"/>
      </w:pPr>
      <w:r>
        <w:separator/>
      </w:r>
    </w:p>
  </w:endnote>
  <w:endnote w:type="continuationSeparator" w:id="0">
    <w:p w14:paraId="06B0D836" w14:textId="77777777" w:rsidR="005E29CA" w:rsidRDefault="005E29CA" w:rsidP="005D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77190196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84EED7" w14:textId="09B95655" w:rsidR="005D144F" w:rsidRDefault="005D144F" w:rsidP="00C90A1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A49B3D6" w14:textId="77777777" w:rsidR="005D144F" w:rsidRDefault="005D144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41509479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C4868D2" w14:textId="5FEB049F" w:rsidR="005D144F" w:rsidRDefault="005D144F" w:rsidP="00C90A1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1667F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688CCAAE" w14:textId="77777777" w:rsidR="005D144F" w:rsidRDefault="005D14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66155" w14:textId="77777777" w:rsidR="005E29CA" w:rsidRDefault="005E29CA" w:rsidP="005D144F">
      <w:pPr>
        <w:spacing w:after="0" w:line="240" w:lineRule="auto"/>
      </w:pPr>
      <w:r>
        <w:separator/>
      </w:r>
    </w:p>
  </w:footnote>
  <w:footnote w:type="continuationSeparator" w:id="0">
    <w:p w14:paraId="3BAC382C" w14:textId="77777777" w:rsidR="005E29CA" w:rsidRDefault="005E29CA" w:rsidP="005D1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2528"/>
    <w:multiLevelType w:val="multilevel"/>
    <w:tmpl w:val="72A2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90ACD"/>
    <w:multiLevelType w:val="hybridMultilevel"/>
    <w:tmpl w:val="0D8630C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9C7FE7"/>
    <w:multiLevelType w:val="multilevel"/>
    <w:tmpl w:val="1E0A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1F5183"/>
    <w:multiLevelType w:val="multilevel"/>
    <w:tmpl w:val="989C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95421"/>
    <w:multiLevelType w:val="multilevel"/>
    <w:tmpl w:val="7D84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1104E"/>
    <w:multiLevelType w:val="multilevel"/>
    <w:tmpl w:val="45C8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37A49"/>
    <w:multiLevelType w:val="multilevel"/>
    <w:tmpl w:val="0E00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83FD5"/>
    <w:multiLevelType w:val="hybridMultilevel"/>
    <w:tmpl w:val="254EA44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B63C87"/>
    <w:multiLevelType w:val="multilevel"/>
    <w:tmpl w:val="8D56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F556DE"/>
    <w:multiLevelType w:val="multilevel"/>
    <w:tmpl w:val="B2E48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1D0224"/>
    <w:multiLevelType w:val="multilevel"/>
    <w:tmpl w:val="7AA4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F55374"/>
    <w:multiLevelType w:val="multilevel"/>
    <w:tmpl w:val="7FD4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6E55BC"/>
    <w:multiLevelType w:val="multilevel"/>
    <w:tmpl w:val="BAA4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0C26F3"/>
    <w:multiLevelType w:val="multilevel"/>
    <w:tmpl w:val="FA04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A13060"/>
    <w:multiLevelType w:val="multilevel"/>
    <w:tmpl w:val="0808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5567F7"/>
    <w:multiLevelType w:val="multilevel"/>
    <w:tmpl w:val="5A70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9"/>
  </w:num>
  <w:num w:numId="5">
    <w:abstractNumId w:val="12"/>
  </w:num>
  <w:num w:numId="6">
    <w:abstractNumId w:val="15"/>
  </w:num>
  <w:num w:numId="7">
    <w:abstractNumId w:val="14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6"/>
  </w:num>
  <w:num w:numId="13">
    <w:abstractNumId w:val="4"/>
  </w:num>
  <w:num w:numId="14">
    <w:abstractNumId w:val="0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39"/>
    <w:rsid w:val="000B6E64"/>
    <w:rsid w:val="00104115"/>
    <w:rsid w:val="0021667F"/>
    <w:rsid w:val="002B7CA6"/>
    <w:rsid w:val="005D144F"/>
    <w:rsid w:val="005E29CA"/>
    <w:rsid w:val="005F4CAA"/>
    <w:rsid w:val="00634139"/>
    <w:rsid w:val="00694B31"/>
    <w:rsid w:val="00740B07"/>
    <w:rsid w:val="007C4651"/>
    <w:rsid w:val="008464A1"/>
    <w:rsid w:val="008D5B3C"/>
    <w:rsid w:val="00A21CFF"/>
    <w:rsid w:val="00B05B98"/>
    <w:rsid w:val="00C13EC5"/>
    <w:rsid w:val="00C164C0"/>
    <w:rsid w:val="00D31A62"/>
    <w:rsid w:val="00F86F55"/>
    <w:rsid w:val="00F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9E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4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41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41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41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41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41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41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41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41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341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341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41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41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41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41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41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41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4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1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41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41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41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41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41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41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41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413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3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D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4F"/>
  </w:style>
  <w:style w:type="character" w:styleId="Numerstrony">
    <w:name w:val="page number"/>
    <w:basedOn w:val="Domylnaczcionkaakapitu"/>
    <w:uiPriority w:val="99"/>
    <w:semiHidden/>
    <w:unhideWhenUsed/>
    <w:rsid w:val="005D144F"/>
  </w:style>
  <w:style w:type="paragraph" w:styleId="Tekstdymka">
    <w:name w:val="Balloon Text"/>
    <w:basedOn w:val="Normalny"/>
    <w:link w:val="TekstdymkaZnak"/>
    <w:uiPriority w:val="99"/>
    <w:semiHidden/>
    <w:unhideWhenUsed/>
    <w:rsid w:val="00D3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870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 Jendras</dc:creator>
  <cp:lastModifiedBy>Tomasz Fiedler</cp:lastModifiedBy>
  <cp:revision>9</cp:revision>
  <dcterms:created xsi:type="dcterms:W3CDTF">2026-03-24T14:46:00Z</dcterms:created>
  <dcterms:modified xsi:type="dcterms:W3CDTF">2026-04-20T11:51:00Z</dcterms:modified>
</cp:coreProperties>
</file>