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300" w:before="0" w:after="0"/>
        <w:jc w:val="both"/>
        <w:rPr>
          <w:rFonts w:ascii="Times New Roman" w:hAnsi="Times New Roman" w:eastAsia="Calibri" w:cs="Times New Roman"/>
          <w:b/>
        </w:rPr>
      </w:pPr>
      <w:r>
        <w:rPr>
          <w:rFonts w:eastAsia="Calibri" w:cs="Times New Roman" w:ascii="Times New Roman" w:hAnsi="Times New Roman"/>
          <w:b/>
        </w:rPr>
        <w:t>Zamawiający:</w:t>
      </w:r>
    </w:p>
    <w:p>
      <w:pPr>
        <w:pStyle w:val="Normal"/>
        <w:tabs>
          <w:tab w:val="clear" w:pos="720"/>
          <w:tab w:val="left" w:pos="6236" w:leader="none"/>
        </w:tabs>
        <w:spacing w:lineRule="exact" w:line="300" w:before="0" w:after="0"/>
        <w:jc w:val="both"/>
        <w:rPr>
          <w:rFonts w:ascii="Times New Roman" w:hAnsi="Times New Roman" w:eastAsia="Calibri" w:cs="Times New Roman"/>
          <w:b/>
        </w:rPr>
      </w:pPr>
      <w:r>
        <w:rPr>
          <w:rFonts w:eastAsia="Calibri" w:cs="Times New Roman" w:ascii="Times New Roman" w:hAnsi="Times New Roman"/>
          <w:b/>
        </w:rPr>
        <w:t>Gmina Redzikowo</w:t>
        <w:tab/>
      </w:r>
    </w:p>
    <w:p>
      <w:pPr>
        <w:pStyle w:val="Normal"/>
        <w:tabs>
          <w:tab w:val="clear" w:pos="720"/>
          <w:tab w:val="center" w:pos="4873" w:leader="none"/>
          <w:tab w:val="left" w:pos="5447" w:leader="none"/>
        </w:tabs>
        <w:spacing w:lineRule="exact" w:line="300" w:before="0" w:after="0"/>
        <w:jc w:val="both"/>
        <w:rPr>
          <w:rFonts w:ascii="Times New Roman" w:hAnsi="Times New Roman" w:eastAsia="Calibri" w:cs="Times New Roman"/>
          <w:b/>
        </w:rPr>
      </w:pPr>
      <w:r>
        <w:rPr>
          <w:rFonts w:eastAsia="Calibri" w:cs="Times New Roman" w:ascii="Times New Roman" w:hAnsi="Times New Roman"/>
          <w:b/>
        </w:rPr>
        <w:t>ul. Sportowa 34, 76-200 Słupsk</w:t>
        <w:tab/>
        <w:tab/>
      </w:r>
    </w:p>
    <w:p>
      <w:pPr>
        <w:pStyle w:val="Normal"/>
        <w:spacing w:lineRule="exact" w:line="300" w:before="0" w:after="0"/>
        <w:jc w:val="both"/>
        <w:rPr>
          <w:rFonts w:ascii="Times New Roman" w:hAnsi="Times New Roman" w:eastAsia="Calibri" w:cs="Times New Roman"/>
          <w:b/>
          <w:lang w:val="en-US"/>
        </w:rPr>
      </w:pPr>
      <w:r>
        <w:rPr>
          <w:rFonts w:eastAsia="Calibri" w:cs="Times New Roman" w:ascii="Times New Roman" w:hAnsi="Times New Roman"/>
          <w:b/>
          <w:lang w:val="en-US"/>
        </w:rPr>
        <w:t>tel. +48 59 842 84 60, faks +48 59 842 92 54</w:t>
      </w:r>
    </w:p>
    <w:p>
      <w:pPr>
        <w:pStyle w:val="Normal"/>
        <w:spacing w:lineRule="exact" w:line="300" w:before="0" w:after="0"/>
        <w:jc w:val="both"/>
        <w:rPr/>
      </w:pPr>
      <w:hyperlink r:id="rId2">
        <w:r>
          <w:rPr>
            <w:rStyle w:val="Hyperlink"/>
            <w:rFonts w:cs="Times New Roman" w:ascii="Times New Roman" w:hAnsi="Times New Roman"/>
            <w:b/>
            <w:lang w:val="en-US"/>
          </w:rPr>
          <w:t>www.gminaredzikowo.pl</w:t>
        </w:r>
      </w:hyperlink>
      <w:r>
        <w:rPr>
          <w:rFonts w:cs="Times New Roman" w:ascii="Times New Roman" w:hAnsi="Times New Roman"/>
          <w:b/>
          <w:lang w:val="en-US"/>
        </w:rPr>
        <w:t xml:space="preserve"> </w:t>
      </w:r>
    </w:p>
    <w:p>
      <w:pPr>
        <w:pStyle w:val="Normal"/>
        <w:tabs>
          <w:tab w:val="clear" w:pos="720"/>
          <w:tab w:val="left" w:pos="8778" w:leader="none"/>
        </w:tabs>
        <w:spacing w:lineRule="exact" w:line="300" w:before="0" w:after="0"/>
        <w:jc w:val="both"/>
        <w:rPr/>
      </w:pPr>
      <w:r>
        <w:rPr>
          <w:rFonts w:eastAsia="Calibri" w:cs="Times New Roman" w:ascii="Times New Roman" w:hAnsi="Times New Roman"/>
          <w:b/>
          <w:lang w:val="en-US"/>
        </w:rPr>
        <w:t xml:space="preserve">e-mail: </w:t>
      </w:r>
      <w:r>
        <w:rPr>
          <w:rStyle w:val="Hyperlink"/>
          <w:rFonts w:eastAsia="Calibri" w:cs="Times New Roman" w:ascii="Times New Roman" w:hAnsi="Times New Roman"/>
          <w:b/>
          <w:color w:themeColor="hyperlink" w:val="0000FF"/>
          <w:kern w:val="0"/>
          <w:sz w:val="22"/>
          <w:szCs w:val="22"/>
          <w:u w:val="single"/>
          <w:lang w:val="en-US" w:eastAsia="en-US" w:bidi="ar-SA"/>
        </w:rPr>
        <w:t>bartoszl</w:t>
      </w:r>
      <w:hyperlink r:id="rId3">
        <w:r>
          <w:rPr>
            <w:rStyle w:val="Hyperlink"/>
            <w:rFonts w:cs="Times New Roman" w:ascii="Times New Roman" w:hAnsi="Times New Roman"/>
            <w:b/>
            <w:lang w:val="en-US"/>
          </w:rPr>
          <w:t xml:space="preserve">@gminaredzikowo.pl </w:t>
        </w:r>
      </w:hyperlink>
      <w:r>
        <w:rPr>
          <w:rFonts w:cs="Times New Roman" w:ascii="Times New Roman" w:hAnsi="Times New Roman"/>
          <w:b/>
          <w:lang w:val="en-US"/>
        </w:rPr>
        <w:tab/>
      </w:r>
    </w:p>
    <w:p>
      <w:pPr>
        <w:pStyle w:val="Normal"/>
        <w:spacing w:lineRule="auto" w:line="240" w:before="0" w:after="0"/>
        <w:jc w:val="center"/>
        <w:rPr>
          <w:rFonts w:ascii="Times New Roman" w:hAnsi="Times New Roman" w:cs="Times New Roman"/>
          <w:b/>
          <w:lang w:val="en-US"/>
        </w:rPr>
      </w:pPr>
      <w:r>
        <w:rPr>
          <w:rFonts w:cs="Times New Roman" w:ascii="Times New Roman" w:hAnsi="Times New Roman"/>
          <w:b/>
          <w:lang w:val="en-US"/>
        </w:rPr>
      </w:r>
    </w:p>
    <w:p>
      <w:pPr>
        <w:pStyle w:val="Normal"/>
        <w:tabs>
          <w:tab w:val="clear" w:pos="720"/>
          <w:tab w:val="left" w:pos="6548" w:leader="none"/>
        </w:tabs>
        <w:spacing w:lineRule="auto" w:line="240" w:before="0" w:after="0"/>
        <w:jc w:val="both"/>
        <w:rPr>
          <w:rFonts w:ascii="Times New Roman" w:hAnsi="Times New Roman" w:cs="Times New Roman"/>
          <w:b/>
          <w:lang w:val="en-US"/>
        </w:rPr>
      </w:pPr>
      <w:r>
        <w:rPr>
          <w:rFonts w:cs="Times New Roman" w:ascii="Times New Roman" w:hAnsi="Times New Roman"/>
          <w:b/>
          <w:lang w:val="en-US"/>
        </w:rPr>
        <w:tab/>
      </w:r>
    </w:p>
    <w:p>
      <w:pPr>
        <w:pStyle w:val="Normal"/>
        <w:spacing w:lineRule="auto" w:line="240" w:before="0" w:after="0"/>
        <w:jc w:val="center"/>
        <w:rPr>
          <w:rFonts w:ascii="Times New Roman" w:hAnsi="Times New Roman" w:cs="Times New Roman"/>
          <w:b/>
          <w:sz w:val="32"/>
          <w:szCs w:val="32"/>
          <w:lang w:val="en-US"/>
        </w:rPr>
      </w:pPr>
      <w:r>
        <w:rPr>
          <w:rFonts w:cs="Times New Roman" w:ascii="Times New Roman" w:hAnsi="Times New Roman"/>
          <w:b/>
          <w:sz w:val="32"/>
          <w:szCs w:val="32"/>
          <w:lang w:val="en-US"/>
        </w:rPr>
      </w:r>
    </w:p>
    <w:p>
      <w:pPr>
        <w:pStyle w:val="Normal"/>
        <w:spacing w:lineRule="auto" w:line="240" w:before="0" w:after="0"/>
        <w:jc w:val="center"/>
        <w:rPr/>
      </w:pPr>
      <w:r>
        <w:rPr>
          <w:rFonts w:cs="Times New Roman" w:ascii="Times New Roman" w:hAnsi="Times New Roman"/>
          <w:b/>
          <w:sz w:val="32"/>
          <w:szCs w:val="32"/>
        </w:rPr>
        <w:t>SPECYFIKACJA WARUNKÓW ZAMÓWIENIA</w:t>
      </w:r>
    </w:p>
    <w:p>
      <w:pPr>
        <w:pStyle w:val="Normal"/>
        <w:spacing w:lineRule="auto" w:line="240" w:before="0" w:after="0"/>
        <w:jc w:val="center"/>
        <w:rPr/>
      </w:pPr>
      <w:r>
        <w:rPr>
          <w:rFonts w:cs="Times New Roman" w:ascii="Times New Roman" w:hAnsi="Times New Roman"/>
          <w:b/>
        </w:rPr>
        <w:t>w postępowaniu o udzielenie zamówienia publicznego, którego wartość szacunkowa nie przekracza kwoty określonej w przepisach wydanych na podstawie art. 3 ust. 1 pkt 1 ustawy, realizowanym w trybie podstawowym pn:</w:t>
      </w:r>
    </w:p>
    <w:p>
      <w:pPr>
        <w:pStyle w:val="Normal"/>
        <w:spacing w:lineRule="auto" w:line="240" w:before="0" w:after="0"/>
        <w:rPr>
          <w:b/>
          <w:sz w:val="32"/>
          <w:szCs w:val="32"/>
        </w:rPr>
      </w:pPr>
      <w:r>
        <w:rPr>
          <w:b/>
          <w:sz w:val="32"/>
          <w:szCs w:val="32"/>
        </w:rPr>
      </w:r>
    </w:p>
    <w:p>
      <w:pPr>
        <w:pStyle w:val="Zawartotabeli"/>
        <w:widowControl w:val="false"/>
        <w:spacing w:lineRule="auto" w:line="240"/>
        <w:jc w:val="center"/>
        <w:rPr/>
      </w:pPr>
      <w:r>
        <w:rPr>
          <w:rFonts w:eastAsia="Times New Roman" w:cs="Times New Roman" w:ascii="Times New Roman" w:hAnsi="Times New Roman"/>
          <w:b/>
          <w:bCs/>
          <w:i/>
          <w:iCs w:val="false"/>
          <w:strike w:val="false"/>
          <w:dstrike w:val="false"/>
          <w:outline w:val="false"/>
          <w:shadow w:val="false"/>
          <w:color w:val="000000"/>
          <w:spacing w:val="-4"/>
          <w:kern w:val="0"/>
          <w:sz w:val="32"/>
          <w:szCs w:val="32"/>
          <w:u w:val="none"/>
          <w:em w:val="none"/>
          <w:lang w:val="pl-PL" w:eastAsia="pl-PL" w:bidi="ar-SA"/>
        </w:rPr>
        <w:t>Termomodernizacja budynku komunalnego w Wiklinie nr 30 wraz ze zmianą źródła ciepła</w:t>
      </w:r>
    </w:p>
    <w:p>
      <w:pPr>
        <w:pStyle w:val="Normal"/>
        <w:spacing w:lineRule="auto" w:line="240"/>
        <w:jc w:val="center"/>
        <w:rPr>
          <w:color w:val="000000"/>
          <w:sz w:val="32"/>
          <w:szCs w:val="32"/>
        </w:rPr>
      </w:pPr>
      <w:r>
        <w:rPr>
          <w:rFonts w:eastAsia="Calibri" w:cs="" w:ascii="Times New Roman" w:hAnsi="Times New Roman" w:cstheme="minorBidi" w:eastAsiaTheme="minorHAnsi"/>
          <w:b/>
          <w:color w:val="000000"/>
          <w:sz w:val="32"/>
          <w:szCs w:val="32"/>
        </w:rPr>
        <w:t>IZP.271.9.2026</w:t>
      </w:r>
    </w:p>
    <w:p>
      <w:pPr>
        <w:pStyle w:val="Normal"/>
        <w:spacing w:lineRule="auto" w:line="240"/>
        <w:jc w:val="center"/>
        <w:rPr>
          <w:rFonts w:ascii="Times New Roman" w:hAnsi="Times New Roman" w:eastAsia="Calibri" w:cs="" w:cstheme="minorBidi" w:eastAsiaTheme="minorHAnsi"/>
          <w:b/>
          <w:color w:val="FF4000"/>
        </w:rPr>
      </w:pPr>
      <w:r>
        <w:rPr>
          <w:rFonts w:eastAsia="Calibri" w:cs="" w:cstheme="minorBidi" w:eastAsiaTheme="minorHAnsi"/>
          <w:color w:val="FF4000"/>
        </w:rPr>
        <w:t>(Uwaga – Wizja lokalna -  s. 4 SWZ)</w:t>
      </w:r>
    </w:p>
    <w:p>
      <w:pPr>
        <w:pStyle w:val="Normal"/>
        <w:spacing w:lineRule="auto" w:line="240"/>
        <w:jc w:val="center"/>
        <w:rPr>
          <w:rFonts w:ascii="Times New Roman" w:hAnsi="Times New Roman" w:eastAsia="Calibri" w:cs="" w:cstheme="minorBidi" w:eastAsiaTheme="minorHAnsi"/>
          <w:b/>
          <w:color w:val="FF4000"/>
        </w:rPr>
      </w:pPr>
      <w:r>
        <w:rPr>
          <w:rFonts w:eastAsia="Calibri" w:cs="" w:cstheme="minorBidi" w:eastAsiaTheme="minorHAnsi" w:ascii="Times New Roman" w:hAnsi="Times New Roman"/>
          <w:b/>
          <w:color w:val="FF4000"/>
        </w:rPr>
      </w:r>
    </w:p>
    <w:p>
      <w:pPr>
        <w:pStyle w:val="Normal"/>
        <w:spacing w:lineRule="auto" w:line="240"/>
        <w:jc w:val="center"/>
        <w:rPr/>
      </w:pPr>
      <w:r>
        <w:rPr>
          <w:rFonts w:eastAsia="Calibri" w:cs="" w:ascii="Times New Roman" w:hAnsi="Times New Roman" w:cstheme="minorBidi" w:eastAsiaTheme="minorHAnsi"/>
          <w:b/>
        </w:rPr>
        <w:t>(CPV: 45321000-3, 45000000-7)</w:t>
      </w:r>
    </w:p>
    <w:p>
      <w:pPr>
        <w:pStyle w:val="Normal"/>
        <w:spacing w:lineRule="auto" w:line="240" w:before="0" w:after="0"/>
        <w:jc w:val="both"/>
        <w:rPr>
          <w:sz w:val="20"/>
          <w:szCs w:val="20"/>
        </w:rPr>
      </w:pPr>
      <w:r>
        <w:rPr>
          <w:sz w:val="20"/>
          <w:szCs w:val="20"/>
        </w:rPr>
      </w:r>
    </w:p>
    <w:p>
      <w:pPr>
        <w:pStyle w:val="Normal"/>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t>ZAŁĄCZNIKI DO SWZ:</w:t>
      </w:r>
    </w:p>
    <w:p>
      <w:pPr>
        <w:pStyle w:val="ListParagraph"/>
        <w:numPr>
          <w:ilvl w:val="0"/>
          <w:numId w:val="4"/>
        </w:numPr>
        <w:spacing w:lineRule="auto" w:line="240" w:before="0" w:after="0"/>
        <w:contextualSpacing/>
        <w:jc w:val="both"/>
        <w:rPr>
          <w:rFonts w:ascii="Times New Roman" w:hAnsi="Times New Roman" w:cs="Times New Roman"/>
          <w:sz w:val="20"/>
          <w:szCs w:val="20"/>
        </w:rPr>
      </w:pPr>
      <w:r>
        <w:rPr>
          <w:rFonts w:cs="Times New Roman" w:ascii="Times New Roman" w:hAnsi="Times New Roman"/>
          <w:sz w:val="20"/>
          <w:szCs w:val="20"/>
        </w:rPr>
        <w:t>FORMULARZ OFERTY – ZAŁĄCZNIK NR 1 DO SWZ,</w:t>
      </w:r>
    </w:p>
    <w:p>
      <w:pPr>
        <w:pStyle w:val="ListParagraph"/>
        <w:numPr>
          <w:ilvl w:val="0"/>
          <w:numId w:val="4"/>
        </w:numPr>
        <w:spacing w:lineRule="auto" w:line="240" w:before="0" w:after="0"/>
        <w:contextualSpacing/>
        <w:jc w:val="both"/>
        <w:rPr>
          <w:rFonts w:ascii="Times New Roman" w:hAnsi="Times New Roman" w:cs="Times New Roman"/>
          <w:sz w:val="20"/>
          <w:szCs w:val="20"/>
        </w:rPr>
      </w:pPr>
      <w:r>
        <w:rPr>
          <w:rFonts w:cs="Times New Roman" w:ascii="Times New Roman" w:hAnsi="Times New Roman"/>
          <w:sz w:val="20"/>
          <w:szCs w:val="20"/>
        </w:rPr>
        <w:t xml:space="preserve">OŚWIADCZENIE WYKONAWCY SKŁADANE NA PODSTAWIE ART. </w:t>
      </w:r>
      <w:r>
        <w:rPr>
          <w:rFonts w:eastAsia="Calibri" w:cs="Times New Roman" w:ascii="Times New Roman" w:hAnsi="Times New Roman" w:eastAsiaTheme="minorHAnsi"/>
          <w:color w:val="auto"/>
          <w:kern w:val="0"/>
          <w:sz w:val="20"/>
          <w:szCs w:val="20"/>
          <w:lang w:val="pl-PL" w:eastAsia="en-US" w:bidi="ar-SA"/>
        </w:rPr>
        <w:t>125</w:t>
      </w:r>
      <w:r>
        <w:rPr>
          <w:rFonts w:cs="Times New Roman" w:ascii="Times New Roman" w:hAnsi="Times New Roman"/>
          <w:sz w:val="20"/>
          <w:szCs w:val="20"/>
        </w:rPr>
        <w:t xml:space="preserve"> UST. 1 PZP DOTYCZĄCE SPEŁNIANIA WARUNKÓW UDZIAŁU W POSTĘPOWANIU ORAZ PRZESŁANEK WYKLUCZENIA Z POSTĘPOWANIA – ZAŁĄCZNIK NR 2 DO SWZ,</w:t>
      </w:r>
    </w:p>
    <w:p>
      <w:pPr>
        <w:pStyle w:val="ListParagraph"/>
        <w:numPr>
          <w:ilvl w:val="0"/>
          <w:numId w:val="4"/>
        </w:numPr>
        <w:spacing w:lineRule="auto" w:line="240" w:before="0" w:after="0"/>
        <w:contextualSpacing/>
        <w:jc w:val="both"/>
        <w:rPr>
          <w:rFonts w:ascii="Times New Roman" w:hAnsi="Times New Roman" w:cs="Times New Roman"/>
          <w:sz w:val="20"/>
          <w:szCs w:val="20"/>
        </w:rPr>
      </w:pPr>
      <w:r>
        <w:rPr>
          <w:rFonts w:cs="Times New Roman" w:ascii="Times New Roman" w:hAnsi="Times New Roman"/>
          <w:sz w:val="20"/>
          <w:szCs w:val="20"/>
        </w:rPr>
        <w:t xml:space="preserve">WYKAZ ROBÓT BUDOWLANYCH – ZAŁĄCZNIK NR </w:t>
      </w:r>
      <w:r>
        <w:rPr>
          <w:rFonts w:eastAsia="Calibri" w:cs="Times New Roman" w:ascii="Times New Roman" w:hAnsi="Times New Roman" w:eastAsiaTheme="minorHAnsi"/>
          <w:color w:val="auto"/>
          <w:kern w:val="0"/>
          <w:sz w:val="20"/>
          <w:szCs w:val="20"/>
          <w:lang w:val="pl-PL" w:eastAsia="en-US" w:bidi="ar-SA"/>
        </w:rPr>
        <w:t xml:space="preserve">3 </w:t>
      </w:r>
      <w:r>
        <w:rPr>
          <w:rFonts w:cs="Times New Roman" w:ascii="Times New Roman" w:hAnsi="Times New Roman"/>
          <w:sz w:val="20"/>
          <w:szCs w:val="20"/>
        </w:rPr>
        <w:t>DO SWZ,</w:t>
      </w:r>
    </w:p>
    <w:p>
      <w:pPr>
        <w:pStyle w:val="ListParagraph"/>
        <w:numPr>
          <w:ilvl w:val="0"/>
          <w:numId w:val="4"/>
        </w:numPr>
        <w:spacing w:lineRule="auto" w:line="240" w:before="0" w:after="0"/>
        <w:contextualSpacing/>
        <w:jc w:val="both"/>
        <w:rPr>
          <w:rFonts w:ascii="Times New Roman" w:hAnsi="Times New Roman" w:cs="Times New Roman"/>
          <w:sz w:val="20"/>
          <w:szCs w:val="20"/>
        </w:rPr>
      </w:pPr>
      <w:r>
        <w:rPr>
          <w:rFonts w:cs="Times New Roman" w:ascii="Times New Roman" w:hAnsi="Times New Roman"/>
          <w:sz w:val="20"/>
          <w:szCs w:val="20"/>
        </w:rPr>
        <w:t xml:space="preserve">WYKAZ OSÓB ZDOLNYCH DO WYKONANIA ZAMÓWIENIA, KTÓRE BĘDĄ UCZESTNICZYĆ W WYKONYWANIU ZAMÓWIENIA – ZAŁĄCZNIK NR </w:t>
      </w:r>
      <w:r>
        <w:rPr>
          <w:rFonts w:eastAsia="Calibri" w:cs="Times New Roman" w:ascii="Times New Roman" w:hAnsi="Times New Roman" w:eastAsiaTheme="minorHAnsi"/>
          <w:color w:val="auto"/>
          <w:kern w:val="0"/>
          <w:sz w:val="20"/>
          <w:szCs w:val="20"/>
          <w:lang w:val="pl-PL" w:eastAsia="en-US" w:bidi="ar-SA"/>
        </w:rPr>
        <w:t>4</w:t>
      </w:r>
      <w:r>
        <w:rPr>
          <w:rFonts w:cs="Times New Roman" w:ascii="Times New Roman" w:hAnsi="Times New Roman"/>
          <w:sz w:val="20"/>
          <w:szCs w:val="20"/>
        </w:rPr>
        <w:t xml:space="preserve"> DO SWZ,</w:t>
      </w:r>
    </w:p>
    <w:p>
      <w:pPr>
        <w:pStyle w:val="ListParagraph"/>
        <w:numPr>
          <w:ilvl w:val="0"/>
          <w:numId w:val="4"/>
        </w:numPr>
        <w:spacing w:lineRule="auto" w:line="240" w:before="0" w:after="0"/>
        <w:contextualSpacing/>
        <w:jc w:val="both"/>
        <w:rPr>
          <w:rFonts w:ascii="Times New Roman" w:hAnsi="Times New Roman" w:cs="Times New Roman"/>
          <w:sz w:val="20"/>
          <w:szCs w:val="20"/>
        </w:rPr>
      </w:pPr>
      <w:r>
        <w:rPr>
          <w:rFonts w:cs="Times New Roman" w:ascii="Times New Roman" w:hAnsi="Times New Roman"/>
          <w:sz w:val="20"/>
          <w:szCs w:val="20"/>
        </w:rPr>
        <w:t xml:space="preserve">ZOBOWIĄZANIE DO ODDANIA DO DYSPOZYCJI WYKONAWCY NIEZBĘDNYCH ZASOBÓW NA OKRES KORZYSTANIA Z NICH PRZY WYKONANIU ZAMÓWIENIA– ZAŁĄCZNIK NR </w:t>
      </w:r>
      <w:r>
        <w:rPr>
          <w:rFonts w:eastAsia="Calibri" w:cs="Times New Roman" w:ascii="Times New Roman" w:hAnsi="Times New Roman" w:eastAsiaTheme="minorHAnsi"/>
          <w:color w:val="auto"/>
          <w:kern w:val="0"/>
          <w:sz w:val="20"/>
          <w:szCs w:val="20"/>
          <w:lang w:val="pl-PL" w:eastAsia="en-US" w:bidi="ar-SA"/>
        </w:rPr>
        <w:t>5</w:t>
      </w:r>
      <w:r>
        <w:rPr>
          <w:rFonts w:cs="Times New Roman" w:ascii="Times New Roman" w:hAnsi="Times New Roman"/>
          <w:sz w:val="20"/>
          <w:szCs w:val="20"/>
        </w:rPr>
        <w:t xml:space="preserve"> DO SWZ,</w:t>
      </w:r>
    </w:p>
    <w:p>
      <w:pPr>
        <w:pStyle w:val="ListParagraph"/>
        <w:numPr>
          <w:ilvl w:val="0"/>
          <w:numId w:val="4"/>
        </w:numPr>
        <w:spacing w:lineRule="auto" w:line="240" w:before="0" w:after="0"/>
        <w:contextualSpacing/>
        <w:jc w:val="both"/>
        <w:rPr>
          <w:rFonts w:ascii="Times New Roman" w:hAnsi="Times New Roman" w:cs="Times New Roman"/>
          <w:sz w:val="20"/>
          <w:szCs w:val="20"/>
        </w:rPr>
      </w:pPr>
      <w:r>
        <w:rPr>
          <w:rFonts w:cs="Times New Roman" w:ascii="Times New Roman" w:hAnsi="Times New Roman"/>
          <w:sz w:val="20"/>
          <w:szCs w:val="20"/>
        </w:rPr>
        <w:t xml:space="preserve">WZÓR UMOWY – ZAŁĄCZNIK NR </w:t>
      </w:r>
      <w:r>
        <w:rPr>
          <w:rFonts w:eastAsia="Calibri" w:cs="Times New Roman" w:ascii="Times New Roman" w:hAnsi="Times New Roman" w:eastAsiaTheme="minorHAnsi"/>
          <w:color w:val="auto"/>
          <w:kern w:val="0"/>
          <w:sz w:val="20"/>
          <w:szCs w:val="20"/>
          <w:lang w:val="pl-PL" w:eastAsia="en-US" w:bidi="ar-SA"/>
        </w:rPr>
        <w:t>6</w:t>
      </w:r>
      <w:r>
        <w:rPr>
          <w:rFonts w:cs="Times New Roman" w:ascii="Times New Roman" w:hAnsi="Times New Roman"/>
          <w:sz w:val="20"/>
          <w:szCs w:val="20"/>
        </w:rPr>
        <w:t xml:space="preserve"> DO SWZ,</w:t>
      </w:r>
    </w:p>
    <w:p>
      <w:pPr>
        <w:pStyle w:val="ListParagraph"/>
        <w:numPr>
          <w:ilvl w:val="0"/>
          <w:numId w:val="4"/>
        </w:numPr>
        <w:spacing w:lineRule="auto" w:line="240" w:before="0" w:after="0"/>
        <w:contextualSpacing/>
        <w:jc w:val="both"/>
        <w:rPr/>
      </w:pPr>
      <w:r>
        <w:rPr>
          <w:rFonts w:cs="Times New Roman" w:ascii="Times New Roman" w:hAnsi="Times New Roman"/>
          <w:sz w:val="20"/>
          <w:szCs w:val="20"/>
        </w:rPr>
        <w:t xml:space="preserve">DOKUMENTACJA  – ZAŁĄCZNIK NR </w:t>
      </w:r>
      <w:r>
        <w:rPr>
          <w:rFonts w:eastAsia="Calibri" w:cs="Times New Roman" w:ascii="Times New Roman" w:hAnsi="Times New Roman" w:eastAsiaTheme="minorHAnsi"/>
          <w:color w:val="auto"/>
          <w:kern w:val="0"/>
          <w:sz w:val="20"/>
          <w:szCs w:val="20"/>
          <w:lang w:val="pl-PL" w:eastAsia="en-US" w:bidi="ar-SA"/>
        </w:rPr>
        <w:t>7</w:t>
      </w:r>
      <w:r>
        <w:rPr>
          <w:rFonts w:cs="Times New Roman" w:ascii="Times New Roman" w:hAnsi="Times New Roman"/>
          <w:sz w:val="20"/>
          <w:szCs w:val="20"/>
        </w:rPr>
        <w:t xml:space="preserve"> DO SWZ</w:t>
      </w:r>
    </w:p>
    <w:p>
      <w:pPr>
        <w:pStyle w:val="ListParagraph"/>
        <w:spacing w:lineRule="auto" w:line="240" w:before="0" w:after="0"/>
        <w:contextualSpacing/>
        <w:jc w:val="both"/>
        <w:rPr>
          <w:sz w:val="20"/>
          <w:szCs w:val="20"/>
        </w:rPr>
      </w:pPr>
      <w:r>
        <w:rPr>
          <w:sz w:val="20"/>
          <w:szCs w:val="20"/>
        </w:rPr>
      </w:r>
    </w:p>
    <w:p>
      <w:pPr>
        <w:pStyle w:val="ListParagraph"/>
        <w:spacing w:lineRule="auto" w:line="240" w:before="0" w:after="0"/>
        <w:contextualSpacing/>
        <w:jc w:val="both"/>
        <w:rPr>
          <w:sz w:val="20"/>
          <w:szCs w:val="20"/>
        </w:rPr>
      </w:pPr>
      <w:r>
        <w:rPr>
          <w:sz w:val="20"/>
          <w:szCs w:val="20"/>
        </w:rPr>
      </w:r>
    </w:p>
    <w:p>
      <w:pPr>
        <w:pStyle w:val="Normal"/>
        <w:tabs>
          <w:tab w:val="clear" w:pos="720"/>
          <w:tab w:val="center" w:pos="4873" w:leader="none"/>
        </w:tabs>
        <w:spacing w:lineRule="auto" w:line="240" w:before="0" w:after="0"/>
        <w:jc w:val="both"/>
        <w:rPr/>
      </w:pPr>
      <w:r>
        <w:rPr/>
      </w:r>
    </w:p>
    <w:p>
      <w:pPr>
        <w:pStyle w:val="Normal"/>
        <w:tabs>
          <w:tab w:val="clear" w:pos="720"/>
          <w:tab w:val="center" w:pos="4873" w:leader="none"/>
        </w:tabs>
        <w:spacing w:lineRule="auto" w:line="240" w:before="0" w:after="0"/>
        <w:jc w:val="both"/>
        <w:rPr/>
      </w:pPr>
      <w:r>
        <w:rPr/>
      </w:r>
    </w:p>
    <w:p>
      <w:pPr>
        <w:pStyle w:val="Normal"/>
        <w:tabs>
          <w:tab w:val="clear" w:pos="720"/>
          <w:tab w:val="center" w:pos="4873" w:leader="none"/>
        </w:tabs>
        <w:spacing w:lineRule="auto" w:line="240" w:before="0" w:after="0"/>
        <w:jc w:val="both"/>
        <w:rPr>
          <w:rFonts w:ascii="Times New Roman" w:hAnsi="Times New Roman" w:cs="Times New Roman"/>
        </w:rPr>
      </w:pPr>
      <w:r>
        <w:rPr>
          <w:rFonts w:cs="Times New Roman" w:ascii="Times New Roman" w:hAnsi="Times New Roman"/>
        </w:rPr>
        <w:t>Sporządziła:</w:t>
        <w:tab/>
        <w:tab/>
        <w:tab/>
        <w:tab/>
        <w:t>Zatwierdzam niniejszą specyfikację:</w:t>
      </w:r>
    </w:p>
    <w:p>
      <w:pPr>
        <w:pStyle w:val="Normal"/>
        <w:tabs>
          <w:tab w:val="clear" w:pos="720"/>
          <w:tab w:val="center" w:pos="4873" w:leader="none"/>
        </w:tabs>
        <w:spacing w:lineRule="auto" w:line="240" w:before="0" w:after="0"/>
        <w:jc w:val="both"/>
        <w:rPr>
          <w:rFonts w:ascii="Times New Roman" w:hAnsi="Times New Roman" w:cs="Times New Roman"/>
        </w:rPr>
      </w:pPr>
      <w:r>
        <w:rPr>
          <w:rFonts w:cs="Times New Roman" w:ascii="Times New Roman" w:hAnsi="Times New Roman"/>
        </w:rPr>
        <w:t>Komisja Przetargowa</w:t>
      </w:r>
    </w:p>
    <w:p>
      <w:pPr>
        <w:pStyle w:val="Normal"/>
        <w:tabs>
          <w:tab w:val="clear" w:pos="720"/>
          <w:tab w:val="center" w:pos="4873" w:leader="none"/>
        </w:tabs>
        <w:spacing w:lineRule="auto" w:line="240" w:before="0" w:after="0"/>
        <w:jc w:val="both"/>
        <w:rPr>
          <w:rFonts w:ascii="Times New Roman" w:hAnsi="Times New Roman" w:cs="Times New Roman"/>
        </w:rPr>
      </w:pPr>
      <w:r>
        <w:rPr>
          <w:rFonts w:cs="Times New Roman" w:ascii="Times New Roman" w:hAnsi="Times New Roman"/>
        </w:rPr>
        <w:t xml:space="preserve">Powołana Zarządzeniem </w:t>
        <w:tab/>
        <w:tab/>
        <w:tab/>
        <w:t xml:space="preserve">   </w:t>
        <w:tab/>
        <w:t xml:space="preserve">            </w:t>
      </w:r>
      <w:r>
        <w:rPr>
          <w:rFonts w:cs="Times New Roman" w:ascii="Times New Roman" w:hAnsi="Times New Roman"/>
          <w:i/>
          <w:iCs/>
        </w:rPr>
        <w:t xml:space="preserve">    </w:t>
      </w:r>
      <w:r>
        <w:rPr>
          <w:rFonts w:eastAsia="Calibri" w:cs="Times New Roman" w:ascii="Times New Roman" w:hAnsi="Times New Roman" w:eastAsiaTheme="minorHAnsi"/>
          <w:i/>
          <w:iCs/>
          <w:color w:val="auto"/>
          <w:kern w:val="0"/>
          <w:sz w:val="22"/>
          <w:szCs w:val="22"/>
          <w:lang w:val="pl-PL" w:eastAsia="en-US" w:bidi="ar-SA"/>
        </w:rPr>
        <w:t>Barbara Dykier</w:t>
      </w:r>
    </w:p>
    <w:p>
      <w:pPr>
        <w:pStyle w:val="Normal"/>
        <w:tabs>
          <w:tab w:val="clear" w:pos="720"/>
          <w:tab w:val="center" w:pos="4873" w:leader="none"/>
        </w:tabs>
        <w:spacing w:lineRule="auto" w:line="240" w:before="0" w:after="0"/>
        <w:jc w:val="both"/>
        <w:rPr>
          <w:i/>
          <w:i/>
          <w:iCs/>
        </w:rPr>
      </w:pPr>
      <w:r>
        <w:rPr>
          <w:rFonts w:cs="Times New Roman" w:ascii="Times New Roman" w:hAnsi="Times New Roman"/>
          <w:i w:val="false"/>
          <w:iCs w:val="false"/>
        </w:rPr>
        <w:t>Wójta Gminy Redzikowo</w:t>
      </w:r>
      <w:r>
        <w:rPr>
          <w:rFonts w:cs="Times New Roman" w:ascii="Times New Roman" w:hAnsi="Times New Roman"/>
          <w:i/>
          <w:iCs/>
        </w:rPr>
        <w:tab/>
        <w:tab/>
        <w:tab/>
        <w:tab/>
        <w:t xml:space="preserve">              Wójt Gminy Redzikowo</w:t>
      </w:r>
    </w:p>
    <w:p>
      <w:pPr>
        <w:pStyle w:val="Normal"/>
        <w:tabs>
          <w:tab w:val="clear" w:pos="720"/>
          <w:tab w:val="center" w:pos="4873" w:leader="none"/>
        </w:tabs>
        <w:spacing w:lineRule="auto" w:line="240" w:before="0" w:after="0"/>
        <w:jc w:val="both"/>
        <w:rPr>
          <w:rFonts w:ascii="Times New Roman" w:hAnsi="Times New Roman" w:cs="Times New Roman"/>
        </w:rPr>
      </w:pPr>
      <w:r>
        <w:rPr>
          <w:rFonts w:cs="Times New Roman" w:ascii="Times New Roman" w:hAnsi="Times New Roman"/>
        </w:rPr>
      </w:r>
    </w:p>
    <w:p>
      <w:pPr>
        <w:pStyle w:val="Normal"/>
        <w:spacing w:lineRule="auto" w:line="240" w:before="0" w:after="0"/>
        <w:jc w:val="both"/>
        <w:rPr>
          <w:b/>
        </w:rPr>
      </w:pPr>
      <w:r>
        <w:rPr>
          <w:b/>
        </w:rPr>
      </w:r>
    </w:p>
    <w:p>
      <w:pPr>
        <w:pStyle w:val="Normal"/>
        <w:spacing w:lineRule="auto" w:line="240" w:before="0" w:after="0"/>
        <w:jc w:val="both"/>
        <w:rPr>
          <w:b/>
        </w:rPr>
      </w:pPr>
      <w:r>
        <w:rPr>
          <w:b/>
        </w:rPr>
      </w:r>
    </w:p>
    <w:p>
      <w:pPr>
        <w:pStyle w:val="Normal"/>
        <w:tabs>
          <w:tab w:val="clear" w:pos="720"/>
          <w:tab w:val="left" w:pos="6787" w:leader="none"/>
        </w:tabs>
        <w:spacing w:lineRule="auto" w:line="240" w:before="0" w:after="0"/>
        <w:jc w:val="both"/>
        <w:rPr>
          <w:rFonts w:ascii="Times New Roman" w:hAnsi="Times New Roman"/>
        </w:rPr>
      </w:pPr>
      <w:r>
        <w:rPr>
          <w:rFonts w:ascii="Times New Roman" w:hAnsi="Times New Roman"/>
        </w:rPr>
        <w:t>Zatwierdzam pod względem merytorycznym:</w:t>
      </w:r>
      <w:r>
        <w:br w:type="page"/>
      </w:r>
    </w:p>
    <w:p>
      <w:pPr>
        <w:pStyle w:val="Normal"/>
        <w:spacing w:lineRule="exact" w:line="300" w:before="0" w:after="200"/>
        <w:contextualSpacing/>
        <w:jc w:val="both"/>
        <w:rPr/>
      </w:pPr>
      <w:r>
        <w:rPr>
          <w:rFonts w:eastAsia="Calibri" w:cs="Times New Roman" w:ascii="Times New Roman" w:hAnsi="Times New Roman"/>
          <w:b/>
        </w:rPr>
        <w:t xml:space="preserve"> </w:t>
      </w:r>
      <w:r>
        <w:rPr>
          <w:rFonts w:eastAsia="Calibri" w:cs="Times New Roman" w:ascii="Times New Roman" w:hAnsi="Times New Roman"/>
          <w:b/>
        </w:rPr>
        <w:t>INFORMACJA DLA WYKONAWCÓW - IDW</w:t>
      </w:r>
    </w:p>
    <w:p>
      <w:pPr>
        <w:pStyle w:val="Normal"/>
        <w:numPr>
          <w:ilvl w:val="0"/>
          <w:numId w:val="1"/>
        </w:numPr>
        <w:spacing w:lineRule="exact" w:line="300" w:before="0" w:after="200"/>
        <w:contextualSpacing/>
        <w:jc w:val="both"/>
        <w:rPr/>
      </w:pPr>
      <w:r>
        <w:rPr>
          <w:rFonts w:eastAsia="Calibri" w:cs="Times New Roman" w:ascii="Times New Roman" w:hAnsi="Times New Roman"/>
          <w:b/>
        </w:rPr>
        <w:t>1. Nazwa oraz adres Zamawiającego</w:t>
      </w:r>
      <w:r>
        <w:fldChar w:fldCharType="begin"/>
      </w:r>
      <w:r>
        <w:rPr>
          <w:b/>
          <w:rFonts w:eastAsia="Calibri" w:cs="Times New Roman" w:ascii="Times New Roman" w:hAnsi="Times New Roman"/>
        </w:rPr>
        <w:instrText xml:space="preserve"> TC "Nazwa oraz adres Zamawiającego" \l 9 </w:instrText>
      </w:r>
      <w:r>
        <w:rPr>
          <w:b/>
          <w:rFonts w:eastAsia="Calibri" w:cs="Times New Roman" w:ascii="Times New Roman" w:hAnsi="Times New Roman"/>
        </w:rPr>
        <w:fldChar w:fldCharType="separate"/>
      </w:r>
      <w:r>
        <w:rPr>
          <w:rFonts w:eastAsia="Calibri" w:cs="Times New Roman" w:ascii="Times New Roman" w:hAnsi="Times New Roman"/>
          <w:b/>
        </w:rPr>
      </w:r>
      <w:r>
        <w:rPr>
          <w:b/>
          <w:rFonts w:eastAsia="Calibri" w:cs="Times New Roman" w:ascii="Times New Roman" w:hAnsi="Times New Roman"/>
        </w:rPr>
        <w:fldChar w:fldCharType="end"/>
      </w:r>
      <w:r>
        <w:fldChar w:fldCharType="begin"/>
      </w:r>
      <w:r>
        <w:rPr>
          <w:b/>
          <w:rFonts w:eastAsia="Calibri" w:cs="Times New Roman" w:ascii="Times New Roman" w:hAnsi="Times New Roman"/>
        </w:rPr>
        <w:instrText xml:space="preserve"> TC "Nazwa oraz adres Zamawiającego" \l 9 </w:instrText>
      </w:r>
      <w:r>
        <w:rPr>
          <w:b/>
          <w:rFonts w:eastAsia="Calibri" w:cs="Times New Roman" w:ascii="Times New Roman" w:hAnsi="Times New Roman"/>
        </w:rPr>
        <w:fldChar w:fldCharType="separate"/>
      </w:r>
      <w:r>
        <w:rPr>
          <w:rFonts w:eastAsia="Calibri" w:cs="Times New Roman" w:ascii="Times New Roman" w:hAnsi="Times New Roman"/>
          <w:b/>
        </w:rPr>
      </w:r>
      <w:r>
        <w:rPr>
          <w:b/>
          <w:rFonts w:eastAsia="Calibri" w:cs="Times New Roman" w:ascii="Times New Roman" w:hAnsi="Times New Roman"/>
        </w:rPr>
        <w:fldChar w:fldCharType="end"/>
      </w:r>
      <w:r>
        <w:fldChar w:fldCharType="begin"/>
      </w:r>
      <w:r>
        <w:rPr>
          <w:b/>
          <w:rFonts w:eastAsia="Calibri" w:cs="Times New Roman" w:ascii="Times New Roman" w:hAnsi="Times New Roman"/>
        </w:rPr>
        <w:instrText xml:space="preserve"> TC "Nazwa oraz adres Zamawiającego" \l 9 </w:instrText>
      </w:r>
      <w:r>
        <w:rPr>
          <w:b/>
          <w:rFonts w:eastAsia="Calibri" w:cs="Times New Roman" w:ascii="Times New Roman" w:hAnsi="Times New Roman"/>
        </w:rPr>
        <w:fldChar w:fldCharType="separate"/>
      </w:r>
      <w:r>
        <w:rPr>
          <w:rFonts w:eastAsia="Calibri" w:cs="Times New Roman" w:ascii="Times New Roman" w:hAnsi="Times New Roman"/>
          <w:b/>
        </w:rPr>
      </w:r>
      <w:r>
        <w:rPr>
          <w:b/>
          <w:rFonts w:eastAsia="Calibri" w:cs="Times New Roman" w:ascii="Times New Roman" w:hAnsi="Times New Roman"/>
        </w:rPr>
        <w:fldChar w:fldCharType="end"/>
      </w:r>
      <w:r>
        <w:fldChar w:fldCharType="begin"/>
      </w:r>
      <w:r>
        <w:rPr>
          <w:b/>
          <w:rFonts w:eastAsia="Calibri" w:cs="Times New Roman" w:ascii="Times New Roman" w:hAnsi="Times New Roman"/>
        </w:rPr>
        <w:instrText xml:space="preserve"> TC "Nazwa oraz adres Zamawiającego" \l 9 </w:instrText>
      </w:r>
      <w:r>
        <w:rPr>
          <w:b/>
          <w:rFonts w:eastAsia="Calibri" w:cs="Times New Roman" w:ascii="Times New Roman" w:hAnsi="Times New Roman"/>
        </w:rPr>
        <w:fldChar w:fldCharType="separate"/>
      </w:r>
      <w:r>
        <w:rPr>
          <w:rFonts w:eastAsia="Calibri" w:cs="Times New Roman" w:ascii="Times New Roman" w:hAnsi="Times New Roman"/>
          <w:b/>
        </w:rPr>
      </w:r>
      <w:r>
        <w:rPr>
          <w:b/>
          <w:rFonts w:eastAsia="Calibri" w:cs="Times New Roman" w:ascii="Times New Roman" w:hAnsi="Times New Roman"/>
        </w:rPr>
        <w:fldChar w:fldCharType="end"/>
      </w:r>
      <w:r>
        <w:fldChar w:fldCharType="begin"/>
      </w:r>
      <w:r>
        <w:rPr>
          <w:b/>
          <w:rFonts w:eastAsia="Calibri" w:cs="Times New Roman" w:ascii="Times New Roman" w:hAnsi="Times New Roman"/>
        </w:rPr>
        <w:instrText xml:space="preserve"> TC "Nazwa oraz adres Zamawiającego" \l 9 </w:instrText>
      </w:r>
      <w:r>
        <w:rPr>
          <w:b/>
          <w:rFonts w:eastAsia="Calibri" w:cs="Times New Roman" w:ascii="Times New Roman" w:hAnsi="Times New Roman"/>
        </w:rPr>
        <w:fldChar w:fldCharType="separate"/>
      </w:r>
      <w:r>
        <w:rPr>
          <w:rFonts w:eastAsia="Calibri" w:cs="Times New Roman" w:ascii="Times New Roman" w:hAnsi="Times New Roman"/>
          <w:b/>
        </w:rPr>
      </w:r>
      <w:r>
        <w:rPr>
          <w:b/>
          <w:rFonts w:eastAsia="Calibri" w:cs="Times New Roman" w:ascii="Times New Roman" w:hAnsi="Times New Roman"/>
        </w:rPr>
        <w:fldChar w:fldCharType="end"/>
      </w:r>
      <w:r>
        <w:fldChar w:fldCharType="begin"/>
      </w:r>
      <w:r>
        <w:rPr>
          <w:b/>
          <w:rFonts w:eastAsia="Calibri" w:cs="Times New Roman" w:ascii="Times New Roman" w:hAnsi="Times New Roman"/>
        </w:rPr>
        <w:instrText xml:space="preserve"> TC "Nazwa oraz adres Zamawiającego" \l 9 </w:instrText>
      </w:r>
      <w:r>
        <w:rPr>
          <w:b/>
          <w:rFonts w:eastAsia="Calibri" w:cs="Times New Roman" w:ascii="Times New Roman" w:hAnsi="Times New Roman"/>
        </w:rPr>
        <w:fldChar w:fldCharType="separate"/>
      </w:r>
      <w:r>
        <w:rPr>
          <w:rFonts w:eastAsia="Calibri" w:cs="Times New Roman" w:ascii="Times New Roman" w:hAnsi="Times New Roman"/>
          <w:b/>
        </w:rPr>
      </w:r>
      <w:r>
        <w:rPr>
          <w:b/>
          <w:rFonts w:eastAsia="Calibri" w:cs="Times New Roman" w:ascii="Times New Roman" w:hAnsi="Times New Roman"/>
        </w:rPr>
        <w:fldChar w:fldCharType="end"/>
      </w:r>
    </w:p>
    <w:p>
      <w:pPr>
        <w:pStyle w:val="Normal"/>
        <w:spacing w:lineRule="exact" w:line="300" w:before="0" w:after="29"/>
        <w:ind w:left="360"/>
        <w:jc w:val="both"/>
        <w:rPr/>
      </w:pPr>
      <w:r>
        <w:rPr>
          <w:rFonts w:eastAsia="Calibri" w:cs="Times New Roman" w:ascii="Times New Roman" w:hAnsi="Times New Roman"/>
        </w:rPr>
        <w:t>Gmina Redzikowo</w:t>
      </w:r>
    </w:p>
    <w:p>
      <w:pPr>
        <w:pStyle w:val="Normal"/>
        <w:spacing w:lineRule="exact" w:line="300" w:before="0" w:after="29"/>
        <w:ind w:left="360"/>
        <w:jc w:val="both"/>
        <w:rPr/>
      </w:pPr>
      <w:r>
        <w:rPr>
          <w:rFonts w:eastAsia="Calibri" w:cs="Times New Roman" w:ascii="Times New Roman" w:hAnsi="Times New Roman"/>
        </w:rPr>
        <w:t>76-200 Słupsk, ul. Sportowa 34</w:t>
      </w:r>
    </w:p>
    <w:p>
      <w:pPr>
        <w:pStyle w:val="Normal"/>
        <w:spacing w:lineRule="exact" w:line="300" w:before="0" w:after="29"/>
        <w:ind w:left="360"/>
        <w:jc w:val="both"/>
        <w:rPr/>
      </w:pPr>
      <w:r>
        <w:rPr>
          <w:rFonts w:eastAsia="Calibri" w:cs="Times New Roman" w:ascii="Times New Roman" w:hAnsi="Times New Roman"/>
        </w:rPr>
        <w:t xml:space="preserve">Adres strony internetowej Zamawiającego: </w:t>
      </w:r>
      <w:hyperlink r:id="rId4">
        <w:r>
          <w:rPr>
            <w:rFonts w:eastAsia="Calibri" w:cs="Times New Roman" w:ascii="Times New Roman" w:hAnsi="Times New Roman"/>
            <w:color w:themeColor="hyperlink" w:val="0000FF"/>
            <w:u w:val="single"/>
          </w:rPr>
          <w:t>www.gminaredzikowo.pl</w:t>
        </w:r>
      </w:hyperlink>
      <w:r>
        <w:rPr>
          <w:rFonts w:eastAsia="Calibri" w:cs="Times New Roman" w:ascii="Times New Roman" w:hAnsi="Times New Roman"/>
        </w:rPr>
        <w:t xml:space="preserve"> </w:t>
      </w:r>
    </w:p>
    <w:p>
      <w:pPr>
        <w:pStyle w:val="Normal"/>
        <w:spacing w:lineRule="exact" w:line="300" w:before="0" w:after="29"/>
        <w:ind w:left="360"/>
        <w:jc w:val="both"/>
        <w:rPr/>
      </w:pPr>
      <w:r>
        <w:rPr>
          <w:rFonts w:eastAsia="Calibri" w:cs="Times New Roman" w:ascii="Times New Roman" w:hAnsi="Times New Roman"/>
        </w:rPr>
        <w:t xml:space="preserve">Adres strony internetowej na której prowadzone będzie postępowanie o udzielenie zamówienia: </w:t>
      </w:r>
      <w:hyperlink r:id="rId5">
        <w:r>
          <w:rPr>
            <w:rFonts w:eastAsia="Calibri" w:cs="Times New Roman" w:ascii="Times New Roman" w:hAnsi="Times New Roman"/>
            <w:color w:themeColor="hyperlink" w:val="0000FF"/>
            <w:u w:val="single"/>
          </w:rPr>
          <w:t>https://</w:t>
        </w:r>
      </w:hyperlink>
      <w:r>
        <w:rPr>
          <w:rStyle w:val="Hipercze1"/>
          <w:rFonts w:eastAsia="Calibri" w:cs="Times New Roman" w:ascii="Times New Roman" w:hAnsi="Times New Roman"/>
        </w:rPr>
        <w:t>platformazakupowa.pl/pn/ug_redzikowo</w:t>
      </w:r>
    </w:p>
    <w:p>
      <w:pPr>
        <w:pStyle w:val="Normal"/>
        <w:spacing w:lineRule="exact" w:line="300"/>
        <w:ind w:left="360"/>
        <w:jc w:val="both"/>
        <w:rPr>
          <w:rFonts w:ascii="Times New Roman" w:hAnsi="Times New Roman" w:cs="Times New Roman"/>
          <w:b/>
        </w:rPr>
      </w:pPr>
      <w:r>
        <w:rPr>
          <w:rFonts w:cs="Times New Roman" w:ascii="Times New Roman" w:hAnsi="Times New Roman"/>
          <w:b/>
        </w:rPr>
      </w:r>
    </w:p>
    <w:p>
      <w:pPr>
        <w:pStyle w:val="ListParagraph"/>
        <w:numPr>
          <w:ilvl w:val="0"/>
          <w:numId w:val="1"/>
        </w:numPr>
        <w:jc w:val="both"/>
        <w:rPr>
          <w:rFonts w:ascii="Times New Roman" w:hAnsi="Times New Roman"/>
          <w:sz w:val="22"/>
          <w:szCs w:val="22"/>
        </w:rPr>
      </w:pPr>
      <w:r>
        <w:rPr>
          <w:rFonts w:cs="Times New Roman" w:ascii="Times New Roman" w:hAnsi="Times New Roman"/>
          <w:b/>
          <w:sz w:val="22"/>
          <w:szCs w:val="22"/>
        </w:rPr>
        <w:t>2. Tryb udzielania zamówienia:</w:t>
      </w:r>
      <w:r>
        <w:fldChar w:fldCharType="begin"/>
      </w:r>
      <w:r>
        <w:rPr>
          <w:sz w:val="22"/>
          <w:b/>
          <w:szCs w:val="22"/>
          <w:rFonts w:cs="Times New Roman" w:ascii="Times New Roman" w:hAnsi="Times New Roman"/>
        </w:rPr>
        <w:instrText xml:space="preserve"> TC "Tryb udzielania zamówienia:"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"Tryb udzielania zamówienia:"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"Tryb udzielania zamówienia:"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"Tryb udzielania zamówienia:"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"Tryb udzielania zamówienia:"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"Tryb udzielania zamówienia:"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p>
    <w:p>
      <w:pPr>
        <w:pStyle w:val="ListParagraph"/>
        <w:numPr>
          <w:ilvl w:val="1"/>
          <w:numId w:val="1"/>
        </w:numPr>
        <w:spacing w:lineRule="auto" w:line="240" w:before="0" w:after="0"/>
        <w:contextualSpacing/>
        <w:jc w:val="both"/>
        <w:rPr>
          <w:b w:val="false"/>
          <w:bCs w:val="false"/>
        </w:rPr>
      </w:pPr>
      <w:r>
        <w:rPr>
          <w:rFonts w:cs="Times New Roman" w:ascii="Times New Roman" w:hAnsi="Times New Roman"/>
          <w:b w:val="false"/>
          <w:bCs w:val="false"/>
          <w:sz w:val="22"/>
          <w:szCs w:val="22"/>
        </w:rPr>
        <w:t xml:space="preserve">Postępowanie o udzielenie niniejszego zamówienia publicznego na wykonanie robót budowlanych, którego wartość szacunkowa nie przekracza kwoty określonej w przepisach wydanych na podstawie art. 3 ust. 1 pkt 1 ustawy </w:t>
      </w:r>
      <w:r>
        <w:rPr>
          <w:rFonts w:cs="Times New Roman" w:ascii="TimesNewRomanPSMT" w:hAnsi="TimesNewRomanPSMT"/>
          <w:b w:val="false"/>
          <w:bCs w:val="false"/>
          <w:sz w:val="22"/>
          <w:szCs w:val="22"/>
        </w:rPr>
        <w:t>(Dz.U. z 2024 r. poz. 1320)</w:t>
      </w:r>
      <w:r>
        <w:rPr>
          <w:rFonts w:cs="Times New Roman" w:ascii="Times New Roman" w:hAnsi="Times New Roman"/>
          <w:b w:val="false"/>
          <w:bCs w:val="false"/>
          <w:sz w:val="22"/>
          <w:szCs w:val="22"/>
        </w:rPr>
        <w:t xml:space="preserve"> prowadzone jest w trybie podstawowym , o którym mowa w art. 275 pkt 1 ustawy..</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Postępowanie o udzielenie niniejszego zamówienia oznaczone jest znakiem sprawy</w:t>
      </w:r>
      <w:r>
        <w:rPr>
          <w:rFonts w:cs="Times New Roman" w:ascii="Times New Roman" w:hAnsi="Times New Roman"/>
          <w:b/>
          <w:bCs/>
          <w:sz w:val="22"/>
          <w:szCs w:val="22"/>
        </w:rPr>
        <w:t xml:space="preserve"> I</w:t>
      </w:r>
      <w:bookmarkStart w:id="0" w:name="__DdeLink__2758_1637345010"/>
      <w:r>
        <w:rPr>
          <w:rFonts w:cs="Times New Roman" w:ascii="Times New Roman" w:hAnsi="Times New Roman"/>
          <w:b/>
          <w:bCs/>
          <w:sz w:val="22"/>
          <w:szCs w:val="22"/>
        </w:rPr>
        <w:t>ZP.271.9.2026.</w:t>
      </w:r>
      <w:bookmarkEnd w:id="0"/>
      <w:r>
        <w:rPr>
          <w:rFonts w:cs="Times New Roman" w:ascii="Times New Roman" w:hAnsi="Times New Roman"/>
          <w:sz w:val="22"/>
          <w:szCs w:val="22"/>
        </w:rPr>
        <w:t xml:space="preserve"> Zaleca się, aby Wykonawcy porozumiewając się z Zamawiającym powoływali się na ww. znak sprawy.</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 xml:space="preserve">W sprawach nieuregulowanych niniejszą Specyfikacją Warunków Zamówienia (SWZ) stosuje się przepisy ustawy z dnia 11 września 2019 r. Prawo zamówień publicznych , przepisy ustawy z dnia 7 lipca 1994 r. Prawo budowlane </w:t>
      </w:r>
      <w:bookmarkStart w:id="1" w:name="page3R_mcid21"/>
      <w:bookmarkStart w:id="2" w:name="__DdeLink__830_3160040581"/>
      <w:bookmarkEnd w:id="1"/>
      <w:bookmarkEnd w:id="2"/>
      <w:r>
        <w:rPr>
          <w:rFonts w:cs="Times New Roman" w:ascii="Times New Roman" w:hAnsi="Times New Roman"/>
          <w:sz w:val="22"/>
          <w:szCs w:val="22"/>
        </w:rPr>
        <w:t>Dz. U. z 2021 r.poz. 2351, z 2022r. poz. 88, 1557,1768, 1783, 1846, 2206, 2687, z 2023r. poz. 553. , odpowiednie przepisy ustawy z dnia 23 kwietnia 1964 r. Kodeks cywilny (t. j. Dz. U.  z  2020  r. poz. 1740, 2320) oraz powołane w SWZ.</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Zgodnie z art. 8 Ustawy Pzp do czynności podejmowanych przez Zamawiającego i Wykonawców w postępowaniu o udzielenie niniejszego zamówienia stosuje się przepisy ustawy z dnia 23 kwietnia  1964 r. – Kodeks cywilny, jeżeli przepisy Ustawy nie stanowią inaczej.</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Postępowanie o udzielenie niniejszego zamówienia prowadzi się w języku polskim.</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Ilekroć w Specyfikacji Istotnych Warunków Zamówienia jest mowa o:</w:t>
      </w:r>
    </w:p>
    <w:p>
      <w:pPr>
        <w:pStyle w:val="ListParagraph"/>
        <w:numPr>
          <w:ilvl w:val="2"/>
          <w:numId w:val="1"/>
        </w:numPr>
        <w:ind w:hanging="273" w:left="993"/>
        <w:jc w:val="both"/>
        <w:rPr>
          <w:rFonts w:ascii="Times New Roman" w:hAnsi="Times New Roman"/>
          <w:sz w:val="22"/>
          <w:szCs w:val="22"/>
        </w:rPr>
      </w:pPr>
      <w:r>
        <w:rPr>
          <w:rFonts w:cs="Times New Roman" w:ascii="Times New Roman" w:hAnsi="Times New Roman"/>
          <w:b/>
          <w:sz w:val="22"/>
          <w:szCs w:val="22"/>
        </w:rPr>
        <w:t>Specyfikacji lub SWZ</w:t>
      </w:r>
      <w:r>
        <w:rPr>
          <w:rFonts w:cs="Times New Roman" w:ascii="Times New Roman" w:hAnsi="Times New Roman"/>
          <w:sz w:val="22"/>
          <w:szCs w:val="22"/>
        </w:rPr>
        <w:t xml:space="preserve"> – należy przez to rozumieć niniejszą Specyfikację Warunków Zamówienia.</w:t>
      </w:r>
    </w:p>
    <w:p>
      <w:pPr>
        <w:pStyle w:val="ListParagraph"/>
        <w:numPr>
          <w:ilvl w:val="2"/>
          <w:numId w:val="1"/>
        </w:numPr>
        <w:ind w:hanging="273" w:left="993"/>
        <w:jc w:val="both"/>
        <w:rPr>
          <w:rFonts w:ascii="Times New Roman" w:hAnsi="Times New Roman"/>
          <w:sz w:val="22"/>
          <w:szCs w:val="22"/>
        </w:rPr>
      </w:pPr>
      <w:r>
        <w:rPr>
          <w:rFonts w:cs="Times New Roman" w:ascii="Times New Roman" w:hAnsi="Times New Roman"/>
          <w:b/>
          <w:sz w:val="22"/>
          <w:szCs w:val="22"/>
        </w:rPr>
        <w:t>Wykonawcy</w:t>
      </w:r>
      <w:r>
        <w:rPr>
          <w:rFonts w:cs="Times New Roman" w:ascii="Times New Roman" w:hAnsi="Times New Roman"/>
          <w:sz w:val="22"/>
          <w:szCs w:val="22"/>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pPr>
        <w:pStyle w:val="ListParagraph"/>
        <w:numPr>
          <w:ilvl w:val="2"/>
          <w:numId w:val="1"/>
        </w:numPr>
        <w:ind w:hanging="273" w:left="993"/>
        <w:jc w:val="both"/>
        <w:rPr>
          <w:rFonts w:ascii="Times New Roman" w:hAnsi="Times New Roman"/>
          <w:sz w:val="22"/>
          <w:szCs w:val="22"/>
        </w:rPr>
      </w:pPr>
      <w:r>
        <w:rPr>
          <w:rFonts w:cs="Times New Roman" w:ascii="Times New Roman" w:hAnsi="Times New Roman"/>
          <w:b/>
          <w:sz w:val="22"/>
          <w:szCs w:val="22"/>
        </w:rPr>
        <w:t>Zamawiającym</w:t>
      </w:r>
      <w:r>
        <w:rPr>
          <w:rFonts w:cs="Times New Roman" w:ascii="Times New Roman" w:hAnsi="Times New Roman"/>
          <w:sz w:val="22"/>
          <w:szCs w:val="22"/>
        </w:rPr>
        <w:t xml:space="preserve"> – należy przez to rozumieć Gminę Redzikowo z siedzibą przy ul. Sportowej 34, 76-200 Słupsk, reprezentowaną przez Wójta Gminy Redzikowo.</w:t>
      </w:r>
    </w:p>
    <w:p>
      <w:pPr>
        <w:pStyle w:val="ListParagraph"/>
        <w:numPr>
          <w:ilvl w:val="2"/>
          <w:numId w:val="1"/>
        </w:numPr>
        <w:ind w:hanging="273" w:left="993"/>
        <w:jc w:val="both"/>
        <w:rPr>
          <w:rFonts w:ascii="Times New Roman" w:hAnsi="Times New Roman"/>
          <w:sz w:val="22"/>
          <w:szCs w:val="22"/>
        </w:rPr>
      </w:pPr>
      <w:r>
        <w:rPr>
          <w:rFonts w:cs="Times New Roman" w:ascii="Times New Roman" w:hAnsi="Times New Roman"/>
          <w:b/>
          <w:sz w:val="22"/>
          <w:szCs w:val="22"/>
        </w:rPr>
        <w:t>Umowie o podwykonawstwie</w:t>
      </w:r>
      <w:r>
        <w:rPr>
          <w:rFonts w:cs="Times New Roman" w:ascii="Times New Roman" w:hAnsi="Times New Roman"/>
          <w:sz w:val="22"/>
          <w:szCs w:val="22"/>
        </w:rPr>
        <w:t xml:space="preserve"> – należy przez to rozumieć umowę w formie pisemnej o charakterze odpłatnym, zawartą między wykonawcą a podwykonawcą, a w przypadku zamówienia na roboty budowlane innego niż zamówienie w dziedzinach obronności i bezpieczeństwa, także między pod-wykonawcą a dalszym podwykonawcą lub między dalszymi podwykonawcami, na </w:t>
      </w:r>
      <w:r>
        <w:rPr>
          <w:rFonts w:cs="Times New Roman" w:ascii="Times New Roman" w:hAnsi="Times New Roman"/>
          <w:color w:val="000000"/>
          <w:sz w:val="22"/>
          <w:szCs w:val="22"/>
        </w:rPr>
        <w:t>mocy której odpowiednio podwykonawca lub dalszy podwykonawca, zobowiązuje się wykonać część zamówienia;</w:t>
      </w:r>
    </w:p>
    <w:p>
      <w:pPr>
        <w:pStyle w:val="ListParagraph"/>
        <w:numPr>
          <w:ilvl w:val="2"/>
          <w:numId w:val="1"/>
        </w:numPr>
        <w:ind w:hanging="283" w:left="1020"/>
        <w:jc w:val="both"/>
        <w:rPr>
          <w:rFonts w:ascii="Times New Roman" w:hAnsi="Times New Roman"/>
          <w:sz w:val="22"/>
          <w:szCs w:val="22"/>
        </w:rPr>
      </w:pPr>
      <w:r>
        <w:rPr>
          <w:rFonts w:cs="Times New Roman" w:ascii="Times New Roman" w:hAnsi="Times New Roman"/>
          <w:b/>
          <w:color w:val="000000"/>
          <w:sz w:val="22"/>
          <w:szCs w:val="22"/>
        </w:rPr>
        <w:t>Ustawie</w:t>
      </w:r>
      <w:r>
        <w:rPr>
          <w:rFonts w:cs="Times New Roman" w:ascii="Times New Roman" w:hAnsi="Times New Roman"/>
          <w:color w:val="000000"/>
          <w:sz w:val="22"/>
          <w:szCs w:val="22"/>
        </w:rPr>
        <w:t xml:space="preserve"> – należy przez to rozumieć ustawę z dnia 19 września 2019 r. Prawo zamówień publicznych (Dz.U. z 2023 r. poz. 1605).</w:t>
      </w:r>
    </w:p>
    <w:p>
      <w:pPr>
        <w:pStyle w:val="ListParagraph"/>
        <w:numPr>
          <w:ilvl w:val="2"/>
          <w:numId w:val="1"/>
        </w:numPr>
        <w:ind w:hanging="283" w:left="1020"/>
        <w:jc w:val="both"/>
        <w:rPr>
          <w:rFonts w:ascii="Times New Roman" w:hAnsi="Times New Roman"/>
          <w:sz w:val="22"/>
          <w:szCs w:val="22"/>
        </w:rPr>
      </w:pPr>
      <w:r>
        <w:rPr>
          <w:rFonts w:cs="Times New Roman" w:ascii="Times New Roman" w:hAnsi="Times New Roman"/>
          <w:b/>
          <w:color w:val="000000"/>
          <w:sz w:val="22"/>
          <w:szCs w:val="22"/>
        </w:rPr>
        <w:t>Cenie</w:t>
      </w:r>
      <w:r>
        <w:rPr>
          <w:rFonts w:cs="Times New Roman" w:ascii="Times New Roman" w:hAnsi="Times New Roman"/>
          <w:color w:val="000000"/>
          <w:sz w:val="22"/>
          <w:szCs w:val="22"/>
        </w:rPr>
        <w:t xml:space="preserve"> – należy przez to rozumieć cenę w rozumieniu art. 3 ust. 1 pkt 1 i ust. 2 ustawy z dnia 9 maja 2014 r. o informowaniu o cenach towarów i usług (Dz. U. z 2019 r. poz. 178), nawet jeżeli jest płacona na rzecz osoby niebędącej przedsiębiorcą;</w:t>
      </w:r>
    </w:p>
    <w:p>
      <w:pPr>
        <w:pStyle w:val="ListParagraph"/>
        <w:ind w:hanging="0" w:left="1224"/>
        <w:jc w:val="both"/>
        <w:rPr>
          <w:rFonts w:ascii="Times New Roman" w:hAnsi="Times New Roman"/>
          <w:color w:val="000000"/>
          <w:sz w:val="22"/>
          <w:szCs w:val="22"/>
        </w:rPr>
      </w:pPr>
      <w:r>
        <w:rPr>
          <w:rFonts w:ascii="Times New Roman" w:hAnsi="Times New Roman"/>
          <w:color w:val="000000"/>
          <w:sz w:val="22"/>
          <w:szCs w:val="22"/>
        </w:rPr>
      </w:r>
    </w:p>
    <w:p>
      <w:pPr>
        <w:pStyle w:val="ListParagraph"/>
        <w:ind w:hanging="0" w:left="1224"/>
        <w:jc w:val="both"/>
        <w:rPr>
          <w:rFonts w:ascii="Times New Roman" w:hAnsi="Times New Roman"/>
          <w:color w:val="000000"/>
          <w:sz w:val="22"/>
          <w:szCs w:val="22"/>
        </w:rPr>
      </w:pPr>
      <w:r>
        <w:rPr>
          <w:rFonts w:ascii="Times New Roman" w:hAnsi="Times New Roman"/>
          <w:color w:val="000000"/>
          <w:sz w:val="22"/>
          <w:szCs w:val="22"/>
        </w:rPr>
      </w:r>
    </w:p>
    <w:p>
      <w:pPr>
        <w:pStyle w:val="ListParagraph"/>
        <w:ind w:hanging="0" w:left="1224"/>
        <w:jc w:val="both"/>
        <w:rPr>
          <w:rFonts w:ascii="Times New Roman" w:hAnsi="Times New Roman"/>
          <w:color w:val="000000"/>
          <w:sz w:val="22"/>
          <w:szCs w:val="22"/>
        </w:rPr>
      </w:pPr>
      <w:r>
        <w:rPr>
          <w:rFonts w:ascii="Times New Roman" w:hAnsi="Times New Roman"/>
          <w:color w:val="000000"/>
          <w:sz w:val="22"/>
          <w:szCs w:val="22"/>
        </w:rPr>
      </w:r>
    </w:p>
    <w:p>
      <w:pPr>
        <w:pStyle w:val="ListParagraph"/>
        <w:ind w:hanging="0" w:left="1224"/>
        <w:jc w:val="both"/>
        <w:rPr>
          <w:rFonts w:ascii="Times New Roman" w:hAnsi="Times New Roman"/>
          <w:color w:val="000000"/>
          <w:sz w:val="22"/>
          <w:szCs w:val="22"/>
        </w:rPr>
      </w:pPr>
      <w:r>
        <w:rPr>
          <w:rFonts w:ascii="Times New Roman" w:hAnsi="Times New Roman"/>
          <w:color w:val="000000"/>
          <w:sz w:val="22"/>
          <w:szCs w:val="22"/>
        </w:rPr>
      </w:r>
    </w:p>
    <w:p>
      <w:pPr>
        <w:pStyle w:val="ListParagraph"/>
        <w:numPr>
          <w:ilvl w:val="0"/>
          <w:numId w:val="1"/>
        </w:numPr>
        <w:jc w:val="both"/>
        <w:rPr>
          <w:rFonts w:ascii="Times New Roman" w:hAnsi="Times New Roman"/>
          <w:sz w:val="22"/>
          <w:szCs w:val="22"/>
        </w:rPr>
      </w:pPr>
      <w:r>
        <w:rPr>
          <w:rFonts w:cs="Times New Roman" w:ascii="Times New Roman" w:hAnsi="Times New Roman"/>
          <w:b/>
          <w:color w:val="000000"/>
          <w:sz w:val="22"/>
          <w:szCs w:val="22"/>
        </w:rPr>
        <w:t>3. Opis przedmiotu zamówienia:</w:t>
      </w:r>
      <w:r>
        <w:fldChar w:fldCharType="begin"/>
      </w:r>
      <w:r>
        <w:rPr>
          <w:sz w:val="22"/>
          <w:b/>
          <w:szCs w:val="22"/>
          <w:rFonts w:cs="Times New Roman" w:ascii="Times New Roman" w:hAnsi="Times New Roman"/>
          <w:color w:val="000000"/>
        </w:rPr>
        <w:instrText xml:space="preserve"> TC "Opis przedmiotu zamówienia:" \l 9 </w:instrText>
      </w:r>
      <w:r>
        <w:rPr>
          <w:sz w:val="22"/>
          <w:b/>
          <w:szCs w:val="22"/>
          <w:rFonts w:cs="Times New Roman" w:ascii="Times New Roman" w:hAnsi="Times New Roman"/>
          <w:color w:val="000000"/>
        </w:rPr>
        <w:fldChar w:fldCharType="separate"/>
      </w:r>
      <w:r>
        <w:rPr>
          <w:rFonts w:cs="Times New Roman" w:ascii="Times New Roman" w:hAnsi="Times New Roman"/>
          <w:b/>
          <w:color w:val="000000"/>
          <w:sz w:val="22"/>
          <w:szCs w:val="22"/>
        </w:rPr>
      </w:r>
      <w:r>
        <w:rPr>
          <w:sz w:val="22"/>
          <w:b/>
          <w:szCs w:val="22"/>
          <w:rFonts w:cs="Times New Roman" w:ascii="Times New Roman" w:hAnsi="Times New Roman"/>
          <w:color w:val="000000"/>
        </w:rPr>
        <w:fldChar w:fldCharType="end"/>
      </w:r>
      <w:r>
        <w:fldChar w:fldCharType="begin"/>
      </w:r>
      <w:r>
        <w:rPr>
          <w:sz w:val="22"/>
          <w:b/>
          <w:szCs w:val="22"/>
          <w:rFonts w:cs="Times New Roman" w:ascii="Times New Roman" w:hAnsi="Times New Roman"/>
          <w:color w:val="000000"/>
        </w:rPr>
        <w:instrText xml:space="preserve"> TC "Opis przedmiotu zamówienia:" \l 9 </w:instrText>
      </w:r>
      <w:r>
        <w:rPr>
          <w:sz w:val="22"/>
          <w:b/>
          <w:szCs w:val="22"/>
          <w:rFonts w:cs="Times New Roman" w:ascii="Times New Roman" w:hAnsi="Times New Roman"/>
          <w:color w:val="000000"/>
        </w:rPr>
        <w:fldChar w:fldCharType="separate"/>
      </w:r>
      <w:r>
        <w:rPr>
          <w:rFonts w:cs="Times New Roman" w:ascii="Times New Roman" w:hAnsi="Times New Roman"/>
          <w:b/>
          <w:color w:val="000000"/>
          <w:sz w:val="22"/>
          <w:szCs w:val="22"/>
        </w:rPr>
      </w:r>
      <w:r>
        <w:rPr>
          <w:sz w:val="22"/>
          <w:b/>
          <w:szCs w:val="22"/>
          <w:rFonts w:cs="Times New Roman" w:ascii="Times New Roman" w:hAnsi="Times New Roman"/>
          <w:color w:val="000000"/>
        </w:rPr>
        <w:fldChar w:fldCharType="end"/>
      </w:r>
      <w:r>
        <w:fldChar w:fldCharType="begin"/>
      </w:r>
      <w:r>
        <w:rPr>
          <w:sz w:val="22"/>
          <w:b/>
          <w:szCs w:val="22"/>
          <w:rFonts w:cs="Times New Roman" w:ascii="Times New Roman" w:hAnsi="Times New Roman"/>
          <w:color w:val="000000"/>
        </w:rPr>
        <w:instrText xml:space="preserve"> TC "Opis przedmiotu zamówienia:" \l 9 </w:instrText>
      </w:r>
      <w:r>
        <w:rPr>
          <w:sz w:val="22"/>
          <w:b/>
          <w:szCs w:val="22"/>
          <w:rFonts w:cs="Times New Roman" w:ascii="Times New Roman" w:hAnsi="Times New Roman"/>
          <w:color w:val="000000"/>
        </w:rPr>
        <w:fldChar w:fldCharType="separate"/>
      </w:r>
      <w:r>
        <w:rPr>
          <w:rFonts w:cs="Times New Roman" w:ascii="Times New Roman" w:hAnsi="Times New Roman"/>
          <w:b/>
          <w:color w:val="000000"/>
          <w:sz w:val="22"/>
          <w:szCs w:val="22"/>
        </w:rPr>
      </w:r>
      <w:r>
        <w:rPr>
          <w:sz w:val="22"/>
          <w:b/>
          <w:szCs w:val="22"/>
          <w:rFonts w:cs="Times New Roman" w:ascii="Times New Roman" w:hAnsi="Times New Roman"/>
          <w:color w:val="000000"/>
        </w:rPr>
        <w:fldChar w:fldCharType="end"/>
      </w:r>
      <w:r>
        <w:fldChar w:fldCharType="begin"/>
      </w:r>
      <w:r>
        <w:rPr>
          <w:sz w:val="22"/>
          <w:b/>
          <w:szCs w:val="22"/>
          <w:rFonts w:cs="Times New Roman" w:ascii="Times New Roman" w:hAnsi="Times New Roman"/>
          <w:color w:val="000000"/>
        </w:rPr>
        <w:instrText xml:space="preserve"> TC "Opis przedmiotu zamówienia:" \l 9 </w:instrText>
      </w:r>
      <w:r>
        <w:rPr>
          <w:sz w:val="22"/>
          <w:b/>
          <w:szCs w:val="22"/>
          <w:rFonts w:cs="Times New Roman" w:ascii="Times New Roman" w:hAnsi="Times New Roman"/>
          <w:color w:val="000000"/>
        </w:rPr>
        <w:fldChar w:fldCharType="separate"/>
      </w:r>
      <w:r>
        <w:rPr>
          <w:rFonts w:cs="Times New Roman" w:ascii="Times New Roman" w:hAnsi="Times New Roman"/>
          <w:b/>
          <w:color w:val="000000"/>
          <w:sz w:val="22"/>
          <w:szCs w:val="22"/>
        </w:rPr>
      </w:r>
      <w:r>
        <w:rPr>
          <w:sz w:val="22"/>
          <w:b/>
          <w:szCs w:val="22"/>
          <w:rFonts w:cs="Times New Roman" w:ascii="Times New Roman" w:hAnsi="Times New Roman"/>
          <w:color w:val="000000"/>
        </w:rPr>
        <w:fldChar w:fldCharType="end"/>
      </w:r>
      <w:r>
        <w:fldChar w:fldCharType="begin"/>
      </w:r>
      <w:r>
        <w:rPr>
          <w:sz w:val="22"/>
          <w:b/>
          <w:szCs w:val="22"/>
          <w:rFonts w:cs="Times New Roman" w:ascii="Times New Roman" w:hAnsi="Times New Roman"/>
          <w:color w:val="000000"/>
        </w:rPr>
        <w:instrText xml:space="preserve"> TC "Opis przedmiotu zamówienia:" \l 9 </w:instrText>
      </w:r>
      <w:r>
        <w:rPr>
          <w:sz w:val="22"/>
          <w:b/>
          <w:szCs w:val="22"/>
          <w:rFonts w:cs="Times New Roman" w:ascii="Times New Roman" w:hAnsi="Times New Roman"/>
          <w:color w:val="000000"/>
        </w:rPr>
        <w:fldChar w:fldCharType="separate"/>
      </w:r>
      <w:r>
        <w:rPr>
          <w:rFonts w:cs="Times New Roman" w:ascii="Times New Roman" w:hAnsi="Times New Roman"/>
          <w:b/>
          <w:color w:val="000000"/>
          <w:sz w:val="22"/>
          <w:szCs w:val="22"/>
        </w:rPr>
      </w:r>
      <w:r>
        <w:rPr>
          <w:sz w:val="22"/>
          <w:b/>
          <w:szCs w:val="22"/>
          <w:rFonts w:cs="Times New Roman" w:ascii="Times New Roman" w:hAnsi="Times New Roman"/>
          <w:color w:val="000000"/>
        </w:rPr>
        <w:fldChar w:fldCharType="end"/>
      </w:r>
      <w:r>
        <w:fldChar w:fldCharType="begin"/>
      </w:r>
      <w:r>
        <w:rPr>
          <w:sz w:val="22"/>
          <w:b/>
          <w:szCs w:val="22"/>
          <w:rFonts w:cs="Times New Roman" w:ascii="Times New Roman" w:hAnsi="Times New Roman"/>
          <w:color w:val="000000"/>
        </w:rPr>
        <w:instrText xml:space="preserve"> TC "Opis przedmiotu zamówienia:" \l 9 </w:instrText>
      </w:r>
      <w:r>
        <w:rPr>
          <w:sz w:val="22"/>
          <w:b/>
          <w:szCs w:val="22"/>
          <w:rFonts w:cs="Times New Roman" w:ascii="Times New Roman" w:hAnsi="Times New Roman"/>
          <w:color w:val="000000"/>
        </w:rPr>
        <w:fldChar w:fldCharType="separate"/>
      </w:r>
      <w:r>
        <w:rPr>
          <w:rFonts w:cs="Times New Roman" w:ascii="Times New Roman" w:hAnsi="Times New Roman"/>
          <w:b/>
          <w:color w:val="000000"/>
          <w:sz w:val="22"/>
          <w:szCs w:val="22"/>
        </w:rPr>
      </w:r>
      <w:r>
        <w:rPr>
          <w:sz w:val="22"/>
          <w:b/>
          <w:szCs w:val="22"/>
          <w:rFonts w:cs="Times New Roman" w:ascii="Times New Roman" w:hAnsi="Times New Roman"/>
          <w:color w:val="000000"/>
        </w:rPr>
        <w:fldChar w:fldCharType="end"/>
      </w:r>
    </w:p>
    <w:p>
      <w:pPr>
        <w:pStyle w:val="ListParagraph"/>
        <w:numPr>
          <w:ilvl w:val="1"/>
          <w:numId w:val="1"/>
        </w:numPr>
        <w:spacing w:lineRule="atLeast" w:line="100"/>
        <w:jc w:val="both"/>
        <w:rPr>
          <w:sz w:val="22"/>
          <w:szCs w:val="22"/>
        </w:rPr>
      </w:pPr>
      <w:r>
        <w:rPr>
          <w:rFonts w:cs="Times New Roman" w:ascii="Times New Roman" w:hAnsi="Times New Roman"/>
          <w:color w:val="000000"/>
          <w:sz w:val="22"/>
          <w:szCs w:val="22"/>
        </w:rPr>
        <w:t>W zakresie zadania zostaną wykonane następujące prace:</w:t>
      </w:r>
    </w:p>
    <w:p>
      <w:pPr>
        <w:pStyle w:val="Normal"/>
        <w:tabs>
          <w:tab w:val="clear" w:pos="720"/>
          <w:tab w:val="left" w:pos="400" w:leader="none"/>
          <w:tab w:val="left" w:pos="452" w:leader="none"/>
          <w:tab w:val="left" w:pos="812" w:leader="none"/>
        </w:tabs>
        <w:jc w:val="both"/>
        <w:rPr>
          <w:sz w:val="22"/>
          <w:szCs w:val="22"/>
        </w:rPr>
      </w:pPr>
      <w:r>
        <w:rPr>
          <w:rFonts w:cs="Times New Roman" w:ascii="Times New Roman" w:hAnsi="Times New Roman"/>
          <w:sz w:val="22"/>
          <w:szCs w:val="22"/>
        </w:rPr>
        <w:t xml:space="preserve">Przedmiotem zamówienia jest Termomodernizacja budynku komunalnego w Wiklinie nr 30 wraz ze zmianą źródła ciepła </w:t>
      </w:r>
      <w:r>
        <w:rPr>
          <w:rFonts w:eastAsia="Times New Roman" w:cs="Times New Roman" w:ascii="Times New Roman" w:hAnsi="Times New Roman"/>
          <w:sz w:val="22"/>
          <w:szCs w:val="22"/>
          <w:lang w:eastAsia="pl-PL"/>
        </w:rPr>
        <w:t>realizowana w ramach programu regionalnego Fundusze Europejskie dla Pomorza 2021-2027 Działanie 2.3. Efektywność energetyczna – ZIT poza terenem Obszaru Metropolitalnego Trójmiasta w ramach projektu Termomodernizacja budynków użyteczności publicznej oraz budynków komunalnych na terenie Gminy Redzikowo.</w:t>
      </w:r>
    </w:p>
    <w:p>
      <w:pPr>
        <w:pStyle w:val="StandardWW"/>
        <w:tabs>
          <w:tab w:val="clear" w:pos="720"/>
          <w:tab w:val="left" w:pos="400" w:leader="none"/>
          <w:tab w:val="left" w:pos="452" w:leader="none"/>
          <w:tab w:val="left" w:pos="812" w:leader="none"/>
        </w:tabs>
        <w:jc w:val="both"/>
        <w:rPr>
          <w:sz w:val="22"/>
          <w:szCs w:val="22"/>
        </w:rPr>
      </w:pPr>
      <w:r>
        <w:rPr>
          <w:rFonts w:eastAsia="Times New Roman" w:cs="Times New Roman" w:ascii="Times New Roman" w:hAnsi="Times New Roman"/>
          <w:sz w:val="22"/>
          <w:szCs w:val="22"/>
          <w:lang w:eastAsia="pl-PL"/>
        </w:rPr>
        <w:t>Szczegółowy zakres przedmiotu zamówienia określają dokumenty:</w:t>
      </w:r>
    </w:p>
    <w:p>
      <w:pPr>
        <w:pStyle w:val="StandardWW"/>
        <w:numPr>
          <w:ilvl w:val="0"/>
          <w:numId w:val="23"/>
        </w:numPr>
        <w:tabs>
          <w:tab w:val="clear" w:pos="720"/>
          <w:tab w:val="left" w:pos="400" w:leader="none"/>
          <w:tab w:val="left" w:pos="452" w:leader="none"/>
          <w:tab w:val="left" w:pos="812" w:leader="none"/>
        </w:tabs>
        <w:rPr>
          <w:sz w:val="22"/>
          <w:szCs w:val="22"/>
        </w:rPr>
      </w:pPr>
      <w:r>
        <w:rPr>
          <w:rFonts w:eastAsia="Times New Roman" w:cs="Times New Roman" w:ascii="Times New Roman" w:hAnsi="Times New Roman"/>
          <w:sz w:val="22"/>
          <w:szCs w:val="22"/>
          <w:lang w:eastAsia="pl-PL"/>
        </w:rPr>
        <w:t xml:space="preserve"> </w:t>
      </w:r>
      <w:r>
        <w:rPr>
          <w:rFonts w:eastAsia="Times New Roman" w:cs="Times New Roman" w:ascii="Times New Roman" w:hAnsi="Times New Roman"/>
          <w:sz w:val="22"/>
          <w:szCs w:val="22"/>
          <w:lang w:eastAsia="pl-PL"/>
        </w:rPr>
        <w:t>dokumentacja projektowo-techniczna (projekt architektoniczno- budowlany, projekty branżowe elektryczny i sanitarny),</w:t>
      </w:r>
    </w:p>
    <w:p>
      <w:pPr>
        <w:pStyle w:val="StandardWW"/>
        <w:numPr>
          <w:ilvl w:val="0"/>
          <w:numId w:val="0"/>
        </w:numPr>
        <w:tabs>
          <w:tab w:val="clear" w:pos="720"/>
          <w:tab w:val="left" w:pos="400" w:leader="none"/>
          <w:tab w:val="left" w:pos="452" w:leader="none"/>
          <w:tab w:val="left" w:pos="812" w:leader="none"/>
        </w:tabs>
        <w:ind w:hanging="0" w:left="0"/>
        <w:jc w:val="both"/>
        <w:rPr>
          <w:sz w:val="22"/>
          <w:szCs w:val="22"/>
        </w:rPr>
      </w:pPr>
      <w:r>
        <w:rPr>
          <w:rFonts w:eastAsia="Times New Roman" w:cs="Times New Roman" w:ascii="Times New Roman" w:hAnsi="Times New Roman"/>
          <w:sz w:val="22"/>
          <w:szCs w:val="22"/>
          <w:lang w:eastAsia="pl-PL"/>
        </w:rPr>
        <w:t xml:space="preserve">               </w:t>
      </w:r>
      <w:r>
        <w:rPr>
          <w:rFonts w:eastAsia="Times New Roman" w:cs="Times New Roman" w:ascii="Times New Roman" w:hAnsi="Times New Roman"/>
          <w:sz w:val="22"/>
          <w:szCs w:val="22"/>
          <w:lang w:eastAsia="pl-PL"/>
        </w:rPr>
        <w:t>2) projekt umowy.</w:t>
      </w:r>
    </w:p>
    <w:p>
      <w:pPr>
        <w:pStyle w:val="StandardWW"/>
        <w:tabs>
          <w:tab w:val="clear" w:pos="720"/>
          <w:tab w:val="left" w:pos="400" w:leader="none"/>
          <w:tab w:val="left" w:pos="452" w:leader="none"/>
          <w:tab w:val="left" w:pos="812" w:leader="none"/>
        </w:tabs>
        <w:jc w:val="both"/>
        <w:rPr>
          <w:sz w:val="22"/>
          <w:szCs w:val="22"/>
        </w:rPr>
      </w:pPr>
      <w:r>
        <w:rPr>
          <w:rFonts w:eastAsia="Times New Roman" w:cs="Times New Roman" w:ascii="Times New Roman" w:hAnsi="Times New Roman"/>
          <w:sz w:val="22"/>
          <w:szCs w:val="22"/>
          <w:lang w:eastAsia="pl-PL"/>
        </w:rPr>
        <w:t>Termomodernizacja budynku Wiklino 30 wraz wymianą źródła ciepła obejmuje wykonanie następujących robót (zgodnie z dokumentacją projektowo-techniczną):</w:t>
      </w:r>
    </w:p>
    <w:p>
      <w:pPr>
        <w:pStyle w:val="Standard"/>
        <w:spacing w:lineRule="atLeast" w:line="100" w:before="0" w:after="0"/>
        <w:jc w:val="both"/>
        <w:rPr>
          <w:sz w:val="22"/>
          <w:szCs w:val="22"/>
        </w:rPr>
      </w:pPr>
      <w:r>
        <w:rPr>
          <w:rFonts w:eastAsia="NSimSun" w:cs="Times New Roman" w:ascii="Times New Roman" w:hAnsi="Times New Roman"/>
          <w:color w:val="auto"/>
          <w:kern w:val="2"/>
          <w:sz w:val="22"/>
          <w:szCs w:val="22"/>
          <w:u w:val="single"/>
          <w:lang w:eastAsia="zh-CN" w:bidi="hi-IN"/>
        </w:rPr>
        <w:t>Zakres prac ogólnobudowlanych w istniejącym budynku będą wchodzić w szczególności</w:t>
      </w:r>
      <w:r>
        <w:rPr>
          <w:rFonts w:eastAsia="NSimSun" w:cs="Times New Roman" w:ascii="Times New Roman" w:hAnsi="Times New Roman"/>
          <w:color w:val="auto"/>
          <w:kern w:val="2"/>
          <w:sz w:val="22"/>
          <w:szCs w:val="22"/>
          <w:lang w:eastAsia="zh-CN" w:bidi="hi-IN"/>
        </w:rPr>
        <w:t>;</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a) demontaż starych i montaż nowych okien, drzwi zewnętrznych i bramy garażowej spełniających WT 2021,</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b) ocieplenie ścian zewnętrznych po uprzednim demontażu istniejącej izolacji wraz z boniami i listwami styropianowymi wokół okien i drzwi zewnętrznych, wymiana rynien oraz rur spustowych wraz z obróbkami blacharskimi,</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c) wykonanie nowego pokrycia stropodachu wraz z dociepleniem stropodachu ze styropapy oraz niezbędnymi obróbkami blacharskimi, przełożenie instalacji odgromowej, ocieplenie stropu nad parterem</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d) wykonanie nowych tynków wraz z tynkiem mozaikowym (cokół i miejsca po demontażu boni),</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e) izolacja i ocieplenie cokołu z fundamentami wraz z opaską wokół budynku,</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f) wymiana balustrad i daszków nad balkonami i drzwiami wejściowymi, remont balkonów, remont pomieszczenia kotłowni, demontaż i montaż nowej drabiny, wymiana oświetlenia zewnętrznego,</w:t>
      </w:r>
    </w:p>
    <w:p>
      <w:pPr>
        <w:pStyle w:val="Standard"/>
        <w:spacing w:before="0" w:after="0"/>
        <w:ind w:right="113"/>
        <w:jc w:val="both"/>
        <w:rPr>
          <w:b w:val="false"/>
          <w:bCs w:val="false"/>
          <w:color w:val="000000"/>
        </w:rPr>
      </w:pPr>
      <w:r>
        <w:rPr>
          <w:rFonts w:eastAsia="NSimSun" w:cs="Times New Roman" w:ascii="Times New Roman" w:hAnsi="Times New Roman"/>
          <w:b w:val="false"/>
          <w:bCs w:val="false"/>
          <w:color w:val="000000"/>
          <w:kern w:val="2"/>
          <w:sz w:val="22"/>
          <w:szCs w:val="22"/>
          <w:lang w:val="pl-PL" w:eastAsia="zh-CN" w:bidi="hi-IN"/>
        </w:rPr>
        <w:t>g) wykonanie tablicy informacyjnej o dofinansowaniu termomodernizacji</w:t>
      </w:r>
    </w:p>
    <w:p>
      <w:pPr>
        <w:pStyle w:val="Default"/>
        <w:rPr>
          <w:b w:val="false"/>
          <w:bCs w:val="false"/>
          <w:color w:val="000000"/>
        </w:rPr>
      </w:pPr>
      <w:r>
        <w:rPr>
          <w:b w:val="false"/>
          <w:bCs w:val="false"/>
          <w:color w:val="000000"/>
          <w:sz w:val="22"/>
          <w:szCs w:val="22"/>
        </w:rPr>
        <w:t>Wykonawca zobowiązany jest do zapewnienia, zakupu, wykonania oraz montażu tablic informacyjnych dotyczących dofinansowania realizowanych zadań.</w:t>
        <w:br/>
        <w:t>Koszty związane z zakupem, wykonaniem, montażem oraz ewentualnym demontażem tablic informacyjnych ponosi Wykonawca i należy je uwzględnić w cenie ofertowej.</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h) wg projektów branżowych, a zwłaszcza;</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u w:val="single"/>
          <w:lang w:eastAsia="zh-CN" w:bidi="hi-IN"/>
        </w:rPr>
        <w:t>w branży elektrycznej</w:t>
      </w:r>
      <w:r>
        <w:rPr>
          <w:rFonts w:eastAsia="NSimSun" w:cs="Times New Roman" w:ascii="Times New Roman" w:hAnsi="Times New Roman"/>
          <w:color w:val="auto"/>
          <w:kern w:val="2"/>
          <w:sz w:val="22"/>
          <w:szCs w:val="22"/>
          <w:lang w:eastAsia="zh-CN" w:bidi="hi-IN"/>
        </w:rPr>
        <w:t>:</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przyłącza do budynku,</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uziomu</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rozdzielnic lokalnych,</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oświetlenia ogólnego i miejscowego,</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gniazd ogólnego przeznaczenia i zasilanie drobnych odbiorów,</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zasilania urządzeń wentylacyjnych ,</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ochrony od porażeń i połączeń wyrównawczych,</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instalacji teletechnicznych i telewizyjnej,</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montażu paneli fotowoltaicznych o mocy 17,6 kW,</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połączenia paneli i urządzeń fotowoltaicznych tworzących instalację,</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montażu magazynu energii,</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kern w:val="2"/>
          <w:sz w:val="22"/>
          <w:szCs w:val="22"/>
          <w:lang w:eastAsia="zh-CN" w:bidi="hi-IN"/>
        </w:rPr>
        <w:t>wykonanie podłączenia instalacji fotowoltaicznej z instalacją elektryczną kotłowni budynku wielorodzinnego w Wiklinie 30,</w:t>
      </w:r>
    </w:p>
    <w:p>
      <w:pPr>
        <w:pStyle w:val="Standard"/>
        <w:spacing w:before="0" w:after="0"/>
        <w:ind w:right="113"/>
        <w:jc w:val="both"/>
        <w:rPr>
          <w:sz w:val="22"/>
          <w:szCs w:val="22"/>
        </w:rPr>
      </w:pPr>
      <w:r>
        <w:rPr>
          <w:rFonts w:eastAsia="NSimSun" w:cs="Times New Roman" w:ascii="Times New Roman" w:hAnsi="Times New Roman"/>
          <w:color w:val="auto"/>
          <w:kern w:val="2"/>
          <w:sz w:val="22"/>
          <w:szCs w:val="22"/>
          <w:u w:val="single"/>
          <w:lang w:eastAsia="zh-CN" w:bidi="hi-IN"/>
        </w:rPr>
        <w:t>w branży sanitarnej</w:t>
      </w:r>
      <w:r>
        <w:rPr>
          <w:rFonts w:eastAsia="NSimSun" w:cs="Times New Roman" w:ascii="Times New Roman" w:hAnsi="Times New Roman"/>
          <w:color w:val="auto"/>
          <w:kern w:val="2"/>
          <w:sz w:val="22"/>
          <w:szCs w:val="22"/>
          <w:lang w:eastAsia="zh-CN" w:bidi="hi-IN"/>
        </w:rPr>
        <w:t>:</w:t>
      </w:r>
    </w:p>
    <w:p>
      <w:pPr>
        <w:pStyle w:val="Standard"/>
        <w:suppressAutoHyphens w:val="false"/>
        <w:spacing w:lineRule="auto" w:line="240" w:before="0" w:after="0"/>
        <w:jc w:val="both"/>
        <w:rPr>
          <w:sz w:val="22"/>
          <w:szCs w:val="22"/>
        </w:rPr>
      </w:pPr>
      <w:r>
        <w:rPr>
          <w:rFonts w:eastAsia="NSimSun" w:cs="Times New Roman" w:ascii="Times New Roman" w:hAnsi="Times New Roman"/>
          <w:color w:val="auto"/>
          <w:kern w:val="2"/>
          <w:sz w:val="22"/>
          <w:szCs w:val="22"/>
          <w:lang w:eastAsia="zh-CN" w:bidi="hi-IN"/>
        </w:rPr>
        <w:t xml:space="preserve">• </w:t>
      </w:r>
      <w:r>
        <w:rPr>
          <w:rFonts w:eastAsia="NSimSun" w:cs="Times New Roman" w:ascii="Times New Roman" w:hAnsi="Times New Roman"/>
          <w:color w:val="auto"/>
          <w:sz w:val="22"/>
          <w:szCs w:val="22"/>
          <w:lang w:eastAsia="zh-CN"/>
        </w:rPr>
        <w:t>modernizację kotłowni – zmiana istniejącego kotła opalanego drewnem  na powietrzną pompę</w:t>
      </w:r>
    </w:p>
    <w:p>
      <w:pPr>
        <w:pStyle w:val="Standard"/>
        <w:suppressAutoHyphens w:val="false"/>
        <w:spacing w:lineRule="auto" w:line="240" w:before="0" w:after="0"/>
        <w:jc w:val="both"/>
        <w:rPr>
          <w:sz w:val="22"/>
          <w:szCs w:val="22"/>
        </w:rPr>
      </w:pPr>
      <w:r>
        <w:rPr>
          <w:rFonts w:eastAsia="NSimSun" w:cs="Times New Roman" w:ascii="Times New Roman" w:hAnsi="Times New Roman"/>
          <w:color w:val="auto"/>
          <w:sz w:val="22"/>
          <w:szCs w:val="22"/>
          <w:lang w:eastAsia="zh-CN"/>
        </w:rPr>
        <w:t>ciepła o mocy 38,1 kW (A-7/W35). Pompa ciepła wykorzystana będzie na</w:t>
      </w:r>
    </w:p>
    <w:p>
      <w:pPr>
        <w:pStyle w:val="Standard"/>
        <w:suppressAutoHyphens w:val="false"/>
        <w:spacing w:lineRule="auto" w:line="240" w:before="0" w:after="0"/>
        <w:jc w:val="both"/>
        <w:rPr>
          <w:sz w:val="22"/>
          <w:szCs w:val="22"/>
        </w:rPr>
      </w:pPr>
      <w:r>
        <w:rPr>
          <w:rFonts w:eastAsia="NSimSun" w:cs="Times New Roman" w:ascii="Times New Roman" w:hAnsi="Times New Roman"/>
          <w:color w:val="auto"/>
          <w:sz w:val="22"/>
          <w:szCs w:val="22"/>
          <w:lang w:eastAsia="zh-CN"/>
        </w:rPr>
        <w:t>potrzeby instalacji centralnego ogrzewania dla budynku mieszkalno-usługowego</w:t>
      </w:r>
    </w:p>
    <w:p>
      <w:pPr>
        <w:pStyle w:val="Standard"/>
        <w:suppressAutoHyphens w:val="false"/>
        <w:spacing w:lineRule="auto" w:line="240" w:before="0" w:after="0"/>
        <w:jc w:val="both"/>
        <w:rPr>
          <w:sz w:val="22"/>
          <w:szCs w:val="22"/>
        </w:rPr>
      </w:pPr>
      <w:r>
        <w:rPr>
          <w:rFonts w:eastAsia="NSimSun" w:cs="Times New Roman" w:ascii="Times New Roman" w:hAnsi="Times New Roman"/>
          <w:color w:val="auto"/>
          <w:sz w:val="22"/>
          <w:szCs w:val="22"/>
          <w:lang w:eastAsia="zh-CN"/>
        </w:rPr>
        <w:t>oraz świetlicy wiejskiej;</w:t>
      </w:r>
    </w:p>
    <w:p>
      <w:pPr>
        <w:pStyle w:val="Standard"/>
        <w:suppressAutoHyphens w:val="false"/>
        <w:spacing w:lineRule="auto" w:line="240" w:before="0" w:after="0"/>
        <w:rPr>
          <w:sz w:val="22"/>
          <w:szCs w:val="22"/>
        </w:rPr>
      </w:pPr>
      <w:r>
        <w:rPr>
          <w:rFonts w:eastAsia="NSimSun" w:cs="Times New Roman" w:ascii="Times New Roman" w:hAnsi="Times New Roman"/>
          <w:color w:val="auto"/>
          <w:sz w:val="22"/>
          <w:szCs w:val="22"/>
          <w:lang w:eastAsia="zh-CN"/>
        </w:rPr>
        <w:t>· modernizacja instalacji centralnego ogrzewania –  w tym wymiana grzejników w budynku mieszkalno- usługowym w Wiklinie nr 30 oraz świetlicy.</w:t>
      </w:r>
    </w:p>
    <w:p>
      <w:pPr>
        <w:pStyle w:val="Default"/>
        <w:rPr>
          <w:rFonts w:ascii="Times New Roman" w:hAnsi="Times New Roman" w:eastAsia="NSimSun" w:cs="Times New Roman"/>
          <w:b/>
          <w:bCs/>
          <w:color w:val="auto"/>
          <w:kern w:val="2"/>
          <w:sz w:val="22"/>
          <w:szCs w:val="22"/>
          <w:lang w:eastAsia="zh-CN" w:bidi="hi-IN"/>
        </w:rPr>
      </w:pPr>
      <w:r>
        <w:rPr>
          <w:rFonts w:eastAsia="NSimSun" w:cs="Times New Roman"/>
          <w:b/>
          <w:bCs/>
          <w:color w:val="auto"/>
          <w:kern w:val="2"/>
          <w:sz w:val="22"/>
          <w:szCs w:val="22"/>
          <w:lang w:eastAsia="zh-CN" w:bidi="hi-IN"/>
        </w:rPr>
        <w:t>Do obowiązków wykonawcy należy zakup i montaż tablicy informacyjnej o źródle dofinansowania. Tablica  powinna być wykonana z materiału odpornego na czynniki atmosferyczne zapewniającego trwałość i niezmienność kolorystyki w okresie co najmniej 5 lat. Znaki oraz informacje na tablicy powinny być wykonane w sposób czytelny i trwały. Tablica informacyjna o wymiarach 240 cm x 120 cm, powinna zostać umieszczona na stalowej konstrukcji. Ostateczne wymiary tablicy należy uzgodnić  z zamawiającym. Szczegółowe informacje dotyczące tablicy znajdują się w podręczniku wnioskodawcy i beneficjenta Funduszy Europejskich na lata 2021-2027 w zakresie informacji i promocji</w:t>
      </w:r>
    </w:p>
    <w:p>
      <w:pPr>
        <w:pStyle w:val="Default"/>
        <w:rPr>
          <w:rFonts w:ascii="Times New Roman" w:hAnsi="Times New Roman" w:eastAsia="NSimSun" w:cs="Times New Roman"/>
          <w:b/>
          <w:bCs/>
          <w:color w:val="auto"/>
          <w:kern w:val="2"/>
          <w:sz w:val="22"/>
          <w:szCs w:val="22"/>
          <w:lang w:eastAsia="zh-CN" w:bidi="hi-IN"/>
        </w:rPr>
      </w:pPr>
      <w:r>
        <w:rPr>
          <w:rFonts w:eastAsia="NSimSun" w:cs="Times New Roman"/>
          <w:b/>
          <w:bCs/>
          <w:color w:val="auto"/>
          <w:kern w:val="2"/>
          <w:sz w:val="22"/>
          <w:szCs w:val="22"/>
          <w:lang w:eastAsia="zh-CN" w:bidi="hi-IN"/>
        </w:rPr>
      </w:r>
    </w:p>
    <w:p>
      <w:pPr>
        <w:pStyle w:val="StandardWW"/>
        <w:tabs>
          <w:tab w:val="clear" w:pos="720"/>
          <w:tab w:val="left" w:pos="400" w:leader="none"/>
          <w:tab w:val="left" w:pos="452" w:leader="none"/>
          <w:tab w:val="left" w:pos="812" w:leader="none"/>
        </w:tabs>
        <w:rPr>
          <w:sz w:val="22"/>
          <w:szCs w:val="22"/>
        </w:rPr>
      </w:pPr>
      <w:r>
        <w:rPr>
          <w:rFonts w:cs="Times New Roman" w:ascii="Times New Roman" w:hAnsi="Times New Roman"/>
          <w:b/>
          <w:bCs/>
          <w:sz w:val="22"/>
          <w:szCs w:val="22"/>
        </w:rPr>
        <w:t>Uwagi:</w:t>
      </w:r>
    </w:p>
    <w:p>
      <w:pPr>
        <w:pStyle w:val="StandardWW"/>
        <w:tabs>
          <w:tab w:val="clear" w:pos="720"/>
          <w:tab w:val="left" w:pos="400" w:leader="none"/>
          <w:tab w:val="left" w:pos="452" w:leader="none"/>
          <w:tab w:val="left" w:pos="812" w:leader="none"/>
        </w:tabs>
        <w:jc w:val="both"/>
        <w:rPr>
          <w:b w:val="false"/>
          <w:bCs w:val="false"/>
        </w:rPr>
      </w:pPr>
      <w:r>
        <w:rPr>
          <w:rFonts w:cs="Times New Roman" w:ascii="Times New Roman" w:hAnsi="Times New Roman"/>
          <w:b w:val="false"/>
          <w:bCs w:val="false"/>
          <w:sz w:val="22"/>
          <w:szCs w:val="22"/>
        </w:rPr>
        <w:t>Wszystkie materiały i urządzenia muszą mieć dokumenty wymagane polskim prawem, dopuszczające je do obrotu i stosowania tj. decyzje, certyfikaty</w:t>
      </w:r>
    </w:p>
    <w:p>
      <w:pPr>
        <w:pStyle w:val="StandardWW"/>
        <w:tabs>
          <w:tab w:val="clear" w:pos="720"/>
          <w:tab w:val="left" w:pos="400" w:leader="none"/>
          <w:tab w:val="left" w:pos="452" w:leader="none"/>
          <w:tab w:val="left" w:pos="812" w:leader="none"/>
        </w:tabs>
        <w:jc w:val="both"/>
        <w:rPr>
          <w:b w:val="false"/>
          <w:bCs w:val="false"/>
        </w:rPr>
      </w:pPr>
      <w:r>
        <w:rPr>
          <w:rFonts w:cs="Times New Roman" w:ascii="Times New Roman" w:hAnsi="Times New Roman"/>
          <w:b w:val="false"/>
          <w:bCs w:val="false"/>
          <w:sz w:val="22"/>
          <w:szCs w:val="22"/>
        </w:rPr>
        <w:t>Pr</w:t>
      </w:r>
      <w:r>
        <w:rPr>
          <w:rFonts w:cs="Times New Roman" w:ascii="Times New Roman" w:hAnsi="Times New Roman"/>
          <w:b w:val="false"/>
          <w:bCs w:val="false"/>
          <w:color w:val="000000"/>
          <w:sz w:val="22"/>
          <w:szCs w:val="22"/>
        </w:rPr>
        <w:t>zedmiar ma charakter pomocniczy. Wycena powinna opierać się na projekcie budowlanym oraz wizji lokalnej</w:t>
      </w:r>
    </w:p>
    <w:p>
      <w:pPr>
        <w:pStyle w:val="Default"/>
        <w:rPr>
          <w:color w:val="000000"/>
        </w:rPr>
      </w:pPr>
      <w:r>
        <w:rPr>
          <w:rFonts w:eastAsia="NSimSun" w:cs="Times New Roman"/>
          <w:b/>
          <w:bCs/>
          <w:color w:val="000000"/>
          <w:kern w:val="2"/>
          <w:sz w:val="22"/>
          <w:szCs w:val="22"/>
          <w:lang w:eastAsia="zh-CN" w:bidi="hi-IN"/>
        </w:rPr>
        <w:t>Prace należy wykonać zgodnie z założeniami projektu technicznego wraz ze wszystkimi niezbędnymi pracami towarzyszącymi koniecznymi do prawidłowego wykonania robót.</w:t>
      </w:r>
      <w:r>
        <w:rPr>
          <w:b/>
          <w:bCs/>
          <w:color w:val="000000"/>
          <w:sz w:val="22"/>
          <w:szCs w:val="22"/>
        </w:rPr>
        <w:t xml:space="preserve"> </w:t>
      </w:r>
    </w:p>
    <w:p>
      <w:pPr>
        <w:pStyle w:val="Default"/>
        <w:rPr>
          <w:b/>
          <w:bCs/>
          <w:color w:val="000000"/>
          <w:sz w:val="22"/>
          <w:szCs w:val="22"/>
        </w:rPr>
      </w:pPr>
      <w:r>
        <w:rPr>
          <w:b/>
          <w:bCs/>
          <w:color w:val="000000"/>
          <w:sz w:val="22"/>
          <w:szCs w:val="22"/>
        </w:rPr>
      </w:r>
    </w:p>
    <w:p>
      <w:pPr>
        <w:pStyle w:val="Zawartotabeli"/>
        <w:widowControl w:val="false"/>
        <w:spacing w:lineRule="auto" w:line="240"/>
        <w:rPr>
          <w:sz w:val="22"/>
          <w:szCs w:val="22"/>
        </w:rPr>
      </w:pPr>
      <w:r>
        <w:rPr>
          <w:rFonts w:cs="Times New Roman" w:ascii="Times New Roman" w:hAnsi="Times New Roman"/>
          <w:sz w:val="22"/>
          <w:szCs w:val="22"/>
        </w:rPr>
        <w:t>Termomodernizacja będzie odbywała się  bez wysiedlania lokatorów z mieszkań. Od 01.10.2026r. rozpoczyna się nowy sezon grzewczy, temperatury powietrza na zewnątrz spada i należy liczyć się z koniecznością natychmiastowego uruchomienia ogrzewania w budynku.</w:t>
      </w:r>
    </w:p>
    <w:p>
      <w:pPr>
        <w:pStyle w:val="ListParagraph"/>
        <w:widowControl/>
        <w:numPr>
          <w:ilvl w:val="1"/>
          <w:numId w:val="1"/>
        </w:numPr>
        <w:suppressAutoHyphens w:val="true"/>
        <w:bidi w:val="0"/>
        <w:spacing w:lineRule="auto" w:line="240" w:before="0" w:after="0"/>
        <w:ind w:hanging="397" w:left="794" w:right="0"/>
        <w:contextualSpacing/>
        <w:jc w:val="both"/>
        <w:rPr>
          <w:color w:val="FF4000"/>
        </w:rPr>
      </w:pPr>
      <w:r>
        <w:rPr>
          <w:rFonts w:cs="Times New Roman" w:ascii="Times New Roman" w:hAnsi="Times New Roman"/>
          <w:b/>
          <w:bCs/>
          <w:color w:val="FF4000"/>
          <w:sz w:val="22"/>
          <w:szCs w:val="22"/>
        </w:rPr>
        <w:t>WIZJA LOKALNA</w:t>
      </w:r>
    </w:p>
    <w:p>
      <w:pPr>
        <w:pStyle w:val="ListParagraph"/>
        <w:widowControl/>
        <w:numPr>
          <w:ilvl w:val="0"/>
          <w:numId w:val="0"/>
        </w:numPr>
        <w:suppressAutoHyphens w:val="true"/>
        <w:bidi w:val="0"/>
        <w:spacing w:lineRule="auto" w:line="240" w:before="0" w:after="0"/>
        <w:ind w:hanging="0" w:left="794" w:right="0"/>
        <w:contextualSpacing/>
        <w:jc w:val="both"/>
        <w:rPr>
          <w:color w:val="FF4000"/>
        </w:rPr>
      </w:pPr>
      <w:r>
        <w:rPr>
          <w:rFonts w:cs="Times New Roman" w:ascii="Times New Roman" w:hAnsi="Times New Roman"/>
          <w:b/>
          <w:bCs/>
          <w:color w:val="FF4000"/>
          <w:sz w:val="22"/>
          <w:szCs w:val="22"/>
        </w:rPr>
        <w:t>Działając na podstawie art. 131 ustawy Pzp, Zamawiający (pod rygorem odrzucenia oferty) przewiduje obowiązkowe odbycie przez Wykonawców wizji lokalnej dla obiektu objętego zamówieniem.</w:t>
      </w:r>
    </w:p>
    <w:p>
      <w:pPr>
        <w:pStyle w:val="ListParagraph"/>
        <w:widowControl/>
        <w:numPr>
          <w:ilvl w:val="0"/>
          <w:numId w:val="0"/>
        </w:numPr>
        <w:suppressAutoHyphens w:val="true"/>
        <w:bidi w:val="0"/>
        <w:spacing w:lineRule="auto" w:line="240" w:before="0" w:after="0"/>
        <w:ind w:hanging="0" w:left="794" w:right="0"/>
        <w:contextualSpacing/>
        <w:jc w:val="both"/>
        <w:rPr>
          <w:color w:val="FF4000"/>
        </w:rPr>
      </w:pPr>
      <w:r>
        <w:rPr>
          <w:rFonts w:cs="Times New Roman" w:ascii="Times New Roman" w:hAnsi="Times New Roman"/>
          <w:b/>
          <w:bCs/>
          <w:color w:val="FF4000"/>
          <w:sz w:val="22"/>
          <w:szCs w:val="22"/>
        </w:rPr>
        <w:t xml:space="preserve">Termin wizji ustala się na </w:t>
      </w:r>
      <w:r>
        <w:rPr>
          <w:rFonts w:cs="Times New Roman" w:ascii="Times New Roman" w:hAnsi="Times New Roman"/>
          <w:b/>
          <w:bCs/>
          <w:color w:val="FF4000"/>
          <w:sz w:val="22"/>
          <w:szCs w:val="22"/>
          <w:u w:val="single"/>
        </w:rPr>
        <w:t xml:space="preserve">24.04.2026r.  </w:t>
      </w:r>
      <w:r>
        <w:rPr>
          <w:rFonts w:cs="Times New Roman" w:ascii="Times New Roman" w:hAnsi="Times New Roman"/>
          <w:b/>
          <w:bCs/>
          <w:color w:val="FF4000"/>
          <w:sz w:val="22"/>
          <w:szCs w:val="22"/>
        </w:rPr>
        <w:t>na godzinę 10:00 – miejsce: budynek Wiklino nr 30</w:t>
      </w:r>
    </w:p>
    <w:p>
      <w:pPr>
        <w:pStyle w:val="ListParagraph"/>
        <w:widowControl/>
        <w:numPr>
          <w:ilvl w:val="0"/>
          <w:numId w:val="0"/>
        </w:numPr>
        <w:suppressAutoHyphens w:val="true"/>
        <w:bidi w:val="0"/>
        <w:spacing w:lineRule="auto" w:line="240" w:before="0" w:after="0"/>
        <w:ind w:hanging="0" w:left="794" w:right="0"/>
        <w:contextualSpacing/>
        <w:jc w:val="both"/>
        <w:rPr>
          <w:color w:val="FF4000"/>
        </w:rPr>
      </w:pPr>
      <w:r>
        <w:rPr>
          <w:color w:val="FF4000"/>
        </w:rPr>
      </w:r>
    </w:p>
    <w:p>
      <w:pPr>
        <w:pStyle w:val="ListParagraph"/>
        <w:widowControl/>
        <w:numPr>
          <w:ilvl w:val="0"/>
          <w:numId w:val="0"/>
        </w:numPr>
        <w:suppressAutoHyphens w:val="true"/>
        <w:bidi w:val="0"/>
        <w:spacing w:lineRule="auto" w:line="240" w:before="0" w:after="0"/>
        <w:ind w:hanging="0" w:left="794" w:right="0"/>
        <w:contextualSpacing/>
        <w:jc w:val="both"/>
        <w:rPr>
          <w:rFonts w:ascii="Times New Roman" w:hAnsi="Times New Roman" w:cs="Times New Roman"/>
          <w:b/>
          <w:bCs/>
          <w:color w:val="FF4000"/>
          <w:sz w:val="22"/>
          <w:szCs w:val="22"/>
        </w:rPr>
      </w:pPr>
      <w:r>
        <w:rPr>
          <w:rFonts w:cs="Times New Roman" w:ascii="Times New Roman" w:hAnsi="Times New Roman"/>
          <w:b/>
          <w:bCs/>
          <w:color w:val="FF4000"/>
          <w:sz w:val="22"/>
          <w:szCs w:val="22"/>
        </w:rPr>
      </w:r>
    </w:p>
    <w:p>
      <w:pPr>
        <w:pStyle w:val="ListParagraph"/>
        <w:widowControl/>
        <w:numPr>
          <w:ilvl w:val="0"/>
          <w:numId w:val="0"/>
        </w:numPr>
        <w:suppressAutoHyphens w:val="true"/>
        <w:bidi w:val="0"/>
        <w:spacing w:lineRule="auto" w:line="240" w:before="0" w:after="0"/>
        <w:ind w:hanging="0" w:left="794" w:right="0"/>
        <w:contextualSpacing/>
        <w:jc w:val="both"/>
        <w:rPr>
          <w:color w:val="FF4000"/>
        </w:rPr>
      </w:pPr>
      <w:r>
        <w:rPr>
          <w:rFonts w:cs="Times New Roman" w:ascii="Times New Roman" w:hAnsi="Times New Roman"/>
          <w:b/>
          <w:bCs/>
          <w:color w:val="FF4000"/>
          <w:sz w:val="22"/>
          <w:szCs w:val="22"/>
        </w:rPr>
        <w:t>Kontakt do osoby odpowiedzialnej za wizje lokalną: 532 788 118  (Andrzej Kaczmarczyk)</w:t>
      </w:r>
    </w:p>
    <w:p>
      <w:pPr>
        <w:pStyle w:val="ListParagraph"/>
        <w:widowControl/>
        <w:numPr>
          <w:ilvl w:val="0"/>
          <w:numId w:val="0"/>
        </w:numPr>
        <w:suppressAutoHyphens w:val="true"/>
        <w:bidi w:val="0"/>
        <w:spacing w:lineRule="auto" w:line="240" w:before="0" w:after="0"/>
        <w:ind w:hanging="0" w:left="794" w:right="0"/>
        <w:contextualSpacing/>
        <w:jc w:val="both"/>
        <w:rPr>
          <w:color w:val="FF4000"/>
        </w:rPr>
      </w:pPr>
      <w:r>
        <w:rPr>
          <w:color w:val="FF4000"/>
        </w:rPr>
        <w:t>Z odbycia wizji lokalnej zostanie sporządzona lista obecności, na którą wpiszą się przedstawiciele Wykonawców.</w:t>
      </w:r>
    </w:p>
    <w:p>
      <w:pPr>
        <w:pStyle w:val="ListParagraph"/>
        <w:widowControl/>
        <w:numPr>
          <w:ilvl w:val="0"/>
          <w:numId w:val="0"/>
        </w:numPr>
        <w:suppressAutoHyphens w:val="true"/>
        <w:bidi w:val="0"/>
        <w:spacing w:lineRule="auto" w:line="240" w:before="0" w:after="0"/>
        <w:ind w:hanging="0" w:left="794" w:right="0"/>
        <w:contextualSpacing/>
        <w:jc w:val="both"/>
        <w:rPr>
          <w:color w:val="FF4000"/>
        </w:rPr>
      </w:pPr>
      <w:r>
        <w:rPr>
          <w:color w:val="FF4000"/>
        </w:rPr>
      </w:r>
    </w:p>
    <w:p>
      <w:pPr>
        <w:pStyle w:val="ListParagraph"/>
        <w:numPr>
          <w:ilvl w:val="1"/>
          <w:numId w:val="1"/>
        </w:numPr>
        <w:spacing w:lineRule="atLeast" w:line="100"/>
        <w:jc w:val="both"/>
        <w:rPr>
          <w:rFonts w:ascii="Times New Roman" w:hAnsi="Times New Roman"/>
          <w:sz w:val="22"/>
          <w:szCs w:val="22"/>
        </w:rPr>
      </w:pPr>
      <w:r>
        <w:rPr>
          <w:rFonts w:cs="Times New Roman" w:ascii="Times New Roman" w:hAnsi="Times New Roman"/>
          <w:b/>
          <w:bCs/>
          <w:sz w:val="22"/>
          <w:szCs w:val="22"/>
        </w:rPr>
        <w:t>Dokumentacja stanowi załącznik nr 7 do SWZ.</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 xml:space="preserve">Przedmiot zamówienia został szczegółowo opisany zgodnie z art. 103 Ustawy  za pomocą dokumentacji, która stanowi </w:t>
      </w:r>
      <w:r>
        <w:rPr>
          <w:rFonts w:cs="Times New Roman" w:ascii="Times New Roman" w:hAnsi="Times New Roman"/>
          <w:color w:val="000000"/>
          <w:sz w:val="22"/>
          <w:szCs w:val="22"/>
        </w:rPr>
        <w:t xml:space="preserve">załącznik nr </w:t>
      </w:r>
      <w:r>
        <w:rPr>
          <w:rFonts w:eastAsia="Calibri" w:cs="Times New Roman" w:ascii="Times New Roman" w:hAnsi="Times New Roman"/>
          <w:color w:val="000000"/>
          <w:sz w:val="22"/>
          <w:szCs w:val="22"/>
        </w:rPr>
        <w:t>7</w:t>
      </w:r>
      <w:r>
        <w:rPr>
          <w:rFonts w:cs="Times New Roman" w:ascii="Times New Roman" w:hAnsi="Times New Roman"/>
          <w:color w:val="000000"/>
          <w:sz w:val="22"/>
          <w:szCs w:val="22"/>
        </w:rPr>
        <w:t xml:space="preserve"> do SWZ</w:t>
      </w:r>
      <w:bookmarkStart w:id="3" w:name="__DdeLink__4515_4167153033"/>
      <w:bookmarkEnd w:id="3"/>
      <w:r>
        <w:rPr>
          <w:rFonts w:cs="Times New Roman" w:ascii="Times New Roman" w:hAnsi="Times New Roman"/>
          <w:sz w:val="22"/>
          <w:szCs w:val="22"/>
        </w:rPr>
        <w:t>. Zgodnie z art. 101 ust. 4 ustawy Zamawiający dopuszcza rozwiązania równoważne opisanym w dokumentacji projektowej za pomocą norm, europejskich ocen technicznych, aprobat, specyfikacji technicznych i systemów referencji technicznych, o których mowa w art. 101 ust. 1 pkt 2 i ust. 3 Ustawy.</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Zgodnie z dyspozycją zawartą w § 4 ust. 3 rozporządzenia Ministra Infrastruktury z dnia 2 września 2004 r. w sprawie szczegółowego zakresu i formy dokumentacji projektowej, specyfikacji technicznych wykonania i odbioru robót budowlanych oraz programu funkcjonalno - użytkowego (Dz. U. z 2013, poz. 1129), jeśli w zamówieniu na roboty budowlane przyjęto zasadę wynagrodzenia ryczałtowego, dokumentacja projektowa może nie obejmować przedmiaru robót. W niniejszym postępowaniu przewidziano rozliczenie ryczałtowe, stąd załączony do SWZ przedmiar robót pełni rolę informacyjną i nie stanowi zestawienia planowanych prac i przewidywanych wszystkich kosztów związanych z wykonaniem przedmiotu zamówienia. Roboty nie ujęte w przedmiarze robót, a występujące w projekcie budowlano-wykonawczym, opisie przedmiotu zamówienia lub z nich wynikające nie są robotami dodatkowymi. W przypadku rozbieżności pomiędzy przedmiarem robót i projektem budowlano-wykonawczym lub opisem przedmiotu zamówienia decydujący dla ustalenia zakresu robót jest projekt budowlano-wykonawczy i opis przedmiotu zamówienia. Wykonawca nie może żądać zapłaty dodatkowego wynagrodzenia, jeżeli na etapie realizacji inwestycji okaże się, iż nie uwzględnił on elementów opisanych w projekcie budowlano-wykonawczym lub opisie przedmiotu zamówienia.</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Jeżeli dokumentacja wskazywałaby w odniesieniu do niektórych materiałów lub urządzeń znaki towarowe, patenty lub pochodzenie – zamawiający, zgodnie z art. 99 ust. 5 ustawy Pzp,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jakościowych i cechach użytkowych co najmniej na poziomie parametrów wskazanego produktu, uznając tym samym każdy produkt o wskazanych lub lepszych parametrach.</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 xml:space="preserve">Wykonawca zobowiązany jest do wyceny robót budowlanych stanowiących przedmiot niniejszego zamówienia wyłącznie z materiałów i urządzeń fabrycznie nowych, dopuszczonych do obrotu i powszechnego lub jednostkowego stosowania w budownictwie, objętych certyfikatem w zakresie tzw. znaku bezpieczeństwa, wskazującego na zgodność z Polską Normą, aprobatą techniczną i właściwymi przepisami technicznymi zgodnie z art. 10 ustawy z 07 lipca 1994 r. - Prawo budowlane </w:t>
      </w:r>
      <w:r>
        <w:rPr>
          <w:rFonts w:cs="Times New Roman" w:ascii="TimesNewRomanPSMT" w:hAnsi="TimesNewRomanPSMT"/>
          <w:sz w:val="22"/>
          <w:szCs w:val="22"/>
        </w:rPr>
        <w:t>(Dz. U. z 2025 r. poz. 418, 1080, 1535, 1673, 1847).</w:t>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Zamawiający dopuszcza zastosowanie materiałów spełniających wymagania norm, posiadających odpowiednie certyfikaty i aprobaty techniczne oraz założone w projekcie parametry techniczne.</w:t>
      </w:r>
    </w:p>
    <w:p>
      <w:pPr>
        <w:pStyle w:val="ListParagraph"/>
        <w:numPr>
          <w:ilvl w:val="1"/>
          <w:numId w:val="1"/>
        </w:numPr>
        <w:ind w:hanging="510" w:left="794"/>
        <w:jc w:val="both"/>
        <w:rPr>
          <w:rFonts w:ascii="Times New Roman" w:hAnsi="Times New Roman"/>
          <w:sz w:val="22"/>
          <w:szCs w:val="22"/>
        </w:rPr>
      </w:pPr>
      <w:r>
        <w:rPr>
          <w:rFonts w:cs="Times New Roman" w:ascii="Times New Roman" w:hAnsi="Times New Roman"/>
          <w:sz w:val="22"/>
          <w:szCs w:val="22"/>
        </w:rPr>
        <w:t>W przypadku potrzeby zmiany materiałów na etapie realizacji robót Wykonawca przed ich zastosowaniem musi uzyskać pisemną zgodę Zamawiającego.</w:t>
      </w:r>
    </w:p>
    <w:p>
      <w:pPr>
        <w:pStyle w:val="ListParagraph"/>
        <w:numPr>
          <w:ilvl w:val="1"/>
          <w:numId w:val="1"/>
        </w:numPr>
        <w:ind w:hanging="454" w:left="794"/>
        <w:jc w:val="both"/>
        <w:rPr>
          <w:rFonts w:ascii="Times New Roman" w:hAnsi="Times New Roman"/>
          <w:sz w:val="22"/>
          <w:szCs w:val="22"/>
        </w:rPr>
      </w:pPr>
      <w:r>
        <w:rPr>
          <w:rFonts w:cs="Times New Roman" w:ascii="Times New Roman" w:hAnsi="Times New Roman"/>
          <w:sz w:val="22"/>
          <w:szCs w:val="22"/>
        </w:rPr>
        <w:t>W przypadku stwierdzenia, że roboty wykonywane są niezgodnie z dokumentacją projektową, obowiązującymi przepisami lub SWZ Zamawiający może odmówić zapłaty i żądać ich ponownego wykonania lub odstąpić od umowy z winy Wykonawcy.</w:t>
      </w:r>
    </w:p>
    <w:p>
      <w:pPr>
        <w:pStyle w:val="ListParagraph"/>
        <w:numPr>
          <w:ilvl w:val="1"/>
          <w:numId w:val="1"/>
        </w:numPr>
        <w:ind w:hanging="454" w:left="794"/>
        <w:jc w:val="both"/>
        <w:rPr>
          <w:rFonts w:ascii="Times New Roman" w:hAnsi="Times New Roman"/>
          <w:sz w:val="22"/>
          <w:szCs w:val="22"/>
        </w:rPr>
      </w:pPr>
      <w:r>
        <w:rPr>
          <w:rFonts w:cs="Times New Roman" w:ascii="Times New Roman" w:hAnsi="Times New Roman"/>
          <w:b/>
          <w:sz w:val="22"/>
          <w:szCs w:val="22"/>
        </w:rPr>
        <w:t>Zamawiający wymaga od Wykonawcy udzielenia gwarancji na wykonane roboty budowlane oraz zamontowane materiały stanowiące przedmiot niniejszego zamówienia na okres nie krótszy niż 36 miesięcy licząc od daty  odbioru końcowego całego zadania objętego niniejszym zamówieniem.</w:t>
      </w:r>
    </w:p>
    <w:p>
      <w:pPr>
        <w:pStyle w:val="ListParagraph"/>
        <w:numPr>
          <w:ilvl w:val="1"/>
          <w:numId w:val="1"/>
        </w:numPr>
        <w:ind w:hanging="508" w:left="792"/>
        <w:jc w:val="both"/>
        <w:rPr>
          <w:rFonts w:ascii="Times New Roman" w:hAnsi="Times New Roman"/>
          <w:sz w:val="22"/>
          <w:szCs w:val="22"/>
        </w:rPr>
      </w:pPr>
      <w:r>
        <w:rPr>
          <w:rFonts w:cs="Times New Roman" w:ascii="Times New Roman" w:hAnsi="Times New Roman"/>
          <w:b/>
          <w:sz w:val="22"/>
          <w:szCs w:val="22"/>
        </w:rPr>
        <w:t>Zamawiający wymaga od Wykonawcy udzielenia rękojmi na wykonane roboty budowlane stanowiące przedmiot niniejszego zamówienia na okres 60 miesięcy licząc od daty odbioru końcowego przedmiotu zamówienia.</w:t>
      </w:r>
    </w:p>
    <w:p>
      <w:pPr>
        <w:pStyle w:val="ListParagraph"/>
        <w:numPr>
          <w:ilvl w:val="1"/>
          <w:numId w:val="1"/>
        </w:numPr>
        <w:ind w:hanging="508" w:left="792"/>
        <w:jc w:val="both"/>
        <w:rPr>
          <w:rFonts w:ascii="Times New Roman" w:hAnsi="Times New Roman"/>
          <w:sz w:val="22"/>
          <w:szCs w:val="22"/>
        </w:rPr>
      </w:pPr>
      <w:bookmarkStart w:id="4" w:name="__DdeLink__4744_3209219614"/>
      <w:r>
        <w:rPr>
          <w:rFonts w:cs="Times New Roman" w:ascii="Times New Roman" w:hAnsi="Times New Roman"/>
          <w:b/>
          <w:bCs/>
          <w:color w:val="C9211E"/>
          <w:sz w:val="22"/>
          <w:szCs w:val="22"/>
        </w:rPr>
        <w:t>Wykonawca</w:t>
      </w:r>
      <w:bookmarkEnd w:id="4"/>
      <w:r>
        <w:rPr>
          <w:rFonts w:cs="Times New Roman" w:ascii="Times New Roman" w:hAnsi="Times New Roman"/>
          <w:b/>
          <w:bCs/>
          <w:color w:val="C9211E"/>
          <w:sz w:val="22"/>
          <w:szCs w:val="22"/>
        </w:rPr>
        <w:t xml:space="preserve"> przed podpisaniem umowy   przedstawi  szczegółowy kosztorys wraz z harmonogramem finansowo-rzeczowym, który będzie integralną częścią umowy</w:t>
      </w:r>
      <w:r>
        <w:rPr>
          <w:rFonts w:eastAsia="Times New Roman" w:cs="Times New Roman" w:ascii="Times New Roman" w:hAnsi="Times New Roman"/>
          <w:b/>
          <w:bCs/>
          <w:color w:val="000000"/>
          <w:sz w:val="22"/>
          <w:szCs w:val="22"/>
          <w:lang w:eastAsia="pl-PL"/>
        </w:rPr>
        <w:t>,</w:t>
      </w:r>
    </w:p>
    <w:p>
      <w:pPr>
        <w:pStyle w:val="ListParagraph"/>
        <w:numPr>
          <w:ilvl w:val="1"/>
          <w:numId w:val="1"/>
        </w:numPr>
        <w:ind w:hanging="508" w:left="792"/>
        <w:jc w:val="both"/>
        <w:rPr>
          <w:rFonts w:ascii="Times New Roman" w:hAnsi="Times New Roman"/>
          <w:sz w:val="22"/>
          <w:szCs w:val="22"/>
        </w:rPr>
      </w:pPr>
      <w:r>
        <w:rPr>
          <w:rFonts w:cs="Times New Roman" w:ascii="Times New Roman" w:hAnsi="Times New Roman"/>
          <w:sz w:val="22"/>
          <w:szCs w:val="22"/>
        </w:rPr>
        <w:t xml:space="preserve">Zamawiający wymaga zatrudnienia na podstawie umowy o pracę przez Wykonawcę lub podwykonawcę osób wykonujących w trakcie realizacji zamówienia czynności z zakresu: </w:t>
      </w:r>
    </w:p>
    <w:p>
      <w:pPr>
        <w:pStyle w:val="Standard"/>
        <w:ind w:left="708"/>
        <w:jc w:val="both"/>
        <w:rPr>
          <w:rFonts w:ascii="Times New Roman" w:hAnsi="Times New Roman"/>
          <w:sz w:val="22"/>
          <w:szCs w:val="22"/>
        </w:rPr>
      </w:pPr>
      <w:r>
        <w:rPr>
          <w:rFonts w:eastAsia="Calibri" w:cs="Times New Roman" w:ascii="Times New Roman" w:hAnsi="Times New Roman"/>
          <w:sz w:val="22"/>
          <w:szCs w:val="22"/>
          <w:lang w:eastAsia="en-US" w:bidi="ar-SA"/>
        </w:rPr>
        <w:t>- czynności z zakresu prowadzenia robót przygotowawczych,</w:t>
      </w:r>
    </w:p>
    <w:p>
      <w:pPr>
        <w:pStyle w:val="Standard"/>
        <w:ind w:left="708"/>
        <w:jc w:val="both"/>
        <w:rPr>
          <w:rFonts w:ascii="Times New Roman" w:hAnsi="Times New Roman"/>
          <w:sz w:val="22"/>
          <w:szCs w:val="22"/>
        </w:rPr>
      </w:pPr>
      <w:r>
        <w:rPr>
          <w:rFonts w:eastAsia="Calibri" w:cs="Times New Roman" w:ascii="Times New Roman" w:hAnsi="Times New Roman"/>
          <w:sz w:val="22"/>
          <w:szCs w:val="22"/>
          <w:lang w:eastAsia="en-US" w:bidi="ar-SA"/>
        </w:rPr>
        <w:t>- czynności z zakresu prowadzenia robót ziemnych,</w:t>
      </w:r>
    </w:p>
    <w:p>
      <w:pPr>
        <w:pStyle w:val="Standard"/>
        <w:ind w:left="708"/>
        <w:jc w:val="both"/>
        <w:rPr>
          <w:rFonts w:ascii="Times New Roman" w:hAnsi="Times New Roman"/>
          <w:sz w:val="22"/>
          <w:szCs w:val="22"/>
        </w:rPr>
      </w:pPr>
      <w:r>
        <w:rPr>
          <w:rFonts w:eastAsia="Calibri" w:cs="Times New Roman" w:ascii="Times New Roman" w:hAnsi="Times New Roman"/>
          <w:sz w:val="22"/>
          <w:szCs w:val="22"/>
          <w:lang w:eastAsia="en-US" w:bidi="ar-SA"/>
        </w:rPr>
        <w:t>- czynności w zakresie prowadzenia robót elektrycznych i elektorenergetycznych</w:t>
      </w:r>
    </w:p>
    <w:p>
      <w:pPr>
        <w:pStyle w:val="Standard"/>
        <w:ind w:left="708"/>
        <w:jc w:val="both"/>
        <w:rPr>
          <w:rFonts w:ascii="Times New Roman" w:hAnsi="Times New Roman"/>
          <w:sz w:val="22"/>
          <w:szCs w:val="22"/>
        </w:rPr>
      </w:pPr>
      <w:r>
        <w:rPr>
          <w:rFonts w:eastAsia="Calibri" w:cs="Times New Roman" w:ascii="Times New Roman" w:hAnsi="Times New Roman"/>
          <w:sz w:val="22"/>
          <w:szCs w:val="22"/>
          <w:lang w:eastAsia="en-US" w:bidi="ar-SA"/>
        </w:rPr>
        <w:t>- czynności z zakresu robót wykończeniowych,</w:t>
      </w:r>
    </w:p>
    <w:p>
      <w:pPr>
        <w:pStyle w:val="Standard"/>
        <w:ind w:left="708"/>
        <w:jc w:val="both"/>
        <w:rPr>
          <w:rFonts w:ascii="Times New Roman" w:hAnsi="Times New Roman"/>
          <w:sz w:val="22"/>
          <w:szCs w:val="22"/>
        </w:rPr>
      </w:pPr>
      <w:r>
        <w:rPr>
          <w:rFonts w:eastAsia="Calibri" w:cs="Times New Roman" w:ascii="Times New Roman" w:hAnsi="Times New Roman"/>
          <w:sz w:val="22"/>
          <w:szCs w:val="22"/>
          <w:lang w:eastAsia="en-US" w:bidi="ar-SA"/>
        </w:rPr>
        <w:t>- czynności z zakresu obsługi pojazdów i maszyn budowlanych,</w:t>
      </w:r>
    </w:p>
    <w:p>
      <w:pPr>
        <w:pStyle w:val="ListParagraph"/>
        <w:numPr>
          <w:ilvl w:val="1"/>
          <w:numId w:val="1"/>
        </w:numPr>
        <w:ind w:hanging="508" w:left="792"/>
        <w:jc w:val="both"/>
        <w:rPr>
          <w:rFonts w:ascii="Times New Roman" w:hAnsi="Times New Roman"/>
          <w:sz w:val="22"/>
          <w:szCs w:val="22"/>
        </w:rPr>
      </w:pPr>
      <w:r>
        <w:rPr>
          <w:rFonts w:cs="Times New Roman" w:ascii="Times New Roman" w:hAnsi="Times New Roman"/>
          <w:sz w:val="22"/>
          <w:szCs w:val="22"/>
        </w:rPr>
        <w:t>W trakcie realizacji zamówienia Zamawiający uprawniony jest do wykonywania czynności kontrolnych wobec Wykonawcy odnośnie spełniania przez Wykonawcę lub podwykonawcę wymogu zatrudnienia na podstawie umowy o pracę osób wykonujących wskazane w pkt. 3.13 SWZ czynności. Zamawiający uprawniony jest w szczególności do:</w:t>
      </w:r>
    </w:p>
    <w:p>
      <w:pPr>
        <w:pStyle w:val="ListParagraph"/>
        <w:numPr>
          <w:ilvl w:val="0"/>
          <w:numId w:val="10"/>
        </w:numPr>
        <w:jc w:val="both"/>
        <w:rPr>
          <w:rFonts w:ascii="Times New Roman" w:hAnsi="Times New Roman"/>
          <w:sz w:val="22"/>
          <w:szCs w:val="22"/>
        </w:rPr>
      </w:pPr>
      <w:r>
        <w:rPr>
          <w:rFonts w:cs="Times New Roman" w:ascii="Times New Roman" w:hAnsi="Times New Roman"/>
          <w:sz w:val="22"/>
          <w:szCs w:val="22"/>
        </w:rPr>
        <w:t>żądania oświadczeń i dokumentów w zakresie potwierdzenia spełniania ww. wymogów i dokonywania ich oceny,</w:t>
      </w:r>
    </w:p>
    <w:p>
      <w:pPr>
        <w:pStyle w:val="ListParagraph"/>
        <w:numPr>
          <w:ilvl w:val="0"/>
          <w:numId w:val="10"/>
        </w:numPr>
        <w:jc w:val="both"/>
        <w:rPr>
          <w:rFonts w:ascii="Times New Roman" w:hAnsi="Times New Roman"/>
          <w:sz w:val="22"/>
          <w:szCs w:val="22"/>
        </w:rPr>
      </w:pPr>
      <w:r>
        <w:rPr>
          <w:rFonts w:cs="Times New Roman" w:ascii="Times New Roman" w:hAnsi="Times New Roman"/>
          <w:sz w:val="22"/>
          <w:szCs w:val="22"/>
        </w:rPr>
        <w:t>żądania wyjaśnień w przypadku wątpliwości w zakresie potwierdzenia spełniania ww. wymogów,</w:t>
      </w:r>
    </w:p>
    <w:p>
      <w:pPr>
        <w:pStyle w:val="ListParagraph"/>
        <w:numPr>
          <w:ilvl w:val="0"/>
          <w:numId w:val="10"/>
        </w:numPr>
        <w:jc w:val="both"/>
        <w:rPr>
          <w:rFonts w:ascii="Times New Roman" w:hAnsi="Times New Roman"/>
          <w:sz w:val="22"/>
          <w:szCs w:val="22"/>
        </w:rPr>
      </w:pPr>
      <w:r>
        <w:rPr>
          <w:rFonts w:cs="Times New Roman" w:ascii="Times New Roman" w:hAnsi="Times New Roman"/>
          <w:sz w:val="22"/>
          <w:szCs w:val="22"/>
        </w:rPr>
        <w:t>przeprowadzenia kontroli na miejscu wykonywania świadczenia.</w:t>
      </w:r>
    </w:p>
    <w:p>
      <w:pPr>
        <w:pStyle w:val="ListParagraph"/>
        <w:numPr>
          <w:ilvl w:val="1"/>
          <w:numId w:val="1"/>
        </w:numPr>
        <w:ind w:hanging="508" w:left="792"/>
        <w:jc w:val="both"/>
        <w:rPr>
          <w:rFonts w:ascii="Times New Roman" w:hAnsi="Times New Roman"/>
          <w:sz w:val="22"/>
          <w:szCs w:val="22"/>
        </w:rPr>
      </w:pPr>
      <w:r>
        <w:rPr>
          <w:rFonts w:cs="Times New Roman" w:ascii="Times New Roman" w:hAnsi="Times New Roman"/>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pkt 3.13 SWZ czynności w trakcie zamówienia:</w:t>
      </w:r>
    </w:p>
    <w:p>
      <w:pPr>
        <w:pStyle w:val="ListParagraph"/>
        <w:numPr>
          <w:ilvl w:val="0"/>
          <w:numId w:val="11"/>
        </w:numPr>
        <w:jc w:val="both"/>
        <w:rPr>
          <w:rFonts w:ascii="Times New Roman" w:hAnsi="Times New Roman"/>
          <w:sz w:val="22"/>
          <w:szCs w:val="22"/>
        </w:rPr>
      </w:pPr>
      <w:r>
        <w:rPr>
          <w:rFonts w:cs="Times New Roman" w:ascii="Times New Roman" w:hAnsi="Times New Roman"/>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pPr>
        <w:pStyle w:val="ListParagraph"/>
        <w:numPr>
          <w:ilvl w:val="0"/>
          <w:numId w:val="11"/>
        </w:numPr>
        <w:jc w:val="both"/>
        <w:rPr>
          <w:rFonts w:ascii="Times New Roman" w:hAnsi="Times New Roman"/>
          <w:sz w:val="22"/>
          <w:szCs w:val="22"/>
        </w:rPr>
      </w:pPr>
      <w:r>
        <w:rPr>
          <w:rFonts w:cs="Times New Roman" w:ascii="Times New Roman" w:hAnsi="Times New Roman"/>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anonimizacji.  Informacje takie jak: data zawarcia umowy, rodzaj umowy o pracę i wymiar etatu powinny być możliwe do zidentyfikowania;</w:t>
      </w:r>
    </w:p>
    <w:p>
      <w:pPr>
        <w:pStyle w:val="ListParagraph"/>
        <w:numPr>
          <w:ilvl w:val="0"/>
          <w:numId w:val="11"/>
        </w:numPr>
        <w:jc w:val="both"/>
        <w:rPr>
          <w:rFonts w:ascii="Times New Roman" w:hAnsi="Times New Roman"/>
          <w:sz w:val="22"/>
          <w:szCs w:val="22"/>
        </w:rPr>
      </w:pPr>
      <w:r>
        <w:rPr>
          <w:rFonts w:cs="Times New Roman" w:ascii="Times New Roman" w:hAnsi="Times New Roman"/>
          <w:sz w:val="22"/>
          <w:szCs w:val="22"/>
        </w:rPr>
        <w:t>zaświadczenie właściwego oddziału ZUS, potwierdzające opłacenie przez Wykonawcę lub podwykonawcę składek na ubezpieczenie społeczne i zdrowotne z tytułu zatrudnienia na podstawie umów o pracę za ostatni okres rozliczeniowy;</w:t>
      </w:r>
    </w:p>
    <w:p>
      <w:pPr>
        <w:pStyle w:val="ListParagraph"/>
        <w:numPr>
          <w:ilvl w:val="0"/>
          <w:numId w:val="11"/>
        </w:numPr>
        <w:jc w:val="both"/>
        <w:rPr>
          <w:rFonts w:ascii="Times New Roman" w:hAnsi="Times New Roman"/>
          <w:sz w:val="22"/>
          <w:szCs w:val="22"/>
        </w:rPr>
      </w:pPr>
      <w:r>
        <w:rPr>
          <w:rFonts w:cs="Times New Roman" w:ascii="Times New Roman" w:hAnsi="Times New Roman"/>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Pr>
          <w:rFonts w:cs="Times New Roman" w:ascii="Times New Roman" w:hAnsi="Times New Roman"/>
          <w:sz w:val="22"/>
          <w:szCs w:val="22"/>
          <w:u w:val="single"/>
        </w:rPr>
        <w:t>Rozporządzenia Parlamentu Europejskiego i Rady (UE) 2016/679 z dnia 27 kwietnia 2016 r. w sprawie ochrony osób fizycznych w związku z przetwarzaniem danych osobowych i w sprawie swobodnego przepływu takich danych oraz uchylenia dyrektywy 95/46/WE</w:t>
      </w:r>
    </w:p>
    <w:p>
      <w:pPr>
        <w:pStyle w:val="ListParagraph"/>
        <w:numPr>
          <w:ilvl w:val="1"/>
          <w:numId w:val="1"/>
        </w:numPr>
        <w:ind w:hanging="508" w:left="792"/>
        <w:jc w:val="both"/>
        <w:rPr>
          <w:rFonts w:ascii="Times New Roman" w:hAnsi="Times New Roman"/>
          <w:sz w:val="22"/>
          <w:szCs w:val="22"/>
        </w:rPr>
      </w:pPr>
      <w:r>
        <w:rPr>
          <w:rFonts w:cs="Times New Roman" w:ascii="Times New Roman" w:hAnsi="Times New Roman"/>
          <w:sz w:val="22"/>
          <w:szCs w:val="22"/>
        </w:rPr>
        <w:t>Z tytułu niespełnienia przez Wykonawcę lub podwykonawcę wymogu zatrudnienia na podstawie umowy o pracę osób wykonujących wskazane w punkcie 3.13 SWZ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3.13 SWZ czynności.</w:t>
      </w:r>
    </w:p>
    <w:p>
      <w:pPr>
        <w:pStyle w:val="ListParagraph"/>
        <w:numPr>
          <w:ilvl w:val="1"/>
          <w:numId w:val="1"/>
        </w:numPr>
        <w:ind w:hanging="508" w:left="792"/>
        <w:jc w:val="both"/>
        <w:rPr>
          <w:rFonts w:ascii="Times New Roman" w:hAnsi="Times New Roman"/>
          <w:sz w:val="22"/>
          <w:szCs w:val="22"/>
        </w:rPr>
      </w:pPr>
      <w:r>
        <w:rPr>
          <w:rFonts w:cs="Times New Roman" w:ascii="Times New Roman" w:hAnsi="Times New Roman"/>
          <w:sz w:val="22"/>
          <w:szCs w:val="22"/>
        </w:rPr>
        <w:t>W przypadku uzasadnionych wątpliwości co do przestrzegania prawa pracy przez Wykonawcę lub podwykonawcę, Zamawiający może zwrócić się o przeprowadzenie kontroli przez Państwową Inspekcję Pracy.</w:t>
      </w:r>
    </w:p>
    <w:p>
      <w:pPr>
        <w:pStyle w:val="ListParagraph"/>
        <w:ind w:hanging="0" w:left="1076"/>
        <w:jc w:val="both"/>
        <w:rPr>
          <w:rFonts w:ascii="Times New Roman" w:hAnsi="Times New Roman" w:cs="Times New Roman"/>
          <w:sz w:val="22"/>
          <w:szCs w:val="22"/>
        </w:rPr>
      </w:pPr>
      <w:r>
        <w:rPr>
          <w:rFonts w:cs="Times New Roman" w:ascii="Times New Roman" w:hAnsi="Times New Roman"/>
          <w:sz w:val="22"/>
          <w:szCs w:val="22"/>
        </w:rPr>
      </w:r>
    </w:p>
    <w:p>
      <w:pPr>
        <w:pStyle w:val="ListParagraph"/>
        <w:numPr>
          <w:ilvl w:val="0"/>
          <w:numId w:val="1"/>
        </w:numPr>
        <w:jc w:val="both"/>
        <w:rPr>
          <w:rFonts w:ascii="Times New Roman" w:hAnsi="Times New Roman"/>
          <w:sz w:val="22"/>
          <w:szCs w:val="22"/>
        </w:rPr>
      </w:pPr>
      <w:r>
        <w:rPr>
          <w:rFonts w:cs="Times New Roman" w:ascii="Times New Roman" w:hAnsi="Times New Roman"/>
          <w:b/>
          <w:sz w:val="22"/>
          <w:szCs w:val="22"/>
        </w:rPr>
        <w:t>4. Zamówienia częściowe i oferta wariantowa:</w:t>
      </w:r>
      <w:r>
        <w:fldChar w:fldCharType="begin"/>
      </w:r>
      <w:r>
        <w:rPr>
          <w:sz w:val="22"/>
          <w:b/>
          <w:szCs w:val="22"/>
          <w:rFonts w:cs="Times New Roman" w:ascii="Times New Roman" w:hAnsi="Times New Roman"/>
        </w:rPr>
        <w:instrText xml:space="preserve"> TC "Zamówienia częściowe i oferta wariantowa:"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"Zamówienia częściowe i oferta wariantowa:"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"Zamówienia częściowe i oferta wariantowa:"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"Zamówienia częściowe i oferta wariantowa:"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"Zamówienia częściowe i oferta wariantowa:"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r>
        <w:fldChar w:fldCharType="begin"/>
      </w:r>
      <w:r>
        <w:rPr>
          <w:sz w:val="22"/>
          <w:b/>
          <w:szCs w:val="22"/>
          <w:rFonts w:cs="Times New Roman" w:ascii="Times New Roman" w:hAnsi="Times New Roman"/>
        </w:rPr>
        <w:instrText xml:space="preserve"> TC "Zamówienia częściowe i oferta wariantowa:" \l 9 </w:instrText>
      </w:r>
      <w:r>
        <w:rPr>
          <w:sz w:val="22"/>
          <w:b/>
          <w:szCs w:val="22"/>
          <w:rFonts w:cs="Times New Roman" w:ascii="Times New Roman" w:hAnsi="Times New Roman"/>
        </w:rPr>
        <w:fldChar w:fldCharType="separate"/>
      </w:r>
      <w:r>
        <w:rPr>
          <w:rFonts w:cs="Times New Roman" w:ascii="Times New Roman" w:hAnsi="Times New Roman"/>
          <w:b/>
          <w:sz w:val="22"/>
          <w:szCs w:val="22"/>
        </w:rPr>
      </w:r>
      <w:r>
        <w:rPr>
          <w:sz w:val="22"/>
          <w:b/>
          <w:szCs w:val="22"/>
          <w:rFonts w:cs="Times New Roman" w:ascii="Times New Roman" w:hAnsi="Times New Roman"/>
        </w:rPr>
        <w:fldChar w:fldCharType="end"/>
      </w:r>
    </w:p>
    <w:p>
      <w:pPr>
        <w:pStyle w:val="ListParagraph"/>
        <w:numPr>
          <w:ilvl w:val="1"/>
          <w:numId w:val="1"/>
        </w:numPr>
        <w:jc w:val="both"/>
        <w:rPr>
          <w:rFonts w:ascii="Times New Roman" w:hAnsi="Times New Roman"/>
          <w:sz w:val="22"/>
          <w:szCs w:val="22"/>
        </w:rPr>
      </w:pPr>
      <w:r>
        <w:rPr>
          <w:rFonts w:cs="Times New Roman" w:ascii="Times New Roman" w:hAnsi="Times New Roman"/>
          <w:sz w:val="22"/>
          <w:szCs w:val="22"/>
        </w:rPr>
        <w:t>Zamawiający nie dopuszcza możliwości składania ofert częściowych.</w:t>
      </w:r>
    </w:p>
    <w:p>
      <w:pPr>
        <w:pStyle w:val="ListParagraph"/>
        <w:numPr>
          <w:ilvl w:val="1"/>
          <w:numId w:val="1"/>
        </w:numPr>
        <w:spacing w:lineRule="auto" w:line="240" w:before="0" w:after="0"/>
        <w:contextualSpacing/>
        <w:jc w:val="both"/>
        <w:rPr>
          <w:rFonts w:ascii="Times New Roman" w:hAnsi="Times New Roman" w:cs="Times New Roman"/>
        </w:rPr>
      </w:pPr>
      <w:r>
        <w:rPr>
          <w:rFonts w:cs="Times New Roman" w:ascii="Times New Roman" w:hAnsi="Times New Roman"/>
        </w:rPr>
        <w:t>Powody niedokonania podziału zamówienia na części:</w:t>
      </w:r>
    </w:p>
    <w:p>
      <w:pPr>
        <w:pStyle w:val="ListParagraph"/>
        <w:numPr>
          <w:ilvl w:val="0"/>
          <w:numId w:val="1"/>
        </w:numPr>
        <w:spacing w:lineRule="auto" w:line="240" w:before="0" w:after="0"/>
        <w:contextualSpacing/>
        <w:jc w:val="both"/>
        <w:rPr>
          <w:rFonts w:ascii="Times New Roman" w:hAnsi="Times New Roman" w:cs="Times New Roman"/>
        </w:rPr>
      </w:pPr>
      <w:r>
        <w:rPr>
          <w:rFonts w:cs="Times New Roman" w:ascii="Times New Roman" w:hAnsi="Times New Roman"/>
        </w:rPr>
        <w:t>1) brak podziału na części nie wpływa na konkurencję;</w:t>
      </w:r>
    </w:p>
    <w:p>
      <w:pPr>
        <w:pStyle w:val="ListParagraph"/>
        <w:numPr>
          <w:ilvl w:val="0"/>
          <w:numId w:val="1"/>
        </w:numPr>
        <w:spacing w:lineRule="auto" w:line="240" w:before="0" w:after="0"/>
        <w:contextualSpacing/>
        <w:jc w:val="both"/>
        <w:rPr>
          <w:rFonts w:ascii="Times New Roman" w:hAnsi="Times New Roman" w:cs="Times New Roman"/>
        </w:rPr>
      </w:pPr>
      <w:r>
        <w:rPr>
          <w:rFonts w:cs="Times New Roman" w:ascii="Times New Roman" w:hAnsi="Times New Roman"/>
        </w:rPr>
        <w:t>2) brak podziału na części podyktowany jest względami technicznymi.</w:t>
      </w:r>
    </w:p>
    <w:p>
      <w:pPr>
        <w:pStyle w:val="ListParagraph"/>
        <w:numPr>
          <w:ilvl w:val="0"/>
          <w:numId w:val="1"/>
        </w:numPr>
        <w:spacing w:lineRule="auto" w:line="240" w:before="0" w:after="0"/>
        <w:contextualSpacing/>
        <w:jc w:val="both"/>
        <w:rPr>
          <w:rFonts w:ascii="Times New Roman" w:hAnsi="Times New Roman" w:cs="Times New Roman"/>
        </w:rPr>
      </w:pPr>
      <w:r>
        <w:rPr>
          <w:rFonts w:cs="Times New Roman" w:ascii="Times New Roman" w:hAnsi="Times New Roman"/>
        </w:rPr>
        <w:t>3) podział zamówienia na części groziłby nadmiernymi trudnościami technicznymi, potrzeba skoordynowania działań różnych wykonawców realizujących poszczególne części zamówienia mogłaby poważnie zagrozić właściwemu wykonaniu zamówienia.</w:t>
      </w:r>
    </w:p>
    <w:p>
      <w:pPr>
        <w:pStyle w:val="ListParagraph"/>
        <w:numPr>
          <w:ilvl w:val="1"/>
          <w:numId w:val="1"/>
        </w:numPr>
        <w:spacing w:lineRule="auto" w:line="240" w:before="0" w:after="0"/>
        <w:contextualSpacing/>
        <w:jc w:val="both"/>
        <w:rPr>
          <w:i w:val="false"/>
          <w:i w:val="false"/>
          <w:iCs w:val="false"/>
        </w:rPr>
      </w:pPr>
      <w:r>
        <w:rPr>
          <w:rFonts w:cs="Times New Roman" w:ascii="Times New Roman" w:hAnsi="Times New Roman"/>
          <w:i w:val="false"/>
          <w:iCs w:val="false"/>
        </w:rPr>
        <w:t>Zamawiający nie dopuszcza składania ofert wariantowych.</w:t>
      </w:r>
    </w:p>
    <w:p>
      <w:pPr>
        <w:pStyle w:val="ListParagraph"/>
        <w:numPr>
          <w:ilvl w:val="1"/>
          <w:numId w:val="1"/>
        </w:numPr>
        <w:jc w:val="both"/>
        <w:rPr/>
      </w:pPr>
      <w:r>
        <w:rPr>
          <w:rStyle w:val="Domylnaczcionkaakapitu"/>
          <w:rFonts w:eastAsia="Calibri" w:cs="Times New Roman" w:ascii="Times New Roman" w:hAnsi="Times New Roman"/>
          <w:b/>
          <w:bCs/>
          <w:i w:val="false"/>
          <w:iCs w:val="false"/>
          <w:caps w:val="false"/>
          <w:smallCaps w:val="false"/>
          <w:strike w:val="false"/>
          <w:dstrike w:val="false"/>
          <w:outline w:val="false"/>
          <w:shadow w:val="false"/>
          <w:color w:val="000000"/>
          <w:spacing w:val="-4"/>
          <w:kern w:val="0"/>
          <w:sz w:val="22"/>
          <w:szCs w:val="22"/>
          <w:u w:val="none"/>
          <w:shd w:fill="FFFFFF" w:val="clear"/>
          <w:em w:val="none"/>
          <w:lang w:val="pl-PL" w:eastAsia="en-US" w:bidi="ar-SA"/>
        </w:rPr>
        <w:t>Treść oferty musi odpowiadać treści Specyfikacji Warunków Zamówienia.</w:t>
      </w:r>
    </w:p>
    <w:p>
      <w:pPr>
        <w:pStyle w:val="ListParagraph"/>
        <w:numPr>
          <w:ilvl w:val="1"/>
          <w:numId w:val="1"/>
        </w:numPr>
        <w:jc w:val="both"/>
        <w:rPr>
          <w:i w:val="false"/>
          <w:i w:val="false"/>
          <w:iCs w:val="false"/>
        </w:rPr>
      </w:pPr>
      <w:r>
        <w:rPr>
          <w:rFonts w:cs="Times New Roman" w:ascii="Times New Roman" w:hAnsi="Times New Roman"/>
          <w:i w:val="false"/>
          <w:iCs w:val="false"/>
          <w:sz w:val="22"/>
          <w:szCs w:val="22"/>
        </w:rPr>
        <w:t>Zamawiający nie dopuszcza składania ofert wariantowych.</w:t>
      </w:r>
    </w:p>
    <w:p>
      <w:pPr>
        <w:pStyle w:val="ListParagraph"/>
        <w:numPr>
          <w:ilvl w:val="1"/>
          <w:numId w:val="1"/>
        </w:numPr>
        <w:jc w:val="both"/>
        <w:rPr>
          <w:i w:val="false"/>
          <w:i w:val="false"/>
          <w:iCs w:val="false"/>
        </w:rPr>
      </w:pPr>
      <w:r>
        <w:rPr>
          <w:rFonts w:eastAsia="Calibri" w:cs="Times New Roman" w:ascii="Times New Roman" w:hAnsi="Times New Roman"/>
          <w:b/>
          <w:i w:val="false"/>
          <w:iCs w:val="false"/>
          <w:sz w:val="22"/>
          <w:szCs w:val="22"/>
        </w:rPr>
        <w:t>Treść oferty musi odpowiadać treści Specyfikacji Warunków Zamówienia.</w:t>
      </w:r>
    </w:p>
    <w:p>
      <w:pPr>
        <w:pStyle w:val="Normal"/>
        <w:spacing w:lineRule="auto" w:line="240" w:before="0" w:after="0"/>
        <w:jc w:val="both"/>
        <w:rPr/>
      </w:pPr>
      <w:r>
        <w:rPr/>
      </w:r>
    </w:p>
    <w:p>
      <w:pPr>
        <w:pStyle w:val="ListParagraph"/>
        <w:numPr>
          <w:ilvl w:val="0"/>
          <w:numId w:val="0"/>
        </w:numPr>
        <w:spacing w:lineRule="auto" w:line="240" w:before="0" w:after="0"/>
        <w:ind w:hanging="0" w:left="360"/>
        <w:contextualSpacing/>
        <w:jc w:val="both"/>
        <w:rPr/>
      </w:pPr>
      <w:r>
        <w:rPr>
          <w:rFonts w:cs="Times New Roman" w:ascii="Times New Roman" w:hAnsi="Times New Roman"/>
          <w:b/>
        </w:rPr>
        <w:t>5. Termin wykonania zamówienia:</w:t>
      </w:r>
      <w:r>
        <w:fldChar w:fldCharType="begin"/>
      </w:r>
      <w:r>
        <w:rPr>
          <w:b/>
          <w:rFonts w:cs="Times New Roman" w:ascii="Times New Roman" w:hAnsi="Times New Roman"/>
        </w:rPr>
        <w:instrText xml:space="preserve"> TC "Termin wykonania zamówienia:"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"Termin wykonania zamówienia:"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"Termin wykonania zamówienia:"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"Termin wykonania zamówienia:"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"Termin wykonania zamówienia:"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"Termin wykonania zamówienia:"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widowControl/>
        <w:numPr>
          <w:ilvl w:val="0"/>
          <w:numId w:val="0"/>
        </w:numPr>
        <w:bidi w:val="0"/>
        <w:spacing w:lineRule="auto" w:line="240" w:before="0" w:after="0"/>
        <w:ind w:hanging="0" w:left="737" w:right="0"/>
        <w:contextualSpacing/>
        <w:jc w:val="both"/>
        <w:rPr>
          <w:color w:val="auto"/>
        </w:rPr>
      </w:pPr>
      <w:r>
        <w:rPr>
          <w:rFonts w:cs="Times New Roman" w:ascii="Times New Roman" w:hAnsi="Times New Roman"/>
          <w:color w:val="auto"/>
        </w:rPr>
        <w:t xml:space="preserve">Zamówienie dla każdej z części należy wykonać do </w:t>
      </w:r>
      <w:r>
        <w:rPr>
          <w:rFonts w:cs="Times New Roman" w:ascii="Times New Roman" w:hAnsi="Times New Roman"/>
          <w:b/>
          <w:bCs/>
          <w:color w:val="auto"/>
        </w:rPr>
        <w:t xml:space="preserve">30.09.2026r. </w:t>
      </w:r>
    </w:p>
    <w:p>
      <w:pPr>
        <w:pStyle w:val="Normal"/>
        <w:widowControl w:val="false"/>
        <w:spacing w:lineRule="auto" w:line="240" w:before="0" w:after="0"/>
        <w:jc w:val="both"/>
        <w:rPr>
          <w:color w:val="000000"/>
        </w:rPr>
      </w:pPr>
      <w:r>
        <w:rPr>
          <w:rFonts w:ascii="Times New Roman" w:hAnsi="Times New Roman"/>
          <w:color w:val="000000"/>
        </w:rPr>
        <w:t xml:space="preserve"> </w:t>
      </w:r>
      <w:r>
        <w:rPr>
          <w:rFonts w:ascii="Times New Roman" w:hAnsi="Times New Roman"/>
          <w:color w:val="000000"/>
        </w:rPr>
        <w:t>Z</w:t>
      </w:r>
      <w:r>
        <w:rPr>
          <w:rFonts w:ascii="Times New Roman" w:hAnsi="Times New Roman"/>
          <w:b/>
          <w:bCs/>
          <w:color w:val="000000"/>
        </w:rPr>
        <w:t xml:space="preserve">a termin wykonania uznaje się zakończenie robót budowlanych wraz z przygotowaniem pełnej dokumentacji niezbędnej do ostatecznego odbioru obiektu  i zgłoszenie Zamawiającemu w tym </w:t>
      </w:r>
      <w:r>
        <w:rPr>
          <w:rFonts w:cs="Times New Roman" w:ascii="Times New Roman" w:hAnsi="Times New Roman"/>
          <w:b/>
          <w:bCs/>
          <w:color w:val="000000"/>
        </w:rPr>
        <w:t>wykonanie inwentaryzacji geodezyjnej powykonawczej.</w:t>
      </w:r>
    </w:p>
    <w:p>
      <w:pPr>
        <w:pStyle w:val="ListParagraph"/>
        <w:numPr>
          <w:ilvl w:val="0"/>
          <w:numId w:val="0"/>
        </w:numPr>
        <w:spacing w:lineRule="auto" w:line="240" w:before="0" w:after="0"/>
        <w:ind w:hanging="0" w:left="360"/>
        <w:contextualSpacing/>
        <w:jc w:val="both"/>
        <w:rPr>
          <w:rFonts w:ascii="Times New Roman" w:hAnsi="Times New Roman" w:cs="Times New Roman"/>
          <w:b/>
        </w:rPr>
      </w:pPr>
      <w:r>
        <w:rPr>
          <w:rFonts w:cs="Times New Roman" w:ascii="Times New Roman" w:hAnsi="Times New Roman"/>
          <w:b/>
        </w:rPr>
        <w:t>6. Warunki udziału w postępowaniu:</w:t>
      </w:r>
      <w:r>
        <w:fldChar w:fldCharType="begin"/>
      </w:r>
      <w:r>
        <w:rPr>
          <w:b/>
          <w:rFonts w:cs="Times New Roman" w:ascii="Times New Roman" w:hAnsi="Times New Roman"/>
        </w:rPr>
        <w:instrText xml:space="preserve"> TC "Warunki udziału w postępowaniu:"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"Warunki udziału w postępowaniu:"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0"/>
          <w:numId w:val="0"/>
        </w:numPr>
        <w:spacing w:lineRule="auto" w:line="240" w:before="0" w:after="0"/>
        <w:ind w:hanging="0" w:left="792"/>
        <w:contextualSpacing/>
        <w:jc w:val="both"/>
        <w:rPr>
          <w:rFonts w:ascii="Times New Roman" w:hAnsi="Times New Roman" w:cs="Times New Roman"/>
        </w:rPr>
      </w:pPr>
      <w:r>
        <w:rPr>
          <w:rFonts w:cs="Times New Roman" w:ascii="Times New Roman" w:hAnsi="Times New Roman"/>
        </w:rPr>
        <w:t>6.1. O udzielenie zamówienia mogą ubiegać się Wykonawcy, którzy nie podlegają wykluczeniu, spełniają określone przez Zamawiającego warunki udziału w postępowaniu, oraz złożyli ofertę niepodlegającą odrzuceniu.</w:t>
      </w:r>
    </w:p>
    <w:p>
      <w:pPr>
        <w:pStyle w:val="ListParagraph"/>
        <w:numPr>
          <w:ilvl w:val="0"/>
          <w:numId w:val="0"/>
        </w:numPr>
        <w:spacing w:lineRule="auto" w:line="240" w:before="0" w:after="0"/>
        <w:ind w:hanging="0" w:left="0"/>
        <w:contextualSpacing/>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6.2.O udzielenie zamówienia mogą ubiegać się Wykonawcy, którzy spełniają warunki dotyczące:</w:t>
      </w:r>
    </w:p>
    <w:p>
      <w:pPr>
        <w:pStyle w:val="ListParagraph"/>
        <w:numPr>
          <w:ilvl w:val="2"/>
          <w:numId w:val="2"/>
        </w:numPr>
        <w:spacing w:lineRule="auto" w:line="240" w:before="0" w:after="0"/>
        <w:ind w:hanging="284" w:left="851"/>
        <w:contextualSpacing/>
        <w:jc w:val="both"/>
        <w:rPr/>
      </w:pPr>
      <w:r>
        <w:rPr>
          <w:rFonts w:cs="Times New Roman" w:ascii="Times New Roman" w:hAnsi="Times New Roman"/>
          <w:b/>
        </w:rPr>
        <w:t>zdolności technicznej lub zawodowej:</w:t>
      </w:r>
    </w:p>
    <w:p>
      <w:pPr>
        <w:pStyle w:val="Normal"/>
        <w:spacing w:lineRule="auto" w:line="240" w:before="0" w:after="0"/>
        <w:ind w:firstLine="708" w:left="84"/>
        <w:jc w:val="both"/>
        <w:rPr>
          <w:rFonts w:ascii="Times New Roman" w:hAnsi="Times New Roman" w:cs="Times New Roman"/>
        </w:rPr>
      </w:pPr>
      <w:r>
        <w:rPr>
          <w:rFonts w:cs="Times New Roman" w:ascii="Times New Roman" w:hAnsi="Times New Roman"/>
        </w:rPr>
        <w:t>Zamawiający uzna ten warunek za spełniony, jeżeli Wykonawca wykaże, że:</w:t>
      </w:r>
    </w:p>
    <w:p>
      <w:pPr>
        <w:pStyle w:val="ListParagraph"/>
        <w:widowControl/>
        <w:numPr>
          <w:ilvl w:val="3"/>
          <w:numId w:val="2"/>
        </w:numPr>
        <w:bidi w:val="0"/>
        <w:spacing w:lineRule="auto" w:line="240" w:before="0" w:after="0"/>
        <w:ind w:hanging="454" w:left="1247" w:right="0"/>
        <w:contextualSpacing/>
        <w:jc w:val="both"/>
        <w:rPr>
          <w:color w:val="000000"/>
        </w:rPr>
      </w:pPr>
      <w:r>
        <w:rPr>
          <w:rFonts w:eastAsia="Calibri" w:cs="" w:ascii="Times New Roman" w:hAnsi="Times New Roman" w:cstheme="minorBidi" w:eastAsiaTheme="minorHAnsi"/>
          <w:b w:val="false"/>
          <w:bCs w:val="false"/>
          <w:color w:val="000000"/>
          <w:kern w:val="0"/>
          <w:sz w:val="22"/>
          <w:szCs w:val="22"/>
          <w:shd w:fill="auto" w:val="clear"/>
          <w:lang w:val="pl-PL" w:eastAsia="en-US" w:bidi="ar-SA"/>
        </w:rPr>
        <w:t xml:space="preserve">wykonał w okresie ostatnich 5 lat przed upływem terminu składania ofert, a jeżeli okres prowadzenia działalności jest krótszy – </w:t>
      </w:r>
      <w:r>
        <w:rPr>
          <w:rFonts w:eastAsia="Calibri" w:cs="" w:ascii="Times New Roman" w:hAnsi="Times New Roman" w:cstheme="minorBidi" w:eastAsiaTheme="minorHAnsi"/>
          <w:b/>
          <w:bCs/>
          <w:color w:val="000000"/>
          <w:kern w:val="0"/>
          <w:sz w:val="22"/>
          <w:szCs w:val="22"/>
          <w:shd w:fill="auto" w:val="clear"/>
          <w:lang w:val="pl-PL" w:eastAsia="en-US" w:bidi="ar-SA"/>
        </w:rPr>
        <w:t xml:space="preserve">w tym okresie co najmniej dwie roboty budowlane polegające na termomodernizacji budynków  wartości brutto nie mniejszej niż 300 000,00 zł każda z robót; </w:t>
      </w:r>
      <w:r>
        <w:rPr>
          <w:rFonts w:eastAsia="Cambria" w:cs="Calibri" w:ascii="Times New Roman" w:hAnsi="Times New Roman"/>
          <w:b/>
          <w:bCs/>
          <w:color w:val="000000"/>
          <w:kern w:val="0"/>
          <w:sz w:val="22"/>
          <w:szCs w:val="22"/>
          <w:shd w:fill="auto" w:val="clear"/>
          <w:lang w:val="pl-PL" w:eastAsia="en-US" w:bidi="ar-SA"/>
        </w:rPr>
        <w:t>(pod pojęciem termomodernizacji rozumie się roboty budowlane obejmujące swoim zakresem co najmniej ocieplenie ścian, wymianę stolarki okiennej i wymianę instalacji centralnego ogrzewania)</w:t>
      </w:r>
    </w:p>
    <w:p>
      <w:pPr>
        <w:pStyle w:val="ListParagraph"/>
        <w:widowControl/>
        <w:numPr>
          <w:ilvl w:val="3"/>
          <w:numId w:val="2"/>
        </w:numPr>
        <w:bidi w:val="0"/>
        <w:spacing w:lineRule="auto" w:line="240" w:before="0" w:after="0"/>
        <w:ind w:hanging="454" w:left="1247" w:right="0"/>
        <w:contextualSpacing/>
        <w:jc w:val="both"/>
        <w:rPr>
          <w:rFonts w:ascii="Times New Roman" w:hAnsi="Times New Roman"/>
        </w:rPr>
      </w:pPr>
      <w:r>
        <w:rPr>
          <w:rFonts w:eastAsia="Calibri" w:cs="Times New Roman" w:ascii="Times New Roman" w:hAnsi="Times New Roman" w:eastAsiaTheme="minorHAnsi"/>
          <w:b w:val="false"/>
          <w:bCs w:val="false"/>
          <w:color w:val="auto"/>
          <w:kern w:val="0"/>
          <w:sz w:val="22"/>
          <w:szCs w:val="22"/>
          <w:lang w:val="pl-PL" w:eastAsia="en-US" w:bidi="ar-SA"/>
        </w:rPr>
        <w:t xml:space="preserve">skieruje do realizacji zamówienia osobę pełniącą funkcję </w:t>
      </w:r>
      <w:r>
        <w:rPr>
          <w:rFonts w:eastAsia="Calibri" w:cs="Times New Roman" w:ascii="Times New Roman" w:hAnsi="Times New Roman" w:eastAsiaTheme="minorHAnsi"/>
          <w:b/>
          <w:bCs/>
          <w:color w:val="auto"/>
          <w:kern w:val="0"/>
          <w:sz w:val="22"/>
          <w:szCs w:val="22"/>
          <w:lang w:val="pl-PL" w:eastAsia="en-US" w:bidi="ar-SA"/>
        </w:rPr>
        <w:t>kierownika budowy</w:t>
      </w:r>
      <w:r>
        <w:rPr>
          <w:rFonts w:eastAsia="Calibri" w:cs="Times New Roman" w:ascii="Times New Roman" w:hAnsi="Times New Roman" w:eastAsiaTheme="minorHAnsi"/>
          <w:b w:val="false"/>
          <w:bCs w:val="false"/>
          <w:color w:val="auto"/>
          <w:kern w:val="0"/>
          <w:sz w:val="22"/>
          <w:szCs w:val="22"/>
          <w:lang w:val="pl-PL" w:eastAsia="en-US" w:bidi="ar-SA"/>
        </w:rPr>
        <w:t>, posiadającą uprawnienia budowlane</w:t>
      </w:r>
      <w:r>
        <w:rPr>
          <w:rFonts w:eastAsia="Calibri" w:cs="Times New Roman" w:ascii="Times New Roman" w:hAnsi="Times New Roman" w:eastAsiaTheme="minorHAnsi"/>
          <w:b/>
          <w:bCs/>
          <w:color w:val="auto"/>
          <w:kern w:val="0"/>
          <w:sz w:val="22"/>
          <w:szCs w:val="22"/>
          <w:lang w:val="pl-PL" w:eastAsia="en-US" w:bidi="ar-SA"/>
        </w:rPr>
        <w:t xml:space="preserve"> do kierowania robotami w specjalności konstrukcyjno-budowlanej lub odpowiadające </w:t>
      </w:r>
      <w:r>
        <w:rPr>
          <w:rFonts w:eastAsia="Calibri" w:cs="Times New Roman" w:ascii="Times New Roman" w:hAnsi="Times New Roman" w:eastAsiaTheme="minorHAnsi"/>
          <w:b w:val="false"/>
          <w:bCs w:val="false"/>
          <w:color w:val="auto"/>
          <w:kern w:val="0"/>
          <w:sz w:val="22"/>
          <w:szCs w:val="22"/>
          <w:lang w:val="pl-PL" w:eastAsia="en-US" w:bidi="ar-SA"/>
        </w:rPr>
        <w:t>im ważne uprawnienia budowlane, które zostały wydane na podstawie wcześniej obowiązujących przepisów,</w:t>
      </w:r>
    </w:p>
    <w:p>
      <w:pPr>
        <w:pStyle w:val="ListParagraph"/>
        <w:widowControl/>
        <w:numPr>
          <w:ilvl w:val="3"/>
          <w:numId w:val="2"/>
        </w:numPr>
        <w:bidi w:val="0"/>
        <w:spacing w:lineRule="auto" w:line="240" w:before="0" w:after="0"/>
        <w:ind w:hanging="454" w:left="1247" w:right="0"/>
        <w:contextualSpacing/>
        <w:jc w:val="both"/>
        <w:rPr>
          <w:rFonts w:ascii="Times New Roman" w:hAnsi="Times New Roman"/>
        </w:rPr>
      </w:pPr>
      <w:r>
        <w:rPr>
          <w:rFonts w:eastAsia="Calibri" w:cs="Times New Roman" w:ascii="Times New Roman" w:hAnsi="Times New Roman" w:eastAsiaTheme="minorHAnsi"/>
          <w:b w:val="false"/>
          <w:bCs w:val="false"/>
          <w:color w:val="auto"/>
          <w:kern w:val="0"/>
          <w:sz w:val="22"/>
          <w:szCs w:val="22"/>
          <w:lang w:val="pl-PL" w:eastAsia="en-US" w:bidi="ar-SA"/>
        </w:rPr>
        <w:t xml:space="preserve">skieruje do realizacji zamówienia osobę pełniącą funkcję </w:t>
      </w:r>
      <w:r>
        <w:rPr>
          <w:rFonts w:eastAsia="Calibri" w:cs="Times New Roman" w:ascii="Times New Roman" w:hAnsi="Times New Roman" w:eastAsiaTheme="minorHAnsi"/>
          <w:b/>
          <w:bCs/>
          <w:color w:val="auto"/>
          <w:kern w:val="0"/>
          <w:sz w:val="22"/>
          <w:szCs w:val="22"/>
          <w:lang w:val="pl-PL" w:eastAsia="en-US" w:bidi="ar-SA"/>
        </w:rPr>
        <w:t>kierownika budowy</w:t>
      </w:r>
      <w:r>
        <w:rPr>
          <w:rFonts w:eastAsia="Calibri" w:cs="Times New Roman" w:ascii="Times New Roman" w:hAnsi="Times New Roman" w:eastAsiaTheme="minorHAnsi"/>
          <w:b w:val="false"/>
          <w:bCs w:val="false"/>
          <w:color w:val="auto"/>
          <w:kern w:val="0"/>
          <w:sz w:val="22"/>
          <w:szCs w:val="22"/>
          <w:lang w:val="pl-PL" w:eastAsia="en-US" w:bidi="ar-SA"/>
        </w:rPr>
        <w:t xml:space="preserve">, posiadającą uprawnienia budowlane </w:t>
      </w:r>
      <w:r>
        <w:rPr>
          <w:rFonts w:eastAsia="Calibri" w:cs="Times New Roman" w:ascii="Times New Roman" w:hAnsi="Times New Roman" w:eastAsiaTheme="minorHAnsi"/>
          <w:b/>
          <w:bCs/>
          <w:color w:val="auto"/>
          <w:kern w:val="0"/>
          <w:sz w:val="22"/>
          <w:szCs w:val="22"/>
          <w:lang w:val="pl-PL" w:eastAsia="en-US" w:bidi="ar-SA"/>
        </w:rPr>
        <w:t>do kierowania robotami w specjalności sanitarnej lub odpowiadające</w:t>
      </w:r>
      <w:r>
        <w:rPr>
          <w:rFonts w:eastAsia="Calibri" w:cs="Times New Roman" w:ascii="Times New Roman" w:hAnsi="Times New Roman" w:eastAsiaTheme="minorHAnsi"/>
          <w:b w:val="false"/>
          <w:bCs w:val="false"/>
          <w:color w:val="auto"/>
          <w:kern w:val="0"/>
          <w:sz w:val="22"/>
          <w:szCs w:val="22"/>
          <w:lang w:val="pl-PL" w:eastAsia="en-US" w:bidi="ar-SA"/>
        </w:rPr>
        <w:t xml:space="preserve"> im ważne uprawnienia budowlane, które zostały wydane na podstawie wcześniej obowiązujących przepisów.</w:t>
      </w:r>
    </w:p>
    <w:p>
      <w:pPr>
        <w:pStyle w:val="ListParagraph"/>
        <w:widowControl/>
        <w:numPr>
          <w:ilvl w:val="3"/>
          <w:numId w:val="2"/>
        </w:numPr>
        <w:bidi w:val="0"/>
        <w:spacing w:lineRule="auto" w:line="240" w:before="0" w:after="0"/>
        <w:ind w:hanging="454" w:left="1247" w:right="0"/>
        <w:contextualSpacing/>
        <w:jc w:val="both"/>
        <w:rPr>
          <w:rFonts w:ascii="Times New Roman" w:hAnsi="Times New Roman"/>
        </w:rPr>
      </w:pPr>
      <w:r>
        <w:rPr>
          <w:rFonts w:eastAsia="Calibri" w:cs="Times New Roman" w:ascii="Times New Roman" w:hAnsi="Times New Roman" w:eastAsiaTheme="minorHAnsi"/>
          <w:b w:val="false"/>
          <w:bCs w:val="false"/>
          <w:color w:val="auto"/>
          <w:kern w:val="0"/>
          <w:sz w:val="22"/>
          <w:szCs w:val="22"/>
          <w:lang w:val="pl-PL" w:eastAsia="en-US" w:bidi="ar-SA"/>
        </w:rPr>
        <w:t xml:space="preserve">skieruje do realizacji zamówienia osobę pełniącą funkcję </w:t>
      </w:r>
      <w:r>
        <w:rPr>
          <w:rFonts w:eastAsia="Calibri" w:cs="Times New Roman" w:ascii="Times New Roman" w:hAnsi="Times New Roman" w:eastAsiaTheme="minorHAnsi"/>
          <w:b/>
          <w:bCs/>
          <w:color w:val="auto"/>
          <w:kern w:val="0"/>
          <w:sz w:val="22"/>
          <w:szCs w:val="22"/>
          <w:lang w:val="pl-PL" w:eastAsia="en-US" w:bidi="ar-SA"/>
        </w:rPr>
        <w:t>kierownika budowy</w:t>
      </w:r>
      <w:r>
        <w:rPr>
          <w:rFonts w:eastAsia="Calibri" w:cs="Times New Roman" w:ascii="Times New Roman" w:hAnsi="Times New Roman" w:eastAsiaTheme="minorHAnsi"/>
          <w:b w:val="false"/>
          <w:bCs w:val="false"/>
          <w:color w:val="auto"/>
          <w:kern w:val="0"/>
          <w:sz w:val="22"/>
          <w:szCs w:val="22"/>
          <w:lang w:val="pl-PL" w:eastAsia="en-US" w:bidi="ar-SA"/>
        </w:rPr>
        <w:t xml:space="preserve">, posiadającą uprawnienia budowlane </w:t>
      </w:r>
      <w:r>
        <w:rPr>
          <w:rFonts w:eastAsia="Calibri" w:cs="Times New Roman" w:ascii="Times New Roman" w:hAnsi="Times New Roman" w:eastAsiaTheme="minorHAnsi"/>
          <w:b/>
          <w:bCs/>
          <w:color w:val="auto"/>
          <w:kern w:val="0"/>
          <w:sz w:val="22"/>
          <w:szCs w:val="22"/>
          <w:lang w:val="pl-PL" w:eastAsia="en-US" w:bidi="ar-SA"/>
        </w:rPr>
        <w:t>do kierowania robotami w specjalności elektrycznej lub odpowiadające</w:t>
      </w:r>
      <w:r>
        <w:rPr>
          <w:rFonts w:eastAsia="Calibri" w:cs="Times New Roman" w:ascii="Times New Roman" w:hAnsi="Times New Roman" w:eastAsiaTheme="minorHAnsi"/>
          <w:b w:val="false"/>
          <w:bCs w:val="false"/>
          <w:color w:val="auto"/>
          <w:kern w:val="0"/>
          <w:sz w:val="22"/>
          <w:szCs w:val="22"/>
          <w:lang w:val="pl-PL" w:eastAsia="en-US" w:bidi="ar-SA"/>
        </w:rPr>
        <w:t xml:space="preserve"> im ważne uprawnienia budowlane, które zostały wydane na podstawie wcześniej obowiązujących przepisów.</w:t>
      </w:r>
    </w:p>
    <w:p>
      <w:pPr>
        <w:pStyle w:val="ListParagraph"/>
        <w:widowControl/>
        <w:numPr>
          <w:ilvl w:val="0"/>
          <w:numId w:val="0"/>
        </w:numPr>
        <w:bidi w:val="0"/>
        <w:spacing w:lineRule="auto" w:line="240" w:before="0" w:after="0"/>
        <w:ind w:hanging="0" w:left="1247" w:right="0"/>
        <w:contextualSpacing/>
        <w:jc w:val="both"/>
        <w:rPr>
          <w:rFonts w:ascii="Times New Roman" w:hAnsi="Times New Roman" w:cs="Times New Roman"/>
        </w:rPr>
      </w:pPr>
      <w:r>
        <w:rPr>
          <w:rFonts w:cs="Times New Roman" w:ascii="Times New Roman" w:hAnsi="Times New Roman"/>
        </w:rPr>
      </w:r>
    </w:p>
    <w:p>
      <w:pPr>
        <w:pStyle w:val="ListParagraph"/>
        <w:numPr>
          <w:ilvl w:val="0"/>
          <w:numId w:val="0"/>
        </w:numPr>
        <w:spacing w:lineRule="auto" w:line="240" w:before="0" w:after="0"/>
        <w:ind w:hanging="0" w:left="360"/>
        <w:contextualSpacing/>
        <w:jc w:val="both"/>
        <w:rPr>
          <w:rFonts w:ascii="Times New Roman" w:hAnsi="Times New Roman" w:cs="Times New Roman"/>
          <w:b/>
        </w:rPr>
      </w:pPr>
      <w:r>
        <w:rPr>
          <w:rFonts w:cs="Times New Roman" w:ascii="Times New Roman" w:hAnsi="Times New Roman"/>
          <w:b/>
        </w:rPr>
        <w:t>7. Przesłanki wykluczenia Wykonawców:</w:t>
      </w:r>
      <w:r>
        <w:fldChar w:fldCharType="begin"/>
      </w:r>
      <w:r>
        <w:rPr>
          <w:b/>
          <w:rFonts w:cs="Times New Roman" w:ascii="Times New Roman" w:hAnsi="Times New Roman"/>
        </w:rPr>
        <w:instrText xml:space="preserve"> TC "Przesłanki wykluczenia Wykonawców:"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"Przesłanki wykluczenia Wykonawców:"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"Przesłanki wykluczenia Wykonawców:"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"Warunki udziału w postępowaniu:"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"Warunki udziału w postępowaniu:"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"Warunki udziału w postępowaniu:"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"Warunki udziału w postępowaniu:"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"Przesłanki wykluczenia Wykonawców:"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0"/>
          <w:numId w:val="0"/>
        </w:numPr>
        <w:spacing w:lineRule="auto" w:line="240" w:before="0" w:after="0"/>
        <w:ind w:hanging="0" w:left="0"/>
        <w:contextualSpacing/>
        <w:jc w:val="both"/>
        <w:rPr/>
      </w:pPr>
      <w:r>
        <w:rPr>
          <w:rFonts w:cs="Times New Roman" w:ascii="Times New Roman" w:hAnsi="Times New Roman"/>
        </w:rPr>
        <w:t xml:space="preserve">          </w:t>
      </w:r>
      <w:r>
        <w:rPr>
          <w:rFonts w:cs="Times New Roman" w:ascii="Times New Roman" w:hAnsi="Times New Roman"/>
        </w:rPr>
        <w:t>1. Zgodnie z art. 108 ust. 1 Ustawy z  postępowania o udzielenie zamówienia wyklucza się wykonawcę:</w:t>
      </w:r>
    </w:p>
    <w:p>
      <w:pPr>
        <w:pStyle w:val="ListParagraph"/>
        <w:spacing w:lineRule="auto" w:line="240" w:before="0" w:after="0"/>
        <w:contextualSpacing/>
        <w:jc w:val="both"/>
        <w:rPr/>
      </w:pPr>
      <w:r>
        <w:rPr>
          <w:rFonts w:cs="Times New Roman" w:ascii="Times New Roman" w:hAnsi="Times New Roman"/>
        </w:rPr>
        <w:t>1) będącego osobą fizyczną, którego prawomocnie skazano za przestępstwo:</w:t>
      </w:r>
    </w:p>
    <w:p>
      <w:pPr>
        <w:pStyle w:val="ListParagraph"/>
        <w:spacing w:lineRule="auto" w:line="240" w:before="0" w:after="0"/>
        <w:contextualSpacing/>
        <w:jc w:val="both"/>
        <w:rPr/>
      </w:pPr>
      <w:r>
        <w:rPr>
          <w:rFonts w:cs="Times New Roman" w:ascii="Times New Roman" w:hAnsi="Times New Roman"/>
        </w:rPr>
        <w:t>a) udziału w zorganizowanej grupie przestępczej albo związku mającym na celu popełnienie przestępstwa lub przestępstwa skarbowego, o którym mowa w art. 258 Kodeksu karnego,</w:t>
      </w:r>
    </w:p>
    <w:p>
      <w:pPr>
        <w:pStyle w:val="ListParagraph"/>
        <w:spacing w:lineRule="auto" w:line="240" w:before="0" w:after="0"/>
        <w:contextualSpacing/>
        <w:jc w:val="both"/>
        <w:rPr/>
      </w:pPr>
      <w:r>
        <w:rPr>
          <w:rFonts w:cs="Times New Roman" w:ascii="Times New Roman" w:hAnsi="Times New Roman"/>
        </w:rPr>
        <w:t>b) handlu ludźmi, o którym mowa w art. 189a Kodeksu karnego,</w:t>
      </w:r>
    </w:p>
    <w:p>
      <w:pPr>
        <w:pStyle w:val="ListParagraph"/>
        <w:spacing w:lineRule="auto" w:line="240" w:before="0" w:after="0"/>
        <w:contextualSpacing/>
        <w:jc w:val="both"/>
        <w:rPr/>
      </w:pPr>
      <w:r>
        <w:rPr>
          <w:rFonts w:cs="Times New Roman" w:ascii="Times New Roman" w:hAnsi="Times New Roman"/>
        </w:rPr>
        <w:t>c) o którym mowa w art. 228–230a, art. 250a Kodeksu karnego lub w art. 46 lub art. 48 ustawy z dnia 25 czerwca 2010 r. o sporcie,</w:t>
      </w:r>
    </w:p>
    <w:p>
      <w:pPr>
        <w:pStyle w:val="ListParagraph"/>
        <w:spacing w:lineRule="auto" w:line="240" w:before="0" w:after="0"/>
        <w:contextualSpacing/>
        <w:jc w:val="both"/>
        <w:rPr/>
      </w:pPr>
      <w:r>
        <w:rPr>
          <w:rFonts w:cs="Times New Roman" w:ascii="Times New Roman" w:hAnsi="Times New Roman"/>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ListParagraph"/>
        <w:spacing w:lineRule="auto" w:line="240" w:before="0" w:after="0"/>
        <w:contextualSpacing/>
        <w:jc w:val="both"/>
        <w:rPr/>
      </w:pPr>
      <w:r>
        <w:rPr>
          <w:rFonts w:cs="Times New Roman" w:ascii="Times New Roman" w:hAnsi="Times New Roman"/>
        </w:rPr>
        <w:t>e) o charakterze terrorystycznym, o którym mowa w art. 115 § 20 Kodeksu karnego, lub mające na celu popełnienie tego przestępstwa,</w:t>
      </w:r>
    </w:p>
    <w:p>
      <w:pPr>
        <w:pStyle w:val="ListParagraph"/>
        <w:spacing w:lineRule="auto" w:line="240" w:before="0" w:after="0"/>
        <w:contextualSpacing/>
        <w:jc w:val="both"/>
        <w:rPr/>
      </w:pPr>
      <w:r>
        <w:rPr>
          <w:rFonts w:cs="Times New Roman" w:ascii="Times New Roman" w:hAnsi="Times New Roman"/>
        </w:rPr>
        <w:t>f) powierzenia wykonywania pracy małoletniemu cudzoziemcowi, o którym mowa w art. 9 ust. 2 ustawy z dnia 15 czerwca 2012 r. o skutkach powierzania wykonywania pracy cudzoziemcom przebywającym wbrew przepisom na terytorium Rzeczypospolitej Polskiej (Dz. U. poz. 769),</w:t>
      </w:r>
    </w:p>
    <w:p>
      <w:pPr>
        <w:pStyle w:val="ListParagraph"/>
        <w:spacing w:lineRule="auto" w:line="240" w:before="0" w:after="0"/>
        <w:contextualSpacing/>
        <w:jc w:val="both"/>
        <w:rPr/>
      </w:pPr>
      <w:r>
        <w:rPr>
          <w:rFonts w:cs="Times New Roman" w:ascii="Times New Roman" w:hAnsi="Times New Roma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ListParagraph"/>
        <w:spacing w:lineRule="auto" w:line="240" w:before="0" w:after="0"/>
        <w:contextualSpacing/>
        <w:jc w:val="both"/>
        <w:rPr/>
      </w:pPr>
      <w:r>
        <w:rPr>
          <w:rFonts w:cs="Times New Roman" w:ascii="Times New Roman" w:hAnsi="Times New Roman"/>
        </w:rPr>
        <w:t>h) o którym mowa w art. 9 ust. 1 i 3 lub art. 10 ustawy z dnia 15 czerwca 2012 r. o skutkach powierzania wykonywania pracy cudzoziemcom przebywającym wbrew przepisom na terytorium Rzeczypospolitej Polskiej</w:t>
      </w:r>
    </w:p>
    <w:p>
      <w:pPr>
        <w:pStyle w:val="ListParagraph"/>
        <w:spacing w:lineRule="auto" w:line="240" w:before="0" w:after="0"/>
        <w:contextualSpacing/>
        <w:jc w:val="both"/>
        <w:rPr/>
      </w:pPr>
      <w:r>
        <w:rPr>
          <w:rFonts w:cs="Times New Roman" w:ascii="Times New Roman" w:hAnsi="Times New Roman"/>
        </w:rPr>
        <w:t xml:space="preserve">– </w:t>
      </w:r>
      <w:r>
        <w:rPr>
          <w:rFonts w:cs="Times New Roman" w:ascii="Times New Roman" w:hAnsi="Times New Roman"/>
        </w:rPr>
        <w:t>lub za odpowiedni czyn zabroniony określony w przepisach prawa obcego;</w:t>
      </w:r>
    </w:p>
    <w:p>
      <w:pPr>
        <w:pStyle w:val="ListParagraph"/>
        <w:spacing w:lineRule="auto" w:line="240" w:before="0" w:after="0"/>
        <w:contextualSpacing/>
        <w:jc w:val="both"/>
        <w:rPr/>
      </w:pPr>
      <w:r>
        <w:rPr>
          <w:rFonts w:cs="Times New Roman" w:ascii="Times New Roman" w:hAnsi="Times New Roma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pPr>
        <w:pStyle w:val="ListParagraph"/>
        <w:spacing w:lineRule="auto" w:line="240" w:before="0" w:after="0"/>
        <w:contextualSpacing/>
        <w:jc w:val="both"/>
        <w:rPr/>
      </w:pPr>
      <w:r>
        <w:rPr>
          <w:rFonts w:cs="Times New Roman" w:ascii="Times New Roman" w:hAnsi="Times New Roma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ListParagraph"/>
        <w:spacing w:lineRule="auto" w:line="240" w:before="0" w:after="0"/>
        <w:contextualSpacing/>
        <w:jc w:val="both"/>
        <w:rPr/>
      </w:pPr>
      <w:r>
        <w:rPr>
          <w:rFonts w:cs="Times New Roman" w:ascii="Times New Roman" w:hAnsi="Times New Roman"/>
        </w:rPr>
        <w:t>4) wobec którego prawomocnie orzeczono zakaz ubiegania się o zamówienia publiczne;</w:t>
      </w:r>
    </w:p>
    <w:p>
      <w:pPr>
        <w:pStyle w:val="ListParagraph"/>
        <w:spacing w:lineRule="auto" w:line="240" w:before="0" w:after="0"/>
        <w:contextualSpacing/>
        <w:jc w:val="both"/>
        <w:rPr/>
      </w:pPr>
      <w:r>
        <w:rPr>
          <w:rFonts w:cs="Times New Roman" w:ascii="Times New Roman" w:hAnsi="Times New Roma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pPr>
        <w:pStyle w:val="ListParagraph"/>
        <w:spacing w:lineRule="auto" w:line="240" w:before="0" w:after="0"/>
        <w:contextualSpacing/>
        <w:jc w:val="both"/>
        <w:rPr/>
      </w:pPr>
      <w:r>
        <w:rPr>
          <w:rFonts w:cs="Times New Roman" w:ascii="Times New Roman" w:hAnsi="Times New Roma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ListParagraph"/>
        <w:widowControl/>
        <w:numPr>
          <w:ilvl w:val="0"/>
          <w:numId w:val="0"/>
        </w:numPr>
        <w:suppressAutoHyphens w:val="true"/>
        <w:bidi w:val="0"/>
        <w:spacing w:lineRule="auto" w:line="240" w:before="0" w:after="0"/>
        <w:ind w:hanging="0" w:left="737" w:right="0"/>
        <w:contextualSpacing/>
        <w:jc w:val="both"/>
        <w:rPr/>
      </w:pPr>
      <w:r>
        <w:rPr>
          <w:rFonts w:cs="Times New Roman" w:ascii="Times New Roman" w:hAnsi="Times New Roman"/>
        </w:rPr>
        <w:t>2. Dodatkowo Zamawiający wykluczy Wykonawcę, w stosunku do którego zachodzi okoliczność, o   której  mowa w art. 109 ust. 1 pkt 8,9,10, tj.:</w:t>
      </w:r>
    </w:p>
    <w:p>
      <w:pPr>
        <w:pStyle w:val="ListParagraph"/>
        <w:widowControl/>
        <w:numPr>
          <w:ilvl w:val="0"/>
          <w:numId w:val="0"/>
        </w:numPr>
        <w:bidi w:val="0"/>
        <w:spacing w:lineRule="auto" w:line="240" w:before="0" w:after="0"/>
        <w:ind w:hanging="0" w:left="794" w:right="0"/>
        <w:contextualSpacing/>
        <w:jc w:val="both"/>
        <w:rPr/>
      </w:pPr>
      <w:r>
        <w:rPr>
          <w:rFonts w:eastAsia="Calibri" w:cs="Times New Roman" w:ascii="Times New Roman" w:hAnsi="Times New Roman" w:eastAsiaTheme="minorHAnsi"/>
          <w:color w:val="auto"/>
          <w:kern w:val="0"/>
          <w:sz w:val="22"/>
          <w:szCs w:val="22"/>
          <w:lang w:val="pl-PL" w:eastAsia="en-US" w:bidi="ar-SA"/>
        </w:rPr>
        <w:t>1</w:t>
      </w:r>
      <w:r>
        <w:rPr>
          <w:rFonts w:cs="Times New Roman" w:ascii="Times New Roman" w:hAnsi="Times New Roman"/>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pPr>
        <w:pStyle w:val="ListParagraph"/>
        <w:widowControl/>
        <w:numPr>
          <w:ilvl w:val="0"/>
          <w:numId w:val="0"/>
        </w:numPr>
        <w:bidi w:val="0"/>
        <w:spacing w:lineRule="auto" w:line="240" w:before="0" w:after="0"/>
        <w:ind w:hanging="0" w:left="794" w:right="0"/>
        <w:contextualSpacing/>
        <w:jc w:val="both"/>
        <w:rPr/>
      </w:pPr>
      <w:r>
        <w:rPr>
          <w:rFonts w:eastAsia="Calibri" w:cs="Times New Roman" w:ascii="Times New Roman" w:hAnsi="Times New Roman" w:eastAsiaTheme="minorHAnsi"/>
          <w:color w:val="auto"/>
          <w:kern w:val="0"/>
          <w:sz w:val="22"/>
          <w:szCs w:val="22"/>
          <w:lang w:val="pl-PL" w:eastAsia="en-US" w:bidi="ar-SA"/>
        </w:rPr>
        <w:t>2</w:t>
      </w:r>
      <w:r>
        <w:rPr>
          <w:rFonts w:cs="Times New Roman" w:ascii="Times New Roman" w:hAnsi="Times New Roman"/>
        </w:rPr>
        <w:t>) który bezprawnie wpływał lub próbował wpływać na czynności zamawiającego lub próbował pozyskać lub pozyskał informacje poufne, mogące dać mu przewagę w postępowaniu o udzielenie zamówienia;</w:t>
      </w:r>
    </w:p>
    <w:p>
      <w:pPr>
        <w:pStyle w:val="ListParagraph"/>
        <w:spacing w:lineRule="auto" w:line="240" w:before="0" w:after="0"/>
        <w:contextualSpacing/>
        <w:jc w:val="both"/>
        <w:rPr/>
      </w:pPr>
      <w:r>
        <w:rPr>
          <w:rFonts w:eastAsia="Calibri" w:cs="Times New Roman" w:ascii="Times New Roman" w:hAnsi="Times New Roman" w:eastAsiaTheme="minorHAnsi"/>
          <w:color w:val="auto"/>
          <w:kern w:val="0"/>
          <w:sz w:val="22"/>
          <w:szCs w:val="22"/>
          <w:lang w:val="pl-PL" w:eastAsia="en-US" w:bidi="ar-SA"/>
        </w:rPr>
        <w:t>3</w:t>
      </w:r>
      <w:r>
        <w:rPr>
          <w:rFonts w:cs="Times New Roman" w:ascii="Times New Roman" w:hAnsi="Times New Roman"/>
        </w:rPr>
        <w:t>) który w wyniku lekkomyślności lub niedbalstwa przedstawił informacje wprowadzające w błąd, co mogło mieć istotny wpływ na decyzje podejmowane przez zamawiającego w postępowaniu o udzielenie zamówienia.</w:t>
      </w:r>
    </w:p>
    <w:p>
      <w:pPr>
        <w:pStyle w:val="ListParagraph"/>
        <w:numPr>
          <w:ilvl w:val="0"/>
          <w:numId w:val="0"/>
        </w:numPr>
        <w:spacing w:lineRule="auto" w:line="240" w:before="0" w:after="0"/>
        <w:ind w:hanging="0" w:left="0"/>
        <w:contextualSpacing/>
        <w:jc w:val="both"/>
        <w:rPr/>
      </w:pPr>
      <w:r>
        <w:rPr>
          <w:rFonts w:cs="Times New Roman" w:ascii="Times New Roman" w:hAnsi="Times New Roman"/>
        </w:rPr>
        <w:t xml:space="preserve">             </w:t>
      </w:r>
      <w:r>
        <w:rPr>
          <w:rFonts w:cs="Times New Roman" w:ascii="Times New Roman" w:hAnsi="Times New Roman"/>
        </w:rPr>
        <w:t>3. Wykluczenie Wykonawcy następuje zgodnie z art. 111 Ustawy.</w:t>
      </w:r>
    </w:p>
    <w:p>
      <w:pPr>
        <w:pStyle w:val="ListParagraph"/>
        <w:widowControl/>
        <w:numPr>
          <w:ilvl w:val="0"/>
          <w:numId w:val="0"/>
        </w:numPr>
        <w:suppressAutoHyphens w:val="true"/>
        <w:bidi w:val="0"/>
        <w:spacing w:lineRule="auto" w:line="240" w:before="0" w:after="0"/>
        <w:ind w:hanging="0" w:left="737" w:right="0"/>
        <w:contextualSpacing/>
        <w:jc w:val="both"/>
        <w:rPr/>
      </w:pPr>
      <w:r>
        <w:rPr>
          <w:rFonts w:cs="Times New Roman" w:ascii="Times New Roman" w:hAnsi="Times New Roman"/>
        </w:rPr>
        <w:t>4.Wykonawca nie podlega wykluczeniu w okolicznościach określonych w art. 108 ust. 1 pkt 1, 2 i 5 lub art. 109 ust. 1 pkt 2‒5 i 7‒10, jeżeli udowodni zamawiającemu, że spełnił łącznie następujące przesłanki:</w:t>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rPr>
        <w:t>1) naprawił lub zobowiązał się do naprawienia szkody wyrządzonej przestępstwem, wykroczeniem lub swoim nieprawidłowym postępowaniem, w tym poprzez zadośćuczynienie pieniężne;</w:t>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rPr>
        <w:t>3) podjął konkretne środki techniczne, organizacyjne i kadrowe, odpowiednie dla zapobiegania dalszym przestępstwom, wykroczeniom lub nieprawidłowemu postępowaniu, w szczególności:</w:t>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rPr>
        <w:t>a) zerwał wszelkie powiązania z osobami lub podmiotami odpowiedzialnymi za nieprawidłowe postępowanie wykonawcy,</w:t>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rPr>
        <w:t>b) zreorganizował personel,</w:t>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rPr>
        <w:t>c) wdrożył system sprawozdawczości i kontroli,</w:t>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rPr>
        <w:t>d) utworzył struktury audytu wewnętrznego do monitorowania przestrzegania przepisów, wewnętrznych regulacji lub standardów,</w:t>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rPr>
        <w:t>e) wprowadził wewnętrzne regulacje dotyczące odpowiedzialności i odszkodowań za nieprzestrzeganie przepisów, wewnętrznych regulacji lub standardów.</w:t>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rPr>
        <w:t>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pPr>
        <w:pStyle w:val="ListParagraph"/>
        <w:numPr>
          <w:ilvl w:val="0"/>
          <w:numId w:val="0"/>
        </w:numPr>
        <w:spacing w:lineRule="auto" w:line="240" w:before="0" w:after="0"/>
        <w:ind w:hanging="0" w:left="792"/>
        <w:contextualSpacing/>
        <w:jc w:val="both"/>
        <w:rPr/>
      </w:pPr>
      <w:r>
        <w:rPr>
          <w:rFonts w:cs="Times New Roman" w:ascii="Times New Roman" w:hAnsi="Times New Roman"/>
        </w:rPr>
        <w:t>5.Zamawiający może wykluczyć Wykonawcę na każdym etapie postępowania o udzielenie zamówienia. Oferta złożona przez Wykonawcę podlegającego wykluczeniu odrzuca się.</w:t>
      </w:r>
    </w:p>
    <w:p>
      <w:pPr>
        <w:pStyle w:val="ListParagraph"/>
        <w:spacing w:lineRule="auto" w:line="240" w:before="0" w:after="0"/>
        <w:ind w:hanging="0" w:left="2232"/>
        <w:contextualSpacing/>
        <w:jc w:val="both"/>
        <w:rPr/>
      </w:pPr>
      <w:r>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Wykaz oświadczeń lub dokumentów, potwierdzających spełniania warunków udziału w postępowaniu oraz brak podstaw wykluczenia:</w:t>
      </w:r>
      <w:r>
        <w:fldChar w:fldCharType="begin"/>
      </w:r>
      <w:r>
        <w:rPr>
          <w:b/>
          <w:rFonts w:cs="Times New Roman" w:ascii="Times New Roman" w:hAnsi="Times New Roman"/>
        </w:rPr>
        <w:instrText xml:space="preserve"> TC "Wykaz oświadczeń lub dokumentów, potwierdzających spełniania warunków udziału w postępowaniu oraz brak podstaw wykluczenia:"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"Wykaz oświadczeń lub dokumentów, potwierdzających spełniania warunków udziału w postępowaniu oraz brak podstaw wykluczenia:"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"Wykaz oświadczeń lub dokumentów, potwierdzających spełniania warunków udziału w postępowaniu oraz brak podstaw wykluczenia:"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"Wykaz oświadczeń lub dokumentów, potwierdzających spełniania warunków udziału w postępowaniu oraz brak podstaw wykluczenia:"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"Wykaz oświadczeń lub dokumentów, potwierdzających spełniania warunków udziału w postępowaniu oraz brak podstaw wykluczenia:"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"Wykaz oświadczeń lub dokumentów, potwierdzających spełniania warunków udziału w postępowaniu oraz brak podstaw wykluczenia:"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contextualSpacing/>
        <w:jc w:val="both"/>
        <w:rPr/>
      </w:pPr>
      <w:r>
        <w:rPr>
          <w:rFonts w:cs="Times New Roman" w:ascii="Times New Roman" w:hAnsi="Times New Roman"/>
        </w:rPr>
        <w:t>Do oferty sporządzonej w oparciu o Formularz oferty, stanowiący Załącznik nr 1 do SWZ należy dołączyć aktualne na dzień składania ofert:</w:t>
      </w:r>
    </w:p>
    <w:p>
      <w:pPr>
        <w:pStyle w:val="ListParagraph"/>
        <w:numPr>
          <w:ilvl w:val="0"/>
          <w:numId w:val="5"/>
        </w:numPr>
        <w:spacing w:lineRule="auto" w:line="240" w:before="0" w:after="0"/>
        <w:contextualSpacing/>
        <w:jc w:val="both"/>
        <w:rPr/>
      </w:pPr>
      <w:r>
        <w:rPr>
          <w:rFonts w:cs="Times New Roman" w:ascii="Times New Roman" w:hAnsi="Times New Roman"/>
        </w:rPr>
        <w:t>oświadczenie Wykonawcy składane na podstawie art. 125 ust. 1 ustawy Pzp w związku z art. 273 ust. 1 pkt 2 ustawy Pzp dotyczące spełniania warunków udziału w postępowaniu, stanowiące Załącznik nr 2 do SWZ,</w:t>
      </w:r>
    </w:p>
    <w:p>
      <w:pPr>
        <w:pStyle w:val="ListParagraph"/>
        <w:numPr>
          <w:ilvl w:val="0"/>
          <w:numId w:val="5"/>
        </w:numPr>
        <w:spacing w:lineRule="auto" w:line="240" w:before="0" w:after="0"/>
        <w:contextualSpacing/>
        <w:jc w:val="both"/>
        <w:rPr/>
      </w:pPr>
      <w:r>
        <w:rPr>
          <w:rFonts w:cs="Times New Roman" w:ascii="Times New Roman" w:hAnsi="Times New Roman"/>
        </w:rPr>
        <w:t xml:space="preserve">oświadczenie Wykonawcy składane na podstawie art. 125 ust. 1 ustawy Pzp w związku z art. 108 ust. 1 oraz art. 109 ust. 1 pkt 8,9,10 Ustawy dotyczące przesłanek wykluczenia z postępowania, stanowiące Załącznik nr </w:t>
      </w:r>
      <w:r>
        <w:rPr>
          <w:rFonts w:eastAsia="Calibri" w:cs="Times New Roman" w:ascii="Times New Roman" w:hAnsi="Times New Roman" w:eastAsiaTheme="minorHAnsi"/>
          <w:color w:val="auto"/>
          <w:kern w:val="0"/>
          <w:sz w:val="22"/>
          <w:szCs w:val="22"/>
          <w:lang w:val="pl-PL" w:eastAsia="en-US" w:bidi="ar-SA"/>
        </w:rPr>
        <w:t>2</w:t>
      </w:r>
      <w:r>
        <w:rPr>
          <w:rFonts w:cs="Times New Roman" w:ascii="Times New Roman" w:hAnsi="Times New Roman"/>
        </w:rPr>
        <w:t xml:space="preserve"> do SWZ.</w:t>
      </w:r>
    </w:p>
    <w:p>
      <w:pPr>
        <w:pStyle w:val="ListParagraph"/>
        <w:numPr>
          <w:ilvl w:val="1"/>
          <w:numId w:val="12"/>
        </w:numPr>
        <w:spacing w:lineRule="auto" w:line="240" w:before="0" w:after="0"/>
        <w:contextualSpacing/>
        <w:jc w:val="both"/>
        <w:rPr>
          <w:rFonts w:ascii="Times New Roman" w:hAnsi="Times New Roman" w:cs="Times New Roman"/>
        </w:rPr>
      </w:pPr>
      <w:r>
        <w:rPr>
          <w:rFonts w:cs="Times New Roman" w:ascii="Times New Roman" w:hAnsi="Times New Roman"/>
        </w:rPr>
        <w:t>Oświadczeni</w:t>
      </w:r>
      <w:r>
        <w:rPr>
          <w:rFonts w:eastAsia="Calibri" w:cs="Times New Roman" w:ascii="Times New Roman" w:hAnsi="Times New Roman" w:eastAsiaTheme="minorHAnsi"/>
          <w:color w:val="auto"/>
          <w:kern w:val="0"/>
          <w:sz w:val="22"/>
          <w:szCs w:val="22"/>
          <w:lang w:val="pl-PL" w:eastAsia="en-US" w:bidi="ar-SA"/>
        </w:rPr>
        <w:t>a</w:t>
      </w:r>
      <w:r>
        <w:rPr>
          <w:rFonts w:cs="Times New Roman" w:ascii="Times New Roman" w:hAnsi="Times New Roman"/>
        </w:rPr>
        <w:t xml:space="preserve"> składane </w:t>
      </w:r>
      <w:r>
        <w:rPr>
          <w:rFonts w:eastAsia="Calibri" w:cs="Times New Roman" w:ascii="Times New Roman" w:hAnsi="Times New Roman" w:eastAsiaTheme="minorHAnsi"/>
          <w:color w:val="auto"/>
          <w:kern w:val="0"/>
          <w:sz w:val="22"/>
          <w:szCs w:val="22"/>
          <w:lang w:val="pl-PL" w:eastAsia="en-US" w:bidi="ar-SA"/>
        </w:rPr>
        <w:t>są</w:t>
      </w:r>
      <w:r>
        <w:rPr>
          <w:rFonts w:cs="Times New Roman" w:ascii="Times New Roman" w:hAnsi="Times New Roman"/>
        </w:rPr>
        <w:t xml:space="preserve"> pod rygorem nieważności w formie elektronicznej lub w postaci elektronicznej opatrzonej podpisem zaufanym, lub podpisem osobistym.</w:t>
      </w:r>
    </w:p>
    <w:p>
      <w:pPr>
        <w:pStyle w:val="ListParagraph"/>
        <w:numPr>
          <w:ilvl w:val="1"/>
          <w:numId w:val="12"/>
        </w:numPr>
        <w:spacing w:lineRule="auto" w:line="240" w:before="0" w:after="0"/>
        <w:contextualSpacing/>
        <w:jc w:val="both"/>
        <w:rPr>
          <w:rFonts w:ascii="Times New Roman" w:hAnsi="Times New Roman" w:cs="Times New Roman"/>
        </w:rPr>
      </w:pPr>
      <w:r>
        <w:rPr>
          <w:rFonts w:cs="Times New Roman" w:ascii="Times New Roman" w:hAnsi="Times New Roman"/>
        </w:rPr>
        <w:t xml:space="preserve">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o których mowa w pkt. </w:t>
      </w:r>
      <w:r>
        <w:rPr>
          <w:rFonts w:eastAsia="Calibri" w:cs="Times New Roman" w:ascii="Times New Roman" w:hAnsi="Times New Roman" w:eastAsiaTheme="minorHAnsi"/>
          <w:color w:val="auto"/>
          <w:kern w:val="0"/>
          <w:sz w:val="22"/>
          <w:szCs w:val="22"/>
          <w:lang w:val="pl-PL" w:eastAsia="en-US" w:bidi="ar-SA"/>
        </w:rPr>
        <w:t>8</w:t>
      </w:r>
      <w:r>
        <w:rPr>
          <w:rFonts w:cs="Times New Roman" w:ascii="Times New Roman" w:hAnsi="Times New Roman"/>
        </w:rPr>
        <w:t>.1 SWZ.</w:t>
      </w:r>
    </w:p>
    <w:p>
      <w:pPr>
        <w:pStyle w:val="ListParagraph"/>
        <w:numPr>
          <w:ilvl w:val="1"/>
          <w:numId w:val="12"/>
        </w:numPr>
        <w:spacing w:lineRule="auto" w:line="240" w:before="0" w:after="0"/>
        <w:contextualSpacing/>
        <w:jc w:val="both"/>
        <w:rPr>
          <w:rFonts w:ascii="Times New Roman" w:hAnsi="Times New Roman" w:cs="Times New Roman"/>
        </w:rPr>
      </w:pPr>
      <w:r>
        <w:rPr>
          <w:rFonts w:cs="Times New Roman" w:ascii="Times New Roman" w:hAnsi="Times New Roman"/>
        </w:rPr>
        <w:t xml:space="preserve">Wykonawca, który zamierza powierzyć wykonanie części zamówienia podwykonawcom, w celu wykazania braku istnienia wobec nich podstaw wykluczenia z udziału w postępowaniu zamieszcza informacje o podwykonawcach w oświadczeniach, o których mowa w pkt. </w:t>
      </w:r>
      <w:r>
        <w:rPr>
          <w:rFonts w:eastAsia="Calibri" w:cs="Times New Roman" w:ascii="Times New Roman" w:hAnsi="Times New Roman" w:eastAsiaTheme="minorHAnsi"/>
          <w:color w:val="auto"/>
          <w:kern w:val="0"/>
          <w:sz w:val="22"/>
          <w:szCs w:val="22"/>
          <w:lang w:val="pl-PL" w:eastAsia="en-US" w:bidi="ar-SA"/>
        </w:rPr>
        <w:t>8</w:t>
      </w:r>
      <w:r>
        <w:rPr>
          <w:rFonts w:cs="Times New Roman" w:ascii="Times New Roman" w:hAnsi="Times New Roman"/>
        </w:rPr>
        <w:t>.1 SWZ.</w:t>
      </w:r>
    </w:p>
    <w:p>
      <w:pPr>
        <w:pStyle w:val="ListParagraph"/>
        <w:numPr>
          <w:ilvl w:val="1"/>
          <w:numId w:val="12"/>
        </w:numPr>
        <w:spacing w:lineRule="auto" w:line="240" w:before="0" w:after="0"/>
        <w:contextualSpacing/>
        <w:jc w:val="both"/>
        <w:rPr>
          <w:rFonts w:ascii="Times New Roman" w:hAnsi="Times New Roman" w:cs="Times New Roman"/>
        </w:rPr>
      </w:pPr>
      <w:r>
        <w:rPr>
          <w:rFonts w:cs="Times New Roman" w:ascii="Times New Roman" w:hAnsi="Times New Roman"/>
        </w:rPr>
        <w:t xml:space="preserve">W przypadku wspólnego ubiegania się o zamówienie przez wykonawców oświadczenia, o których mowa w pkt. </w:t>
      </w:r>
      <w:r>
        <w:rPr>
          <w:rFonts w:eastAsia="Calibri" w:cs="Times New Roman" w:ascii="Times New Roman" w:hAnsi="Times New Roman" w:eastAsiaTheme="minorHAnsi"/>
          <w:color w:val="auto"/>
          <w:kern w:val="0"/>
          <w:sz w:val="22"/>
          <w:szCs w:val="22"/>
          <w:lang w:val="pl-PL" w:eastAsia="en-US" w:bidi="ar-SA"/>
        </w:rPr>
        <w:t>8</w:t>
      </w:r>
      <w:r>
        <w:rPr>
          <w:rFonts w:cs="Times New Roman" w:ascii="Times New Roman" w:hAnsi="Times New Roman"/>
        </w:rPr>
        <w:t>.1 SWZ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pPr>
        <w:pStyle w:val="ListParagraph"/>
        <w:numPr>
          <w:ilvl w:val="1"/>
          <w:numId w:val="12"/>
        </w:numPr>
        <w:spacing w:lineRule="auto" w:line="240" w:before="0" w:after="0"/>
        <w:contextualSpacing/>
        <w:jc w:val="both"/>
        <w:rPr>
          <w:color w:val="000000"/>
        </w:rPr>
      </w:pPr>
      <w:r>
        <w:rPr>
          <w:rFonts w:cs="Times New Roman" w:ascii="Times New Roman" w:hAnsi="Times New Roman"/>
          <w:color w:val="000000"/>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pPr>
        <w:pStyle w:val="ListParagraph"/>
        <w:numPr>
          <w:ilvl w:val="0"/>
          <w:numId w:val="6"/>
        </w:numPr>
        <w:spacing w:lineRule="auto" w:line="240" w:before="0" w:after="0"/>
        <w:contextualSpacing/>
        <w:jc w:val="both"/>
        <w:rPr>
          <w:rFonts w:ascii="Times New Roman" w:hAnsi="Times New Roman" w:cs="Times New Roman"/>
        </w:rPr>
      </w:pPr>
      <w:r>
        <w:rPr>
          <w:rFonts w:cs="Times New Roman" w:ascii="Times New Roman" w:hAnsi="Times New Roman"/>
        </w:rPr>
        <w:t>potwierdzenia spełniania warunków udziału w postępowaniu:</w:t>
      </w:r>
    </w:p>
    <w:p>
      <w:pPr>
        <w:pStyle w:val="ListParagraph"/>
        <w:widowControl/>
        <w:numPr>
          <w:ilvl w:val="1"/>
          <w:numId w:val="6"/>
        </w:numPr>
        <w:bidi w:val="0"/>
        <w:spacing w:lineRule="auto" w:line="240" w:before="0" w:after="0"/>
        <w:ind w:hanging="340" w:left="1587" w:right="0"/>
        <w:contextualSpacing/>
        <w:jc w:val="both"/>
        <w:rPr/>
      </w:pPr>
      <w:r>
        <w:rPr>
          <w:rFonts w:eastAsia="Calibri" w:cs="" w:ascii="Times New Roman" w:hAnsi="Times New Roman" w:cstheme="minorBidi" w:eastAsiaTheme="minorHAnsi"/>
          <w:b/>
          <w:bCs/>
        </w:rPr>
        <w:t>wykaz robót budowlanych</w:t>
      </w:r>
      <w:r>
        <w:rPr>
          <w:rFonts w:eastAsia="Calibri" w:cs="" w:ascii="Times New Roman" w:hAnsi="Times New Roman" w:cstheme="minorBidi" w:eastAsiaTheme="minorHAnsi"/>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pPr>
        <w:pStyle w:val="ListParagraph"/>
        <w:widowControl/>
        <w:numPr>
          <w:ilvl w:val="1"/>
          <w:numId w:val="6"/>
        </w:numPr>
        <w:bidi w:val="0"/>
        <w:spacing w:lineRule="auto" w:line="240" w:before="0" w:after="0"/>
        <w:ind w:hanging="340" w:left="1587" w:right="0"/>
        <w:contextualSpacing/>
        <w:jc w:val="both"/>
        <w:rPr/>
      </w:pPr>
      <w:r>
        <w:rPr>
          <w:rFonts w:eastAsia="Calibri" w:cs="" w:ascii="Times New Roman" w:hAnsi="Times New Roman" w:cstheme="minorBidi" w:eastAsiaTheme="minorHAnsi"/>
          <w:b/>
          <w:bCs/>
        </w:rPr>
        <w:t>wykaz osób</w:t>
      </w:r>
      <w:r>
        <w:rPr>
          <w:rFonts w:eastAsia="Calibri" w:cs="" w:ascii="Times New Roman" w:hAnsi="Times New Roman" w:cstheme="minorBidi" w:eastAsiaTheme="minorHAnsi"/>
          <w:b w:val="false"/>
          <w:bCs w:val="false"/>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pPr>
        <w:pStyle w:val="ListParagraph"/>
        <w:numPr>
          <w:ilvl w:val="0"/>
          <w:numId w:val="6"/>
        </w:numPr>
        <w:spacing w:lineRule="auto" w:line="240" w:before="0" w:after="0"/>
        <w:contextualSpacing/>
        <w:jc w:val="both"/>
        <w:rPr>
          <w:rFonts w:ascii="Times New Roman" w:hAnsi="Times New Roman" w:cs="Times New Roman"/>
        </w:rPr>
      </w:pPr>
      <w:r>
        <w:rPr>
          <w:rFonts w:cs="Times New Roman" w:ascii="Times New Roman" w:hAnsi="Times New Roman"/>
        </w:rPr>
        <w:t>potwierdzenia braku podstaw do wykluczenia Wykonawcy z udziału w postępowaniu:</w:t>
      </w:r>
    </w:p>
    <w:p>
      <w:pPr>
        <w:pStyle w:val="ListParagraph"/>
        <w:widowControl/>
        <w:numPr>
          <w:ilvl w:val="1"/>
          <w:numId w:val="6"/>
        </w:numPr>
        <w:bidi w:val="0"/>
        <w:spacing w:lineRule="auto" w:line="240" w:before="0" w:after="0"/>
        <w:ind w:hanging="340" w:left="1587" w:right="0"/>
        <w:contextualSpacing/>
        <w:jc w:val="both"/>
        <w:rPr/>
      </w:pPr>
      <w:r>
        <w:rPr>
          <w:rFonts w:cs="Times New Roman" w:ascii="Times New Roman" w:hAnsi="Times New Roman"/>
          <w:b/>
          <w:bCs/>
        </w:rPr>
        <w:t xml:space="preserve">oświadczenie wykonawcy potwierdzające aktualność informacji zawartych w oświadczeniu </w:t>
      </w:r>
      <w:r>
        <w:rPr>
          <w:rFonts w:cs="Times New Roman" w:ascii="Times New Roman" w:hAnsi="Times New Roman"/>
          <w:b w:val="false"/>
          <w:bCs w:val="false"/>
        </w:rPr>
        <w:t>o którym mowa w art. 125 ust. 1 ustawy w zakresie podstaw wykluczenia z postępowania wskazanych przez zamawiającego.</w:t>
      </w:r>
    </w:p>
    <w:p>
      <w:pPr>
        <w:pStyle w:val="ListParagraph"/>
        <w:widowControl/>
        <w:numPr>
          <w:ilvl w:val="0"/>
          <w:numId w:val="0"/>
        </w:numPr>
        <w:bidi w:val="0"/>
        <w:spacing w:lineRule="auto" w:line="240" w:before="0" w:after="0"/>
        <w:ind w:hanging="0" w:left="1531" w:right="0"/>
        <w:contextualSpacing/>
        <w:jc w:val="both"/>
        <w:rPr>
          <w:rFonts w:ascii="Times New Roman" w:hAnsi="Times New Roman" w:cs="Times New Roman"/>
          <w:b/>
          <w:bCs/>
          <w:i/>
          <w:i/>
          <w:iCs/>
        </w:rPr>
      </w:pPr>
      <w:r>
        <w:rPr>
          <w:rFonts w:cs="Times New Roman" w:ascii="Times New Roman" w:hAnsi="Times New Roman"/>
          <w:b/>
          <w:bCs/>
          <w:i/>
          <w:iCs/>
        </w:rPr>
      </w:r>
    </w:p>
    <w:p>
      <w:pPr>
        <w:pStyle w:val="ListParagraph"/>
        <w:numPr>
          <w:ilvl w:val="1"/>
          <w:numId w:val="12"/>
        </w:numPr>
        <w:spacing w:lineRule="auto" w:line="240" w:before="0" w:after="0"/>
        <w:contextualSpacing/>
        <w:jc w:val="both"/>
        <w:rPr>
          <w:rFonts w:ascii="Times New Roman" w:hAnsi="Times New Roman" w:cs="Times New Roman"/>
        </w:rPr>
      </w:pPr>
      <w:r>
        <w:rPr>
          <w:rFonts w:cs="Times New Roman" w:ascii="Times New Roman" w:hAnsi="Times New Roman"/>
        </w:rPr>
        <w:t xml:space="preserve">Podmiotowe środki dowodowe składa się w formie elektronicznej, w postaci elektronicznej opatrzonej  podpisem  zaufanym  lub  podpisem  osobistym,  w    formie  pisemnej  lub  w  formie dokumentowej, w zakresie i w sposób określony w przepisach wydanych na podstawie art. 70 ustawy. </w:t>
      </w:r>
    </w:p>
    <w:p>
      <w:pPr>
        <w:pStyle w:val="ListParagraph"/>
        <w:numPr>
          <w:ilvl w:val="1"/>
          <w:numId w:val="12"/>
        </w:numPr>
        <w:spacing w:lineRule="auto" w:line="240" w:before="0" w:after="0"/>
        <w:contextualSpacing/>
        <w:jc w:val="both"/>
        <w:rPr>
          <w:rFonts w:ascii="Times New Roman" w:hAnsi="Times New Roman" w:cs="Times New Roman"/>
        </w:rPr>
      </w:pPr>
      <w:r>
        <w:rPr>
          <w:rFonts w:cs="Times New Roman" w:ascii="Times New Roman" w:hAnsi="Times New Roman"/>
        </w:rPr>
        <w:t>Jeżeli wykaz, oświadczenia lub inne złożone przez wykonawcę dokumenty budzą wątpliwości Zamawiającego, może on zwrócić się bezpośrednio do właściwego podmiotu, na rzecz którego roboty budowlane były wykonane, o dodatkowe informacje lub dokumenty w tym zakresie.</w:t>
      </w:r>
    </w:p>
    <w:p>
      <w:pPr>
        <w:pStyle w:val="ListParagraph"/>
        <w:numPr>
          <w:ilvl w:val="1"/>
          <w:numId w:val="12"/>
        </w:numPr>
        <w:spacing w:lineRule="auto" w:line="240" w:before="0" w:after="0"/>
        <w:contextualSpacing/>
        <w:jc w:val="both"/>
        <w:rPr>
          <w:rFonts w:ascii="Times New Roman" w:hAnsi="Times New Roman" w:cs="Times New Roman"/>
        </w:rPr>
      </w:pPr>
      <w:r>
        <w:rPr>
          <w:rFonts w:cs="Times New Roman" w:ascii="Times New Roman" w:hAnsi="Times New Roman"/>
        </w:rPr>
        <w:t>Jeżeli jest to niezbędne do zapewnienia odpowiedniego przebiegu postępowaniu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p>
    <w:p>
      <w:pPr>
        <w:pStyle w:val="ListParagraph"/>
        <w:spacing w:lineRule="auto" w:line="240" w:before="0" w:after="0"/>
        <w:ind w:hanging="508" w:left="792"/>
        <w:contextualSpacing/>
        <w:jc w:val="both"/>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 xml:space="preserve">Informacja dla Wykonawców polegających na zasobach innych podmiotów, na zasadach określonych w art. </w:t>
      </w:r>
      <w:r>
        <w:fldChar w:fldCharType="begin"/>
      </w:r>
      <w:r>
        <w:rPr>
          <w:b/>
          <w:rFonts w:cs="Times New Roman" w:ascii="Times New Roman" w:hAnsi="Times New Roman"/>
        </w:rPr>
        <w:instrText xml:space="preserve"> TC "Informacja dla Wykonawców polegających na zasobach innych podmiotów, na zasadach określonych w art. 118 ustawy Pzp oraz zamierzających powierzyć wykonanie części zamówienia podwykonawcom:"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"Informacja dla Wykonawców polegających na zasobach innych podmiotów, na zasadach określonych w art. 118 ustawy Pzp oraz zamierzających powierzyć wykonanie części zamówienia podwykonawcom:"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rPr>
          <w:rFonts w:eastAsia="Calibri" w:cs="Times New Roman" w:ascii="Times New Roman" w:hAnsi="Times New Roman" w:eastAsiaTheme="minorHAnsi"/>
          <w:b/>
          <w:color w:val="auto"/>
          <w:kern w:val="0"/>
          <w:sz w:val="22"/>
          <w:szCs w:val="22"/>
          <w:lang w:val="pl-PL" w:eastAsia="en-US" w:bidi="ar-SA"/>
        </w:rPr>
        <w:t>118</w:t>
      </w:r>
      <w:r>
        <w:rPr>
          <w:rFonts w:cs="Times New Roman" w:ascii="Times New Roman" w:hAnsi="Times New Roman"/>
          <w:b/>
        </w:rPr>
        <w:t xml:space="preserve"> ustawy Pzp oraz zamierzających powierzyć wykonanie części zamówienia podwykonawcom:</w:t>
      </w:r>
      <w:r>
        <w:fldChar w:fldCharType="begin"/>
      </w:r>
      <w:r>
        <w:rPr>
          <w:b/>
          <w:rFonts w:cs="Times New Roman" w:ascii="Times New Roman" w:hAnsi="Times New Roman"/>
        </w:rPr>
        <w:instrText xml:space="preserve"> TC "Informacja dla Wykonawców polegających na zasobach innych podmiotów, na zasadach określonych w art. 22a ustawy Pzp oraz zamierzających powierzyć wykonanie części zamówienia podwykonawcom:"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"Informacja dla Wykonawców polegających na zasobach innych podmiotów, na zasadach określonych w art. 22a ustawy Pzp oraz zamierzających powierzyć wykonanie części zamówienia podwykonawcom:"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"Informacja dla Wykonawców polegających na zasobach innych podmiotów, na zasadach określonych w art. 22a ustawy Pzp oraz zamierzających powierzyć wykonanie części zamówienia podwykonawcom:"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"Informacja dla Wykonawców polegających na zasobach innych podmiotów, na zasadach określonych w art. 22a ustawy Pzp oraz zamierzających powierzyć wykonanie części zamówienia podwykonawcom:"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nimi stosunków prawnych.</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 Załącznik nr </w:t>
      </w:r>
      <w:r>
        <w:rPr>
          <w:rFonts w:eastAsia="Calibri" w:cs="Times New Roman" w:ascii="Times New Roman" w:hAnsi="Times New Roman" w:eastAsiaTheme="minorHAnsi"/>
          <w:color w:val="auto"/>
          <w:kern w:val="0"/>
          <w:sz w:val="22"/>
          <w:szCs w:val="22"/>
          <w:lang w:val="pl-PL" w:eastAsia="en-US" w:bidi="ar-SA"/>
        </w:rPr>
        <w:t>5</w:t>
      </w:r>
      <w:r>
        <w:rPr>
          <w:rFonts w:cs="Times New Roman" w:ascii="Times New Roman" w:hAnsi="Times New Roman"/>
        </w:rPr>
        <w:t xml:space="preserve"> do SWZ.</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Zamawiający oceni, czy udostępniane wykonawcy przez inne podmioty zdolności techniczne lub zawodowe lub ich sytuacja zawodowa lub ekonomiczna, pozwalają na wykazanie przez wykonawcę spełniania warunków udziału w postępowaniu oraz zbada, czy nie zachodzą wobec tego podmiotu podstawy wykluczenia.</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W odniesieniu do warunków dotyczących wykształcenia, kwalifikacji zawodowych lub doświadczenia, wykonawcy mogą polegać na zdolnościach innych podmiotów, jeżeli podmioty te realizują roboty budowlane lub usługi, do realizacji których te zdolności są wymagane.</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Jeżeli zdolności techniczne lub zawodowe lub sytuacja ekonomiczna lub finansowa, podmiotu, o którym mowa w pkt. </w:t>
      </w:r>
      <w:r>
        <w:rPr>
          <w:rFonts w:eastAsia="Calibri" w:cs="Times New Roman" w:ascii="Times New Roman" w:hAnsi="Times New Roman" w:eastAsiaTheme="minorHAnsi"/>
          <w:color w:val="auto"/>
          <w:kern w:val="0"/>
          <w:sz w:val="22"/>
          <w:szCs w:val="22"/>
          <w:lang w:val="pl-PL" w:eastAsia="en-US" w:bidi="ar-SA"/>
        </w:rPr>
        <w:t>9</w:t>
      </w:r>
      <w:r>
        <w:rPr>
          <w:rFonts w:cs="Times New Roman" w:ascii="Times New Roman" w:hAnsi="Times New Roman"/>
        </w:rPr>
        <w:t>.1 SWZ nie potwierdzają spełnienia przez wykonawcę warunków udziału w postępowaniu lub zachodzą wobec tych podmiotów podstawy wykluczenia, Zamawiający żąda, aby wykonawca w terminie określonym przez Zamawiającego:</w:t>
      </w:r>
    </w:p>
    <w:p>
      <w:pPr>
        <w:pStyle w:val="ListParagraph"/>
        <w:numPr>
          <w:ilvl w:val="0"/>
          <w:numId w:val="7"/>
        </w:numPr>
        <w:spacing w:lineRule="auto" w:line="240" w:before="0" w:after="0"/>
        <w:contextualSpacing/>
        <w:jc w:val="both"/>
        <w:rPr>
          <w:rFonts w:ascii="Times New Roman" w:hAnsi="Times New Roman" w:cs="Times New Roman"/>
        </w:rPr>
      </w:pPr>
      <w:r>
        <w:rPr>
          <w:rFonts w:cs="Times New Roman" w:ascii="Times New Roman" w:hAnsi="Times New Roman"/>
        </w:rPr>
        <w:t>zastąpił ten podmiot innym podmiotem lub podmiotami lub</w:t>
      </w:r>
    </w:p>
    <w:p>
      <w:pPr>
        <w:pStyle w:val="ListParagraph"/>
        <w:numPr>
          <w:ilvl w:val="0"/>
          <w:numId w:val="7"/>
        </w:numPr>
        <w:spacing w:lineRule="auto" w:line="240" w:before="0" w:after="0"/>
        <w:contextualSpacing/>
        <w:jc w:val="both"/>
        <w:rPr>
          <w:rFonts w:ascii="Times New Roman" w:hAnsi="Times New Roman" w:cs="Times New Roman"/>
        </w:rPr>
      </w:pPr>
      <w:r>
        <w:rPr>
          <w:rFonts w:cs="Times New Roman" w:ascii="Times New Roman" w:hAnsi="Times New Roman"/>
        </w:rPr>
        <w:t xml:space="preserve">zobowiązał się do osobistego wykonania odpowiedniej części zamówienia, jeżeli wykaże zdolności techniczne lub zawodowe lub sytuację finansową lub ekonomiczną, o których mowa w pkt. </w:t>
      </w:r>
      <w:r>
        <w:rPr>
          <w:rFonts w:eastAsia="Calibri" w:cs="Times New Roman" w:ascii="Times New Roman" w:hAnsi="Times New Roman" w:eastAsiaTheme="minorHAnsi"/>
          <w:color w:val="auto"/>
          <w:kern w:val="0"/>
          <w:sz w:val="22"/>
          <w:szCs w:val="22"/>
          <w:lang w:val="pl-PL" w:eastAsia="en-US" w:bidi="ar-SA"/>
        </w:rPr>
        <w:t>9</w:t>
      </w:r>
      <w:r>
        <w:rPr>
          <w:rFonts w:cs="Times New Roman" w:ascii="Times New Roman" w:hAnsi="Times New Roman"/>
        </w:rPr>
        <w:t>.1 SWZ.</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o których mowa w pkt. </w:t>
      </w:r>
      <w:r>
        <w:rPr>
          <w:rFonts w:eastAsia="Calibri" w:cs="Times New Roman" w:ascii="Times New Roman" w:hAnsi="Times New Roman" w:eastAsiaTheme="minorHAnsi"/>
          <w:color w:val="auto"/>
          <w:kern w:val="0"/>
          <w:sz w:val="22"/>
          <w:szCs w:val="22"/>
          <w:lang w:val="pl-PL" w:eastAsia="en-US" w:bidi="ar-SA"/>
        </w:rPr>
        <w:t>8</w:t>
      </w:r>
      <w:r>
        <w:rPr>
          <w:rFonts w:cs="Times New Roman" w:ascii="Times New Roman" w:hAnsi="Times New Roman"/>
        </w:rPr>
        <w:t>.1 SWZ.</w:t>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Informacja dla wykonawców wspólnie ubiegających się o udzielenie zamówienia (spółki cywilne, konsorcja):</w:t>
      </w:r>
      <w:r>
        <w:fldChar w:fldCharType="begin"/>
      </w:r>
      <w:r>
        <w:rPr>
          <w:b/>
          <w:rFonts w:cs="Times New Roman" w:ascii="Times New Roman" w:hAnsi="Times New Roman"/>
        </w:rPr>
        <w:instrText xml:space="preserve"> TC "Informacja dla wykonawców wspólnie ubiegających się o udzielenie zamówienia (spółki cywilne, konsorcja):"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"Informacja dla wykonawców wspólnie ubiegających się o udzielenie zamówienia (spółki cywilne, konsorcja):"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"Informacja dla wykonawców wspólnie ubiegających się o udzielenie zamówienia (spółki cywilne, konsorcja):"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"Informacja dla wykonawców wspólnie ubiegających się o udzielenie zamówienia (spółki cywilne, konsorcja):"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"Informacja dla wykonawców wspólnie ubiegających się o udzielenie zamówienia (spółki cywilne, konsorcja):"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"Informacja dla wykonawców wspólnie ubiegających się o udzielenie zamówienia (spółki cywilne, konsorcja):"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pPr>
      <w:r>
        <w:rPr>
          <w:rFonts w:cs="Times New Roman" w:ascii="Times New Roman" w:hAnsi="Times New Roman"/>
        </w:rPr>
        <w:t xml:space="preserve">W przypadku wykonawców wspólnie ubiegających się o udzielenie zamówienia, zgodnie z art. </w:t>
      </w:r>
      <w:r>
        <w:rPr>
          <w:rFonts w:eastAsia="Calibri" w:cs="Times New Roman" w:ascii="Times New Roman" w:hAnsi="Times New Roman" w:eastAsiaTheme="minorHAnsi"/>
          <w:color w:val="auto"/>
          <w:kern w:val="0"/>
          <w:sz w:val="22"/>
          <w:szCs w:val="22"/>
          <w:lang w:val="pl-PL" w:eastAsia="en-US" w:bidi="ar-SA"/>
        </w:rPr>
        <w:t>58</w:t>
      </w:r>
      <w:r>
        <w:rPr>
          <w:rFonts w:cs="Times New Roman" w:ascii="Times New Roman" w:hAnsi="Times New Roman"/>
        </w:rPr>
        <w:t xml:space="preserve"> ustawy Pzp, wykonawcy ustanawiają pełnomocnika do reprezentowania ich w postępowaniu o udzielenie zamówienia albo reprezentowania w postępowaniu i zawarcia umowy w sprawie zamówienia publicznego. W takim przypadku należy dołączyć pełnomocnictwo do reprezentowania wszystkich wykonawców wspólnie ubiegających się o udzielenie zamówienia.</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W przypadku wspólnego ubiegania się o zamówienie przez wykonawców, oświadczeni</w:t>
      </w:r>
      <w:r>
        <w:rPr>
          <w:rFonts w:eastAsia="Calibri" w:cs="Times New Roman" w:ascii="Times New Roman" w:hAnsi="Times New Roman" w:eastAsiaTheme="minorHAnsi"/>
          <w:color w:val="auto"/>
          <w:kern w:val="0"/>
          <w:sz w:val="22"/>
          <w:szCs w:val="22"/>
          <w:lang w:val="pl-PL" w:eastAsia="en-US" w:bidi="ar-SA"/>
        </w:rPr>
        <w:t>e</w:t>
      </w:r>
      <w:r>
        <w:rPr>
          <w:rFonts w:cs="Times New Roman" w:ascii="Times New Roman" w:hAnsi="Times New Roman"/>
        </w:rPr>
        <w:t xml:space="preserve"> sporządzone według Załącznika nr 2 do SWZ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pPr>
        <w:pStyle w:val="ListParagraph"/>
        <w:numPr>
          <w:ilvl w:val="0"/>
          <w:numId w:val="0"/>
        </w:numPr>
        <w:spacing w:lineRule="auto" w:line="240" w:before="0" w:after="0"/>
        <w:ind w:hanging="0" w:left="1076"/>
        <w:contextualSpacing/>
        <w:jc w:val="both"/>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Podwykonawstwo:</w:t>
      </w:r>
      <w:r>
        <w:fldChar w:fldCharType="begin"/>
      </w:r>
      <w:r>
        <w:rPr>
          <w:b/>
          <w:rFonts w:cs="Times New Roman" w:ascii="Times New Roman" w:hAnsi="Times New Roman"/>
        </w:rPr>
        <w:instrText xml:space="preserve"> TC "Podwykonawstwo:"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"Podwykonawstwo:"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"Podwykonawstwo:"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"Podwykonawstwo:"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"Podwykonawstwo:"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"Podwykonawstwo:"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Zgodnie z art. </w:t>
      </w:r>
      <w:r>
        <w:rPr>
          <w:rFonts w:eastAsia="Calibri" w:cs="Times New Roman" w:ascii="Times New Roman" w:hAnsi="Times New Roman" w:eastAsiaTheme="minorHAnsi"/>
          <w:color w:val="auto"/>
          <w:kern w:val="0"/>
          <w:sz w:val="22"/>
          <w:szCs w:val="22"/>
          <w:lang w:val="pl-PL" w:eastAsia="en-US" w:bidi="ar-SA"/>
        </w:rPr>
        <w:t>462</w:t>
      </w:r>
      <w:r>
        <w:rPr>
          <w:rFonts w:cs="Times New Roman" w:ascii="Times New Roman" w:hAnsi="Times New Roman"/>
        </w:rPr>
        <w:t xml:space="preserve"> ust. 1 ustawy Pzp Wykonawca może powierzyć wykonanie części zamówienia podwykonawcy.</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Na podstawie art. </w:t>
      </w:r>
      <w:r>
        <w:rPr>
          <w:rFonts w:eastAsia="Calibri" w:cs="Times New Roman" w:ascii="Times New Roman" w:hAnsi="Times New Roman" w:eastAsiaTheme="minorHAnsi"/>
          <w:color w:val="auto"/>
          <w:kern w:val="0"/>
          <w:sz w:val="22"/>
          <w:szCs w:val="22"/>
          <w:lang w:val="pl-PL" w:eastAsia="en-US" w:bidi="ar-SA"/>
        </w:rPr>
        <w:t xml:space="preserve">462 </w:t>
      </w:r>
      <w:r>
        <w:rPr>
          <w:rFonts w:cs="Times New Roman" w:ascii="Times New Roman" w:hAnsi="Times New Roman"/>
        </w:rPr>
        <w:t xml:space="preserve">ust. </w:t>
      </w:r>
      <w:r>
        <w:rPr>
          <w:rFonts w:eastAsia="Calibri" w:cs="Times New Roman" w:ascii="Times New Roman" w:hAnsi="Times New Roman" w:eastAsiaTheme="minorHAnsi"/>
          <w:color w:val="auto"/>
          <w:kern w:val="0"/>
          <w:sz w:val="22"/>
          <w:szCs w:val="22"/>
          <w:lang w:val="pl-PL" w:eastAsia="en-US" w:bidi="ar-SA"/>
        </w:rPr>
        <w:t>2</w:t>
      </w:r>
      <w:r>
        <w:rPr>
          <w:rFonts w:cs="Times New Roman" w:ascii="Times New Roman" w:hAnsi="Times New Roman"/>
        </w:rPr>
        <w:t xml:space="preserve"> ustawy Pzp Zmawiający żąda wskazania przez Wykonawcę w ofercie:</w:t>
      </w:r>
    </w:p>
    <w:p>
      <w:pPr>
        <w:pStyle w:val="ListParagraph"/>
        <w:numPr>
          <w:ilvl w:val="0"/>
          <w:numId w:val="8"/>
        </w:numPr>
        <w:spacing w:lineRule="auto" w:line="240" w:before="0" w:after="0"/>
        <w:contextualSpacing/>
        <w:jc w:val="both"/>
        <w:rPr>
          <w:rFonts w:ascii="Times New Roman" w:hAnsi="Times New Roman" w:cs="Times New Roman"/>
        </w:rPr>
      </w:pPr>
      <w:r>
        <w:rPr>
          <w:rFonts w:cs="Times New Roman" w:ascii="Times New Roman" w:hAnsi="Times New Roman"/>
        </w:rPr>
        <w:t>części zamówienia, której wykonanie powierzy podwykonawcom,</w:t>
      </w:r>
    </w:p>
    <w:p>
      <w:pPr>
        <w:pStyle w:val="ListParagraph"/>
        <w:numPr>
          <w:ilvl w:val="0"/>
          <w:numId w:val="8"/>
        </w:numPr>
        <w:spacing w:lineRule="auto" w:line="240" w:before="0" w:after="0"/>
        <w:contextualSpacing/>
        <w:jc w:val="both"/>
        <w:rPr>
          <w:rFonts w:ascii="Times New Roman" w:hAnsi="Times New Roman" w:cs="Times New Roman"/>
        </w:rPr>
      </w:pPr>
      <w:r>
        <w:rPr>
          <w:rFonts w:cs="Times New Roman" w:ascii="Times New Roman" w:hAnsi="Times New Roman"/>
        </w:rPr>
        <w:t>podania przez Wykonawcę nazw (firm) podwykonawców jeżeli są już znani.</w:t>
      </w:r>
    </w:p>
    <w:p>
      <w:pPr>
        <w:pStyle w:val="ListParagraph"/>
        <w:numPr>
          <w:ilvl w:val="1"/>
          <w:numId w:val="12"/>
        </w:numPr>
        <w:spacing w:lineRule="auto" w:line="240" w:before="0" w:after="0"/>
        <w:ind w:hanging="504" w:left="788"/>
        <w:contextualSpacing/>
        <w:jc w:val="both"/>
        <w:rPr>
          <w:rFonts w:ascii="Times New Roman" w:hAnsi="Times New Roman" w:cs="Times New Roman"/>
        </w:rPr>
      </w:pPr>
      <w:r>
        <w:rPr>
          <w:rFonts w:cs="Times New Roman" w:ascii="Times New Roman" w:hAnsi="Times New Roman"/>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zadaniu pierwszym, w trakcie realizacji zamówienia, a także przekazuje informacje na temat nowych podwykonawców, którym w późniejszym okresie zamierza powierzyć realizację robót budowlanych lub usług.</w:t>
      </w:r>
    </w:p>
    <w:p>
      <w:pPr>
        <w:pStyle w:val="ListParagraph"/>
        <w:numPr>
          <w:ilvl w:val="1"/>
          <w:numId w:val="12"/>
        </w:numPr>
        <w:spacing w:lineRule="auto" w:line="240" w:before="0" w:after="0"/>
        <w:ind w:hanging="504" w:left="788"/>
        <w:contextualSpacing/>
        <w:jc w:val="both"/>
        <w:rPr>
          <w:rFonts w:ascii="Times New Roman" w:hAnsi="Times New Roman" w:cs="Times New Roman"/>
        </w:rPr>
      </w:pPr>
      <w:r>
        <w:rPr>
          <w:rFonts w:cs="Times New Roman" w:ascii="Times New Roman" w:hAnsi="Times New Roman"/>
        </w:rPr>
        <w:t>Jeżeli zmiana albo rezygnacja z podwykonawcy dotyczy podmiotu, na którego zasoby Wykonawca powoływał się, na zasadach określonych w art.</w:t>
      </w:r>
      <w:r>
        <w:rPr>
          <w:rFonts w:eastAsia="Calibri" w:cs="Times New Roman" w:ascii="Times New Roman" w:hAnsi="Times New Roman" w:eastAsiaTheme="minorHAnsi"/>
          <w:color w:val="auto"/>
          <w:kern w:val="0"/>
          <w:sz w:val="22"/>
          <w:szCs w:val="22"/>
          <w:lang w:val="pl-PL" w:eastAsia="en-US" w:bidi="ar-SA"/>
        </w:rPr>
        <w:t xml:space="preserve">118 </w:t>
      </w:r>
      <w:r>
        <w:rPr>
          <w:rFonts w:cs="Times New Roman" w:ascii="Times New Roman" w:hAnsi="Times New Roman"/>
        </w:rPr>
        <w:t>ustawy Pzp, w celu wykazania spełniania warunków udziału w postępowaniu lub kryteriów selekcji, Wykonawca jest zobowiązany wykazać Zamawiającemu, iż proponowany inny podwykonawca lub Wykonawca samodzielnie spełnia je w stopniu nie mniejszym niż podwykonawca, na którego zasoby wykonawca powoływał się w trakcie postępowania o udzielenie zamówienia.</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Zgodnie z art. </w:t>
      </w:r>
      <w:r>
        <w:rPr>
          <w:rFonts w:eastAsia="Calibri" w:cs="Times New Roman" w:ascii="Times New Roman" w:hAnsi="Times New Roman" w:eastAsiaTheme="minorHAnsi"/>
          <w:color w:val="auto"/>
          <w:kern w:val="0"/>
          <w:sz w:val="22"/>
          <w:szCs w:val="22"/>
          <w:lang w:val="pl-PL" w:eastAsia="en-US" w:bidi="ar-SA"/>
        </w:rPr>
        <w:t>464</w:t>
      </w:r>
      <w:r>
        <w:rPr>
          <w:rFonts w:cs="Times New Roman" w:ascii="Times New Roman" w:hAnsi="Times New Roman"/>
        </w:rPr>
        <w:t xml:space="preserve"> Ustawy Zamawiający określił w Umowie stanowiącej </w:t>
      </w:r>
      <w:r>
        <w:rPr>
          <w:rFonts w:cs="Times New Roman" w:ascii="Times New Roman" w:hAnsi="Times New Roman"/>
          <w:color w:val="000000"/>
          <w:shd w:fill="auto" w:val="clear"/>
        </w:rPr>
        <w:t xml:space="preserve">Załącznik nr </w:t>
      </w:r>
      <w:r>
        <w:rPr>
          <w:rFonts w:eastAsia="Calibri" w:cs="Times New Roman" w:ascii="Times New Roman" w:hAnsi="Times New Roman"/>
          <w:color w:val="000000"/>
          <w:kern w:val="0"/>
          <w:sz w:val="22"/>
          <w:szCs w:val="22"/>
          <w:shd w:fill="auto" w:val="clear"/>
          <w:lang w:val="pl-PL" w:eastAsia="en-US" w:bidi="ar-SA"/>
        </w:rPr>
        <w:t>6</w:t>
      </w:r>
      <w:r>
        <w:rPr>
          <w:rFonts w:cs="Times New Roman" w:ascii="Times New Roman" w:hAnsi="Times New Roman"/>
          <w:color w:val="000000"/>
          <w:shd w:fill="auto" w:val="clear"/>
        </w:rPr>
        <w:t xml:space="preserve"> do SWZ.</w:t>
      </w:r>
    </w:p>
    <w:p>
      <w:pPr>
        <w:pStyle w:val="ListParagraph"/>
        <w:numPr>
          <w:ilvl w:val="2"/>
          <w:numId w:val="12"/>
        </w:numPr>
        <w:spacing w:lineRule="auto" w:line="240" w:before="0" w:after="0"/>
        <w:contextualSpacing/>
        <w:jc w:val="both"/>
        <w:rPr>
          <w:rFonts w:ascii="Times New Roman" w:hAnsi="Times New Roman" w:cs="Times New Roman"/>
        </w:rPr>
      </w:pPr>
      <w:r>
        <w:rPr>
          <w:rFonts w:cs="Times New Roman" w:ascii="Times New Roman" w:hAnsi="Times New Roman"/>
        </w:rPr>
        <w:t>wymagania dotyczące umowy o podwykonawstwo, której przedmiotem są roboty budowlane, których niespełnienie spowoduje zgłoszenie przez Zamawiającego odpowiednio zastrzeżeń lub sprzeciwu,</w:t>
      </w:r>
    </w:p>
    <w:p>
      <w:pPr>
        <w:pStyle w:val="ListParagraph"/>
        <w:numPr>
          <w:ilvl w:val="2"/>
          <w:numId w:val="12"/>
        </w:numPr>
        <w:spacing w:lineRule="auto" w:line="240" w:before="0" w:after="0"/>
        <w:contextualSpacing/>
        <w:jc w:val="both"/>
        <w:rPr>
          <w:rFonts w:ascii="Times New Roman" w:hAnsi="Times New Roman" w:cs="Times New Roman"/>
        </w:rPr>
      </w:pPr>
      <w:r>
        <w:rPr>
          <w:rFonts w:cs="Times New Roman" w:ascii="Times New Roman" w:hAnsi="Times New Roman"/>
        </w:rPr>
        <w:t>informacje o umowach o podwykonawstwo, których przedmiotem są dostawy lub usługi, które z uwagi na wartość lub przedmiot tych dostaw lub usług, nie podlegają obowiązkowi przedkładania Zamawiającemu.</w:t>
      </w:r>
    </w:p>
    <w:p>
      <w:pPr>
        <w:pStyle w:val="Normal"/>
        <w:spacing w:lineRule="auto" w:line="240" w:before="0" w:after="0"/>
        <w:jc w:val="both"/>
        <w:rPr/>
      </w:pPr>
      <w:r>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color w:val="000000"/>
        </w:rPr>
        <w:t>Informacje o sposobie porozumiewania się Zamawiającego z Wykonawcami oraz przekazywania oświadczeń lub dokumentów a także wskazanie osób uprawnionych do porozumiewania się z wykonawcami:</w:t>
      </w:r>
      <w:r>
        <w:fldChar w:fldCharType="begin"/>
      </w:r>
      <w:r>
        <w:rPr>
          <w:b/>
          <w:rFonts w:cs="Times New Roman" w:ascii="Times New Roman" w:hAnsi="Times New Roman"/>
          <w:color w:val="000000"/>
        </w:rPr>
        <w:instrText xml:space="preserve"> TC "Informacje o sposobie porozumiewania się Zamawiającego z Wykonawcami oraz przekazywania oświadczeń lub dokumentów a także wskazanie osób uprawnionych do porozumiewania się z wykonawcami:" \l 9 </w:instrText>
      </w:r>
      <w:r>
        <w:rPr>
          <w:b/>
          <w:rFonts w:cs="Times New Roman" w:ascii="Times New Roman" w:hAnsi="Times New Roman"/>
          <w:color w:val="000000"/>
        </w:rPr>
        <w:fldChar w:fldCharType="separate"/>
      </w:r>
      <w:r>
        <w:rPr>
          <w:rFonts w:cs="Times New Roman" w:ascii="Times New Roman" w:hAnsi="Times New Roman"/>
          <w:b/>
          <w:color w:val="000000"/>
        </w:rPr>
      </w:r>
      <w:r>
        <w:rPr>
          <w:b/>
          <w:rFonts w:cs="Times New Roman" w:ascii="Times New Roman" w:hAnsi="Times New Roman"/>
          <w:color w:val="000000"/>
        </w:rPr>
        <w:fldChar w:fldCharType="end"/>
      </w:r>
      <w:r>
        <w:fldChar w:fldCharType="begin"/>
      </w:r>
      <w:r>
        <w:rPr>
          <w:b/>
          <w:rFonts w:cs="Times New Roman" w:ascii="Times New Roman" w:hAnsi="Times New Roman"/>
          <w:color w:val="000000"/>
        </w:rPr>
        <w:instrText xml:space="preserve"> TC "Informacje o sposobie porozumiewania się Zamawiającego z Wykonawcami oraz przekazywania oświadczeń lub dokumentów a także wskazanie osób uprawnionych do porozumiewania się z wykonawcami:" \l 9 </w:instrText>
      </w:r>
      <w:r>
        <w:rPr>
          <w:b/>
          <w:rFonts w:cs="Times New Roman" w:ascii="Times New Roman" w:hAnsi="Times New Roman"/>
          <w:color w:val="000000"/>
        </w:rPr>
        <w:fldChar w:fldCharType="separate"/>
      </w:r>
      <w:r>
        <w:rPr>
          <w:rFonts w:cs="Times New Roman" w:ascii="Times New Roman" w:hAnsi="Times New Roman"/>
          <w:b/>
          <w:color w:val="000000"/>
        </w:rPr>
      </w:r>
      <w:r>
        <w:rPr>
          <w:b/>
          <w:rFonts w:cs="Times New Roman" w:ascii="Times New Roman" w:hAnsi="Times New Roman"/>
          <w:color w:val="000000"/>
        </w:rPr>
        <w:fldChar w:fldCharType="end"/>
      </w:r>
      <w:r>
        <w:fldChar w:fldCharType="begin"/>
      </w:r>
      <w:r>
        <w:rPr>
          <w:b/>
          <w:rFonts w:cs="Times New Roman" w:ascii="Times New Roman" w:hAnsi="Times New Roman"/>
        </w:rPr>
        <w:instrText xml:space="preserve"> TC "Informacje o sposobie porozumiewania się Zamawiającego z Wykonawcami oraz przekazywania oświadczeń lub dokumentów a także wskazanie osób uprawnionych do porozumiewania się z wykonawcami:"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"Informacje o sposobie porozumiewania się Zamawiającego z Wykonawcami oraz przekazywania oświadczeń lub dokumentów a także wskazanie osób uprawnionych do porozumiewania się z wykonawcami:"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"Informacje o sposobie porozumiewania się Zamawiającego z Wykonawcami oraz przekazywania oświadczeń lub dokumentów a także wskazanie osób uprawnionych do porozumiewania się z wykonawcami:"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"Informacje o sposobie porozumiewania się Zamawiającego z Wykonawcami oraz przekazywania oświadczeń lub dokumentów a także wskazanie osób uprawnionych do porozumiewania się z wykonawcami:"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 xml:space="preserve">Postępowanie prowadzone jest w języku polskim w formie elektronicznej za pośrednictwem </w:t>
      </w:r>
      <w:hyperlink r:id="rId6">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pod adresem:  </w:t>
      </w:r>
      <w:hyperlink r:id="rId7">
        <w:r>
          <w:rPr>
            <w:rStyle w:val="Hyperlink"/>
            <w:rFonts w:cs="Times New Roman" w:ascii="Times New Roman" w:hAnsi="Times New Roman"/>
            <w:color w:val="000000"/>
          </w:rPr>
          <w:t>https://</w:t>
        </w:r>
      </w:hyperlink>
      <w:r>
        <w:rPr>
          <w:rStyle w:val="Hyperlink"/>
          <w:rFonts w:cs="Times New Roman" w:ascii="Times New Roman" w:hAnsi="Times New Roman"/>
          <w:color w:val="000000"/>
        </w:rPr>
        <w:t>platformazakupowa.pl/pn/ug_redzikowo</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8">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i formularza „Wyślij wiadomość do zamawiającego”. </w:t>
      </w:r>
    </w:p>
    <w:p>
      <w:pPr>
        <w:pStyle w:val="ListParagraph"/>
        <w:widowControl/>
        <w:numPr>
          <w:ilvl w:val="0"/>
          <w:numId w:val="0"/>
        </w:numPr>
        <w:suppressAutoHyphens w:val="true"/>
        <w:bidi w:val="0"/>
        <w:spacing w:lineRule="auto" w:line="240" w:before="0" w:after="0"/>
        <w:ind w:hanging="0" w:left="794" w:right="0"/>
        <w:contextualSpacing/>
        <w:jc w:val="both"/>
        <w:rPr>
          <w:color w:val="000000"/>
        </w:rPr>
      </w:pPr>
      <w:r>
        <w:rPr>
          <w:rFonts w:cs="Times New Roman" w:ascii="Times New Roman" w:hAnsi="Times New Roman"/>
          <w:color w:val="000000"/>
        </w:rPr>
        <w:t xml:space="preserve">Za datę przekazania (wpływu) oświadczeń, wniosków, zawiadomień oraz informacji przyjmuje się datę ich przesłania za pośrednictwem </w:t>
      </w:r>
      <w:hyperlink r:id="rId9">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poprzez kliknięcie przycisku  „Wyślij wiadomość do zamawiającego” po których pojawi się komunikat, że wiadomość została wysłana do zamawiającego.</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 xml:space="preserve">Zamawiający będzie przekazywał wykonawcom informacje w formie elektronicznej za pośrednictwem </w:t>
      </w:r>
      <w:hyperlink r:id="rId10">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1">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do konkretnego wykonawcy.</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 xml:space="preserve">Wykonawca jako podmiot profesjonalny ma obowiązek sprawdzania komunikatów i wiadomości bezpośrednio na </w:t>
      </w:r>
      <w:hyperlink r:id="rId12">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przesłanych przez zamawiającego, gdyż system powiadomień może ulec awarii lub powiadomienie może trafić do folderu SPAM.</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w:t>
      </w:r>
      <w:hyperlink r:id="rId13">
        <w:r>
          <w:rPr>
            <w:rStyle w:val="Hyperlink"/>
            <w:rFonts w:cs="Times New Roman" w:ascii="Times New Roman" w:hAnsi="Times New Roman"/>
            <w:color w:val="000000"/>
          </w:rPr>
          <w:t>platformazakupowa.pl</w:t>
        </w:r>
      </w:hyperlink>
      <w:r>
        <w:rPr>
          <w:rFonts w:cs="Times New Roman" w:ascii="Times New Roman" w:hAnsi="Times New Roman"/>
          <w:color w:val="000000"/>
        </w:rPr>
        <w:t>, tj.:</w:t>
      </w:r>
    </w:p>
    <w:p>
      <w:pPr>
        <w:pStyle w:val="ListParagraph"/>
        <w:widowControl/>
        <w:numPr>
          <w:ilvl w:val="0"/>
          <w:numId w:val="14"/>
        </w:numPr>
        <w:bidi w:val="0"/>
        <w:spacing w:lineRule="auto" w:line="240" w:before="0" w:after="0"/>
        <w:ind w:hanging="510" w:left="1304" w:right="0"/>
        <w:contextualSpacing/>
        <w:jc w:val="both"/>
        <w:rPr>
          <w:color w:val="000000"/>
        </w:rPr>
      </w:pPr>
      <w:r>
        <w:rPr>
          <w:rFonts w:cs="Times New Roman" w:ascii="Times New Roman" w:hAnsi="Times New Roman"/>
          <w:color w:val="000000"/>
        </w:rPr>
        <w:t>stały dostęp do sieci Internet o gwarantowanej przepustowości nie mniejszej niż 512 kb/s,</w:t>
      </w:r>
    </w:p>
    <w:p>
      <w:pPr>
        <w:pStyle w:val="ListParagraph"/>
        <w:widowControl/>
        <w:numPr>
          <w:ilvl w:val="0"/>
          <w:numId w:val="14"/>
        </w:numPr>
        <w:bidi w:val="0"/>
        <w:spacing w:lineRule="auto" w:line="240" w:before="0" w:after="0"/>
        <w:ind w:hanging="510" w:left="1304" w:right="0"/>
        <w:contextualSpacing/>
        <w:jc w:val="both"/>
        <w:rPr>
          <w:color w:val="000000"/>
        </w:rPr>
      </w:pPr>
      <w:r>
        <w:rPr>
          <w:rFonts w:cs="Times New Roman" w:ascii="Times New Roman" w:hAnsi="Times New Roman"/>
          <w:color w:val="000000"/>
        </w:rPr>
        <w:t>komputer klasy PC lub MAC o następującej konfiguracji: pamięć min. 2 GB Ram, procesor Intel IV 2 GHZ lub jego nowsza wersja, jeden z systemów operacyjnych - MS Windows 7, Mac Os x 10 4, Linux, lub ich nowsze wersje,</w:t>
      </w:r>
    </w:p>
    <w:p>
      <w:pPr>
        <w:pStyle w:val="ListParagraph"/>
        <w:widowControl/>
        <w:numPr>
          <w:ilvl w:val="0"/>
          <w:numId w:val="14"/>
        </w:numPr>
        <w:bidi w:val="0"/>
        <w:spacing w:lineRule="auto" w:line="240" w:before="0" w:after="0"/>
        <w:ind w:hanging="510" w:left="1304" w:right="0"/>
        <w:contextualSpacing/>
        <w:jc w:val="both"/>
        <w:rPr>
          <w:color w:val="000000"/>
        </w:rPr>
      </w:pPr>
      <w:r>
        <w:rPr>
          <w:rFonts w:cs="Times New Roman" w:ascii="Times New Roman" w:hAnsi="Times New Roman"/>
          <w:color w:val="000000"/>
        </w:rPr>
        <w:t>zainstalowana dowolna przeglądarka internetowa, w przypadku Internet Explorer minimalnie wersja 10 0.,</w:t>
      </w:r>
    </w:p>
    <w:p>
      <w:pPr>
        <w:pStyle w:val="ListParagraph"/>
        <w:widowControl/>
        <w:numPr>
          <w:ilvl w:val="0"/>
          <w:numId w:val="14"/>
        </w:numPr>
        <w:bidi w:val="0"/>
        <w:spacing w:lineRule="auto" w:line="240" w:before="0" w:after="0"/>
        <w:ind w:hanging="510" w:left="1304" w:right="0"/>
        <w:contextualSpacing/>
        <w:jc w:val="both"/>
        <w:rPr>
          <w:color w:val="000000"/>
        </w:rPr>
      </w:pPr>
      <w:r>
        <w:rPr>
          <w:rFonts w:cs="Times New Roman" w:ascii="Times New Roman" w:hAnsi="Times New Roman"/>
          <w:color w:val="000000"/>
        </w:rPr>
        <w:t>włączona obsługa JavaScript,</w:t>
      </w:r>
    </w:p>
    <w:p>
      <w:pPr>
        <w:pStyle w:val="ListParagraph"/>
        <w:widowControl/>
        <w:numPr>
          <w:ilvl w:val="0"/>
          <w:numId w:val="14"/>
        </w:numPr>
        <w:bidi w:val="0"/>
        <w:spacing w:lineRule="auto" w:line="240" w:before="0" w:after="0"/>
        <w:ind w:hanging="510" w:left="1304" w:right="0"/>
        <w:contextualSpacing/>
        <w:jc w:val="both"/>
        <w:rPr>
          <w:color w:val="000000"/>
        </w:rPr>
      </w:pPr>
      <w:r>
        <w:rPr>
          <w:rFonts w:cs="Times New Roman" w:ascii="Times New Roman" w:hAnsi="Times New Roman"/>
          <w:color w:val="000000"/>
        </w:rPr>
        <w:t>zainstalowany program Adobe Acrobat Reader lub inny obsługujący format plików .pdf,</w:t>
      </w:r>
    </w:p>
    <w:p>
      <w:pPr>
        <w:pStyle w:val="ListParagraph"/>
        <w:widowControl/>
        <w:numPr>
          <w:ilvl w:val="0"/>
          <w:numId w:val="14"/>
        </w:numPr>
        <w:bidi w:val="0"/>
        <w:spacing w:lineRule="auto" w:line="240" w:before="0" w:after="0"/>
        <w:ind w:hanging="510" w:left="1304" w:right="0"/>
        <w:contextualSpacing/>
        <w:jc w:val="both"/>
        <w:rPr>
          <w:color w:val="000000"/>
        </w:rPr>
      </w:pPr>
      <w:r>
        <w:rPr>
          <w:rFonts w:cs="Times New Roman" w:ascii="Times New Roman" w:hAnsi="Times New Roman"/>
          <w:color w:val="000000"/>
        </w:rPr>
        <w:t>Platformazakupowa.pl działa według standardu przyjętego w komunikacji sieciowej - kodowanie UTF8,</w:t>
      </w:r>
    </w:p>
    <w:p>
      <w:pPr>
        <w:pStyle w:val="ListParagraph"/>
        <w:widowControl/>
        <w:numPr>
          <w:ilvl w:val="0"/>
          <w:numId w:val="14"/>
        </w:numPr>
        <w:bidi w:val="0"/>
        <w:spacing w:lineRule="auto" w:line="240" w:before="0" w:after="0"/>
        <w:ind w:hanging="510" w:left="1304" w:right="0"/>
        <w:contextualSpacing/>
        <w:jc w:val="both"/>
        <w:rPr>
          <w:color w:val="000000"/>
        </w:rPr>
      </w:pPr>
      <w:r>
        <w:rPr>
          <w:rFonts w:cs="Times New Roman" w:ascii="Times New Roman" w:hAnsi="Times New Roman"/>
          <w:color w:val="000000"/>
        </w:rPr>
        <w:t>Oznaczenie czasu odbioru danych przez platformę zakupową stanowi datę oraz dokładny czas (hh:mm:ss) generowany wg. czasu lokalnego serwera synchronizowanego z zegarem Głównego Urzędu Miar.</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Wykonawca, przystępując do niniejszego postępowania o udzielenie zamówienia publicznego:</w:t>
      </w:r>
    </w:p>
    <w:p>
      <w:pPr>
        <w:pStyle w:val="ListParagraph"/>
        <w:widowControl/>
        <w:numPr>
          <w:ilvl w:val="0"/>
          <w:numId w:val="15"/>
        </w:numPr>
        <w:bidi w:val="0"/>
        <w:spacing w:lineRule="auto" w:line="240" w:before="0" w:after="0"/>
        <w:ind w:hanging="510" w:left="1304" w:right="0"/>
        <w:contextualSpacing/>
        <w:jc w:val="both"/>
        <w:rPr>
          <w:color w:val="000000"/>
        </w:rPr>
      </w:pPr>
      <w:r>
        <w:rPr>
          <w:rFonts w:cs="Times New Roman" w:ascii="Times New Roman" w:hAnsi="Times New Roman"/>
          <w:color w:val="000000"/>
        </w:rPr>
        <w:t xml:space="preserve">akceptuje warunki korzystania z </w:t>
      </w:r>
      <w:hyperlink r:id="rId14">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określone w Regulaminie zamieszczonym na stronie internetowej pod linkiem  w zakładce „Regulamin" oraz uznaje go za wiążący,</w:t>
      </w:r>
    </w:p>
    <w:p>
      <w:pPr>
        <w:pStyle w:val="ListParagraph"/>
        <w:widowControl/>
        <w:numPr>
          <w:ilvl w:val="0"/>
          <w:numId w:val="15"/>
        </w:numPr>
        <w:bidi w:val="0"/>
        <w:spacing w:lineRule="auto" w:line="240" w:before="0" w:after="0"/>
        <w:ind w:hanging="510" w:left="1304" w:right="0"/>
        <w:contextualSpacing/>
        <w:jc w:val="both"/>
        <w:rPr>
          <w:color w:val="000000"/>
        </w:rPr>
      </w:pPr>
      <w:r>
        <w:rPr>
          <w:rFonts w:cs="Times New Roman" w:ascii="Times New Roman" w:hAnsi="Times New Roman"/>
          <w:color w:val="000000"/>
        </w:rPr>
        <w:t xml:space="preserve">zapoznał i stosuje się do Instrukcji składania ofert/wniosków dostępnej pod </w:t>
      </w:r>
      <w:hyperlink r:id="rId15">
        <w:r>
          <w:rPr>
            <w:rStyle w:val="Hyperlink"/>
            <w:rFonts w:cs="Times New Roman" w:ascii="Times New Roman" w:hAnsi="Times New Roman"/>
            <w:color w:val="000000"/>
          </w:rPr>
          <w:t>linkiem</w:t>
        </w:r>
      </w:hyperlink>
      <w:r>
        <w:rPr>
          <w:rFonts w:cs="Times New Roman" w:ascii="Times New Roman" w:hAnsi="Times New Roman"/>
          <w:color w:val="000000"/>
        </w:rPr>
        <w:t xml:space="preserve"> (https://drive.google.com/file/d/1Kd1DttbBeiNWt4q4slS4t76lZVKPbkyD/view)</w:t>
      </w:r>
    </w:p>
    <w:p>
      <w:pPr>
        <w:pStyle w:val="ListParagraph"/>
        <w:widowControl/>
        <w:numPr>
          <w:ilvl w:val="1"/>
          <w:numId w:val="12"/>
        </w:numPr>
        <w:bidi w:val="0"/>
        <w:spacing w:lineRule="auto" w:line="240" w:before="0" w:after="0"/>
        <w:ind w:hanging="510" w:left="794" w:right="0"/>
        <w:contextualSpacing/>
        <w:jc w:val="both"/>
        <w:rPr>
          <w:color w:val="000000"/>
        </w:rPr>
      </w:pPr>
      <w:r>
        <w:rPr>
          <w:rFonts w:cs="Times New Roman" w:ascii="Times New Roman" w:hAnsi="Times New Roman"/>
          <w:b/>
          <w:bCs/>
          <w:color w:val="000000"/>
        </w:rPr>
        <w:t>Zamawiający nie ponosi odpowiedzialności za złożenie oferty w sposób niezgodny z Instrukcją korzystania</w:t>
      </w:r>
      <w:r>
        <w:rPr>
          <w:rFonts w:cs="Times New Roman" w:ascii="Times New Roman" w:hAnsi="Times New Roman"/>
          <w:color w:val="000000"/>
        </w:rPr>
        <w:t xml:space="preserve"> z </w:t>
      </w:r>
      <w:hyperlink r:id="rId16">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w szczególności za sytuację, gdy zamawiający zapozna się z treścią oferty przed upływem terminu składania ofert (np. złożenie oferty w zakładce „Wyślij wiadomość do zamawiającego”). </w:t>
      </w:r>
    </w:p>
    <w:p>
      <w:pPr>
        <w:pStyle w:val="ListParagraph"/>
        <w:widowControl/>
        <w:numPr>
          <w:ilvl w:val="0"/>
          <w:numId w:val="0"/>
        </w:numPr>
        <w:bidi w:val="0"/>
        <w:spacing w:lineRule="auto" w:line="240" w:before="0" w:after="0"/>
        <w:ind w:hanging="0" w:left="1076" w:right="0"/>
        <w:contextualSpacing/>
        <w:jc w:val="both"/>
        <w:rPr>
          <w:color w:val="000000"/>
        </w:rPr>
      </w:pPr>
      <w:r>
        <w:rPr>
          <w:rFonts w:cs="Times New Roman" w:ascii="Times New Roman" w:hAnsi="Times New Roman"/>
          <w:color w:val="000000"/>
        </w:rPr>
        <w:t>Taka oferta zostanie uznana przez Zamawiającego za ofertę handlową i nie będzie brana pod uwagę w przedmiotowym postępowaniu ponieważ nie został spełniony obowiązek narzucony w art. 221 Ustawy Prawo Zamówień Publicznych.</w:t>
      </w:r>
    </w:p>
    <w:p>
      <w:pPr>
        <w:pStyle w:val="ListParagraph"/>
        <w:widowControl/>
        <w:numPr>
          <w:ilvl w:val="1"/>
          <w:numId w:val="12"/>
        </w:numPr>
        <w:bidi w:val="0"/>
        <w:spacing w:lineRule="auto" w:line="240" w:before="0" w:after="0"/>
        <w:ind w:hanging="510" w:left="794" w:right="0"/>
        <w:contextualSpacing/>
        <w:jc w:val="both"/>
        <w:rPr>
          <w:color w:val="000000"/>
        </w:rPr>
      </w:pPr>
      <w:r>
        <w:rPr>
          <w:rFonts w:cs="Times New Roman" w:ascii="Times New Roman" w:hAnsi="Times New Roman"/>
          <w:color w:val="000000"/>
        </w:rPr>
        <w:t xml:space="preserve">Zamawiający informuje, że instrukcje korzystania z </w:t>
      </w:r>
      <w:hyperlink r:id="rId17">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dotyczące w szczególności logowania, składania wniosków o wyjaśnienie treści SWZ, składania ofert oraz innych czynności podejmowanych w niniejszym postępowaniu przy użyciu </w:t>
      </w:r>
      <w:hyperlink r:id="rId18">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znajdują się w zakładce „Instrukcje dla Wykonawców" na stronie internetowej pod adresem: </w:t>
      </w:r>
      <w:hyperlink r:id="rId19">
        <w:r>
          <w:rPr>
            <w:rStyle w:val="Hyperlink"/>
            <w:rFonts w:cs="Times New Roman" w:ascii="Times New Roman" w:hAnsi="Times New Roman"/>
            <w:color w:val="000000"/>
          </w:rPr>
          <w:t>https://platformazakupowa.pl/strona/45-instrukcje</w:t>
        </w:r>
      </w:hyperlink>
    </w:p>
    <w:p>
      <w:pPr>
        <w:pStyle w:val="ListParagraph"/>
        <w:numPr>
          <w:ilvl w:val="1"/>
          <w:numId w:val="12"/>
        </w:numPr>
        <w:spacing w:lineRule="auto" w:line="240" w:before="0" w:after="0"/>
        <w:ind w:hanging="650" w:left="792"/>
        <w:contextualSpacing/>
        <w:jc w:val="both"/>
        <w:rPr>
          <w:color w:val="auto"/>
        </w:rPr>
      </w:pPr>
      <w:r>
        <w:rPr>
          <w:rFonts w:cs="Times New Roman" w:ascii="Times New Roman" w:hAnsi="Times New Roman"/>
          <w:color w:val="auto"/>
        </w:rPr>
        <w:t>Osoby uprawnione do porozumiewania się z Wykonawcami:</w:t>
      </w:r>
    </w:p>
    <w:p>
      <w:pPr>
        <w:pStyle w:val="ListParagraph"/>
        <w:numPr>
          <w:ilvl w:val="0"/>
          <w:numId w:val="3"/>
        </w:numPr>
        <w:spacing w:lineRule="auto" w:line="240" w:before="0" w:after="0"/>
        <w:contextualSpacing/>
        <w:jc w:val="both"/>
        <w:rPr>
          <w:color w:val="auto"/>
        </w:rPr>
      </w:pPr>
      <w:r>
        <w:rPr>
          <w:rFonts w:cs="Times New Roman" w:ascii="Times New Roman" w:hAnsi="Times New Roman"/>
          <w:color w:val="auto"/>
        </w:rPr>
        <w:t>p.</w:t>
      </w:r>
      <w:r>
        <w:rPr>
          <w:rFonts w:cs="Times New Roman" w:ascii="Times New Roman" w:hAnsi="Times New Roman"/>
          <w:color w:val="C9211E"/>
        </w:rPr>
        <w:t xml:space="preserve"> </w:t>
      </w:r>
      <w:r>
        <w:rPr>
          <w:rFonts w:cs="Times New Roman" w:ascii="Times New Roman" w:hAnsi="Times New Roman"/>
          <w:color w:val="000000"/>
        </w:rPr>
        <w:t>Andrzej Kaczmarczyk - osoba odpowiedzialna za przedmiot zamówienia, tel.</w:t>
      </w:r>
      <w:r>
        <w:rPr>
          <w:rFonts w:cs="Times New Roman" w:ascii="Times New Roman" w:hAnsi="Times New Roman"/>
          <w:color w:val="auto"/>
        </w:rPr>
        <w:t xml:space="preserve"> 532 788 118</w:t>
      </w:r>
    </w:p>
    <w:p>
      <w:pPr>
        <w:pStyle w:val="ListParagraph"/>
        <w:numPr>
          <w:ilvl w:val="0"/>
          <w:numId w:val="3"/>
        </w:numPr>
        <w:spacing w:lineRule="auto" w:line="240" w:before="0" w:after="0"/>
        <w:contextualSpacing/>
        <w:jc w:val="both"/>
        <w:rPr>
          <w:color w:val="auto"/>
        </w:rPr>
      </w:pPr>
      <w:r>
        <w:rPr>
          <w:rFonts w:cs="Times New Roman" w:ascii="Times New Roman" w:hAnsi="Times New Roman"/>
          <w:color w:val="auto"/>
        </w:rPr>
        <w:t xml:space="preserve">p. </w:t>
      </w:r>
      <w:r>
        <w:rPr>
          <w:rFonts w:eastAsia="Calibri" w:cs="Times New Roman" w:ascii="Times New Roman" w:hAnsi="Times New Roman"/>
          <w:color w:val="auto"/>
          <w:kern w:val="0"/>
          <w:sz w:val="22"/>
          <w:szCs w:val="22"/>
          <w:lang w:val="pl-PL" w:eastAsia="en-US" w:bidi="ar-SA"/>
        </w:rPr>
        <w:t>Bartosz Lewandowski</w:t>
      </w:r>
      <w:r>
        <w:rPr>
          <w:rFonts w:cs="Times New Roman" w:ascii="Times New Roman" w:hAnsi="Times New Roman"/>
          <w:color w:val="auto"/>
        </w:rPr>
        <w:t xml:space="preserve"> - osoba odpowiedzialna za zamówienia publiczne,</w:t>
      </w:r>
    </w:p>
    <w:p>
      <w:pPr>
        <w:pStyle w:val="ListParagraph"/>
        <w:spacing w:lineRule="auto" w:line="240" w:before="0" w:after="0"/>
        <w:ind w:hanging="0" w:left="1152"/>
        <w:contextualSpacing/>
        <w:jc w:val="both"/>
        <w:rPr>
          <w:color w:val="auto"/>
        </w:rPr>
      </w:pPr>
      <w:r>
        <w:rPr>
          <w:rFonts w:cs="Times New Roman" w:ascii="Times New Roman" w:hAnsi="Times New Roman"/>
          <w:color w:val="auto"/>
          <w:lang w:val="en-US"/>
        </w:rPr>
        <w:t>Tel. 59/ 842 84 60, faks 59/ 842 92 54,</w:t>
      </w:r>
    </w:p>
    <w:p>
      <w:pPr>
        <w:pStyle w:val="ListParagraph"/>
        <w:spacing w:lineRule="auto" w:line="240" w:before="0" w:after="0"/>
        <w:ind w:hanging="0" w:left="1152"/>
        <w:contextualSpacing/>
        <w:jc w:val="both"/>
        <w:rPr>
          <w:rStyle w:val="Hyperlink"/>
          <w:rFonts w:ascii="Times New Roman" w:hAnsi="Times New Roman" w:cs="Times New Roman"/>
          <w:color w:themeColor="hyperlink" w:val="CE181E"/>
          <w:lang w:val="en-US"/>
        </w:rPr>
      </w:pPr>
      <w:r>
        <w:rPr>
          <w:rFonts w:cs="Times New Roman" w:ascii="Times New Roman" w:hAnsi="Times New Roman"/>
          <w:color w:themeColor="hyperlink" w:val="CE181E"/>
          <w:lang w:val="en-US"/>
        </w:rPr>
      </w:r>
    </w:p>
    <w:p>
      <w:pPr>
        <w:pStyle w:val="ListParagraph"/>
        <w:spacing w:lineRule="auto" w:line="240" w:before="0" w:after="0"/>
        <w:ind w:hanging="0" w:left="1152"/>
        <w:contextualSpacing/>
        <w:jc w:val="both"/>
        <w:rPr>
          <w:rStyle w:val="Hyperlink"/>
          <w:rFonts w:ascii="Times New Roman" w:hAnsi="Times New Roman" w:cs="Times New Roman"/>
          <w:color w:themeColor="hyperlink" w:val="CE181E"/>
          <w:lang w:val="en-US"/>
        </w:rPr>
      </w:pPr>
      <w:r>
        <w:rPr>
          <w:rFonts w:cs="Times New Roman" w:ascii="Times New Roman" w:hAnsi="Times New Roman"/>
          <w:color w:themeColor="hyperlink" w:val="CE181E"/>
          <w:lang w:val="en-US"/>
        </w:rPr>
      </w:r>
    </w:p>
    <w:p>
      <w:pPr>
        <w:pStyle w:val="ListParagraph"/>
        <w:spacing w:lineRule="auto" w:line="240" w:before="0" w:after="0"/>
        <w:ind w:hanging="0" w:left="1152"/>
        <w:contextualSpacing/>
        <w:jc w:val="both"/>
        <w:rPr>
          <w:rStyle w:val="Hyperlink"/>
          <w:rFonts w:ascii="Times New Roman" w:hAnsi="Times New Roman" w:cs="Times New Roman"/>
          <w:color w:themeColor="hyperlink" w:val="CE181E"/>
          <w:lang w:val="en-US"/>
        </w:rPr>
      </w:pPr>
      <w:r>
        <w:rPr>
          <w:rFonts w:cs="Times New Roman" w:ascii="Times New Roman" w:hAnsi="Times New Roman"/>
          <w:color w:themeColor="hyperlink" w:val="CE181E"/>
          <w:lang w:val="en-US"/>
        </w:rPr>
      </w:r>
    </w:p>
    <w:p>
      <w:pPr>
        <w:pStyle w:val="ListParagraph"/>
        <w:numPr>
          <w:ilvl w:val="0"/>
          <w:numId w:val="12"/>
        </w:numPr>
        <w:spacing w:lineRule="auto" w:line="240" w:before="0" w:after="0"/>
        <w:contextualSpacing/>
        <w:jc w:val="both"/>
        <w:rPr>
          <w:rFonts w:ascii="Times New Roman" w:hAnsi="Times New Roman" w:eastAsia="Calibri" w:cs="Times New Roman" w:eastAsiaTheme="minorHAnsi"/>
          <w:b/>
          <w:color w:val="auto"/>
          <w:kern w:val="0"/>
          <w:sz w:val="22"/>
          <w:szCs w:val="22"/>
          <w:lang w:val="pl-PL" w:eastAsia="en-US" w:bidi="ar-SA"/>
        </w:rPr>
      </w:pPr>
      <w:r>
        <w:rPr>
          <w:rFonts w:eastAsia="Calibri" w:cs="Times New Roman" w:ascii="Times New Roman" w:hAnsi="Times New Roman" w:eastAsiaTheme="minorHAnsi"/>
          <w:b/>
          <w:color w:val="auto"/>
          <w:kern w:val="0"/>
          <w:sz w:val="22"/>
          <w:szCs w:val="22"/>
          <w:lang w:val="pl-PL" w:eastAsia="en-US" w:bidi="ar-SA"/>
        </w:rPr>
        <w:t xml:space="preserve">Zalecenia </w:t>
      </w:r>
      <w:r>
        <w:fldChar w:fldCharType="begin"/>
      </w:r>
      <w:r>
        <w:rPr>
          <w:sz w:val="22"/>
          <w:b/>
          <w:kern w:val="0"/>
          <w:szCs w:val="22"/>
          <w:rFonts w:eastAsia="Calibri" w:cs="Times New Roman" w:ascii="Times New Roman" w:hAnsi="Times New Roman"/>
          <w:color w:val="auto"/>
          <w:lang w:val="pl-PL" w:eastAsia="en-US" w:bidi="ar-SA"/>
        </w:rPr>
        <w:instrText xml:space="preserve"> TC "Zalecenia (elektronizacja)" \l 9 </w:instrText>
      </w:r>
      <w:r>
        <w:rPr>
          <w:sz w:val="22"/>
          <w:b/>
          <w:kern w:val="0"/>
          <w:szCs w:val="22"/>
          <w:rFonts w:eastAsia="Calibri" w:cs="Times New Roman" w:ascii="Times New Roman" w:hAnsi="Times New Roman"/>
          <w:color w:val="auto"/>
          <w:lang w:val="pl-PL" w:eastAsia="en-US" w:bidi="ar-SA"/>
        </w:rPr>
        <w:fldChar w:fldCharType="separate"/>
      </w:r>
      <w:r>
        <w:rPr>
          <w:rFonts w:eastAsia="Calibri" w:cs="Times New Roman" w:ascii="Times New Roman" w:hAnsi="Times New Roman"/>
          <w:b/>
          <w:color w:val="auto"/>
          <w:kern w:val="0"/>
          <w:sz w:val="22"/>
          <w:szCs w:val="22"/>
          <w:lang w:val="pl-PL" w:eastAsia="en-US" w:bidi="ar-SA"/>
        </w:rPr>
      </w:r>
      <w:r>
        <w:rPr>
          <w:sz w:val="22"/>
          <w:b/>
          <w:kern w:val="0"/>
          <w:szCs w:val="22"/>
          <w:rFonts w:eastAsia="Calibri" w:cs="Times New Roman" w:ascii="Times New Roman" w:hAnsi="Times New Roman"/>
          <w:color w:val="auto"/>
          <w:lang w:val="pl-PL" w:eastAsia="en-US" w:bidi="ar-SA"/>
        </w:rPr>
        <w:fldChar w:fldCharType="end"/>
      </w:r>
      <w:r>
        <w:fldChar w:fldCharType="begin"/>
      </w:r>
      <w:r>
        <w:rPr>
          <w:sz w:val="22"/>
          <w:b/>
          <w:kern w:val="0"/>
          <w:szCs w:val="22"/>
          <w:rFonts w:eastAsia="Calibri" w:cs="Times New Roman" w:ascii="Times New Roman" w:hAnsi="Times New Roman"/>
          <w:color w:val="auto"/>
          <w:lang w:val="pl-PL" w:eastAsia="en-US" w:bidi="ar-SA"/>
        </w:rPr>
        <w:instrText xml:space="preserve"> TC "Zalecenia (elektronizacja)" \l 9 </w:instrText>
      </w:r>
      <w:r>
        <w:rPr>
          <w:sz w:val="22"/>
          <w:b/>
          <w:kern w:val="0"/>
          <w:szCs w:val="22"/>
          <w:rFonts w:eastAsia="Calibri" w:cs="Times New Roman" w:ascii="Times New Roman" w:hAnsi="Times New Roman"/>
          <w:color w:val="auto"/>
          <w:lang w:val="pl-PL" w:eastAsia="en-US" w:bidi="ar-SA"/>
        </w:rPr>
        <w:fldChar w:fldCharType="separate"/>
      </w:r>
      <w:r>
        <w:rPr>
          <w:rFonts w:eastAsia="Calibri" w:cs="Times New Roman" w:ascii="Times New Roman" w:hAnsi="Times New Roman"/>
          <w:b/>
          <w:color w:val="auto"/>
          <w:kern w:val="0"/>
          <w:sz w:val="22"/>
          <w:szCs w:val="22"/>
          <w:lang w:val="pl-PL" w:eastAsia="en-US" w:bidi="ar-SA"/>
        </w:rPr>
      </w:r>
      <w:r>
        <w:rPr>
          <w:sz w:val="22"/>
          <w:b/>
          <w:kern w:val="0"/>
          <w:szCs w:val="22"/>
          <w:rFonts w:eastAsia="Calibri" w:cs="Times New Roman" w:ascii="Times New Roman" w:hAnsi="Times New Roman"/>
          <w:color w:val="auto"/>
          <w:lang w:val="pl-PL" w:eastAsia="en-US" w:bidi="ar-SA"/>
        </w:rPr>
        <w:fldChar w:fldCharType="end"/>
      </w:r>
      <w:r>
        <w:rPr>
          <w:rFonts w:eastAsia="Calibri" w:cs="Times New Roman" w:ascii="Times New Roman" w:hAnsi="Times New Roman" w:eastAsiaTheme="minorHAnsi"/>
          <w:b/>
          <w:color w:val="auto"/>
          <w:kern w:val="0"/>
          <w:sz w:val="22"/>
          <w:szCs w:val="22"/>
          <w:lang w:val="pl-PL" w:eastAsia="en-US" w:bidi="ar-SA"/>
        </w:rPr>
        <w:t>(elektronizacja)</w:t>
      </w:r>
    </w:p>
    <w:p>
      <w:pPr>
        <w:pStyle w:val="ListParagraph"/>
        <w:numPr>
          <w:ilvl w:val="1"/>
          <w:numId w:val="12"/>
        </w:numPr>
        <w:spacing w:lineRule="auto" w:line="240" w:before="0" w:after="0"/>
        <w:ind w:hanging="508" w:left="792"/>
        <w:contextualSpacing/>
        <w:jc w:val="both"/>
        <w:rPr>
          <w:b w:val="false"/>
          <w:bCs w:val="false"/>
        </w:rPr>
      </w:pPr>
      <w:r>
        <w:rPr>
          <w:rFonts w:cs="Times New Roman" w:ascii="Times New Roman" w:hAnsi="Times New Roman"/>
          <w:b/>
          <w:bCs/>
        </w:rPr>
        <w:t>Formaty plików wykorzystywanych przez wykonawców powinny być zgodne</w:t>
      </w:r>
      <w:r>
        <w:rPr>
          <w:rFonts w:cs="Times New Roman" w:ascii="Times New Roman" w:hAnsi="Times New Roman"/>
          <w:b w:val="false"/>
          <w:bCs w:val="false"/>
        </w:rPr>
        <w:t xml:space="preserv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pPr>
        <w:pStyle w:val="ListParagraph"/>
        <w:numPr>
          <w:ilvl w:val="1"/>
          <w:numId w:val="12"/>
        </w:numPr>
        <w:spacing w:lineRule="auto" w:line="240" w:before="0" w:after="0"/>
        <w:ind w:hanging="508" w:left="792"/>
        <w:contextualSpacing/>
        <w:jc w:val="both"/>
        <w:rPr>
          <w:b w:val="false"/>
          <w:bCs w:val="false"/>
        </w:rPr>
      </w:pPr>
      <w:r>
        <w:rPr>
          <w:rFonts w:cs="Times New Roman" w:ascii="Times New Roman" w:hAnsi="Times New Roman"/>
          <w:b w:val="false"/>
          <w:bCs w:val="false"/>
        </w:rPr>
        <w:t xml:space="preserve">Zamawiający rekomenduje wykorzystanie formatów: .pdf .doc .xls .jpg (.jpeg) </w:t>
      </w:r>
      <w:r>
        <w:rPr>
          <w:rFonts w:cs="Times New Roman" w:ascii="Times New Roman" w:hAnsi="Times New Roman"/>
          <w:b/>
          <w:bCs/>
        </w:rPr>
        <w:t>ze szczególnym wskazaniem na .pdf</w:t>
      </w:r>
    </w:p>
    <w:p>
      <w:pPr>
        <w:pStyle w:val="ListParagraph"/>
        <w:numPr>
          <w:ilvl w:val="1"/>
          <w:numId w:val="12"/>
        </w:numPr>
        <w:spacing w:lineRule="auto" w:line="240" w:before="0" w:after="0"/>
        <w:ind w:hanging="508" w:left="792"/>
        <w:contextualSpacing/>
        <w:jc w:val="both"/>
        <w:rPr>
          <w:b w:val="false"/>
          <w:bCs w:val="false"/>
        </w:rPr>
      </w:pPr>
      <w:r>
        <w:rPr>
          <w:rFonts w:cs="Times New Roman" w:ascii="Times New Roman" w:hAnsi="Times New Roman"/>
          <w:b w:val="false"/>
          <w:bCs w:val="false"/>
        </w:rPr>
        <w:t>W celu ewentualnej kompresji danych Zamawiający rekomenduje wykorzystanie jednego z formatów:</w:t>
      </w:r>
    </w:p>
    <w:p>
      <w:pPr>
        <w:pStyle w:val="ListParagraph"/>
        <w:widowControl/>
        <w:numPr>
          <w:ilvl w:val="0"/>
          <w:numId w:val="16"/>
        </w:numPr>
        <w:bidi w:val="0"/>
        <w:spacing w:lineRule="auto" w:line="240" w:before="0" w:after="0"/>
        <w:ind w:hanging="510" w:left="1304" w:right="0"/>
        <w:contextualSpacing/>
        <w:jc w:val="both"/>
        <w:rPr>
          <w:b w:val="false"/>
          <w:bCs w:val="false"/>
        </w:rPr>
      </w:pPr>
      <w:r>
        <w:rPr>
          <w:rFonts w:cs="Times New Roman" w:ascii="Times New Roman" w:hAnsi="Times New Roman"/>
          <w:b w:val="false"/>
          <w:bCs w:val="false"/>
        </w:rPr>
        <w:t xml:space="preserve">.zip </w:t>
      </w:r>
    </w:p>
    <w:p>
      <w:pPr>
        <w:pStyle w:val="ListParagraph"/>
        <w:widowControl/>
        <w:numPr>
          <w:ilvl w:val="0"/>
          <w:numId w:val="16"/>
        </w:numPr>
        <w:bidi w:val="0"/>
        <w:spacing w:lineRule="auto" w:line="240" w:before="0" w:after="0"/>
        <w:ind w:hanging="510" w:left="1304" w:right="0"/>
        <w:contextualSpacing/>
        <w:jc w:val="both"/>
        <w:rPr>
          <w:b w:val="false"/>
          <w:bCs w:val="false"/>
        </w:rPr>
      </w:pPr>
      <w:r>
        <w:rPr>
          <w:rFonts w:cs="Times New Roman" w:ascii="Times New Roman" w:hAnsi="Times New Roman"/>
          <w:b w:val="false"/>
          <w:bCs w:val="false"/>
        </w:rPr>
        <w:t>.7Z</w:t>
      </w:r>
    </w:p>
    <w:p>
      <w:pPr>
        <w:pStyle w:val="ListParagraph"/>
        <w:numPr>
          <w:ilvl w:val="1"/>
          <w:numId w:val="12"/>
        </w:numPr>
        <w:spacing w:lineRule="auto" w:line="240" w:before="0" w:after="0"/>
        <w:ind w:hanging="508" w:left="792"/>
        <w:contextualSpacing/>
        <w:jc w:val="both"/>
        <w:rPr>
          <w:b w:val="false"/>
          <w:bCs w:val="false"/>
        </w:rPr>
      </w:pPr>
      <w:r>
        <w:rPr>
          <w:rFonts w:cs="Times New Roman" w:ascii="Times New Roman" w:hAnsi="Times New Roman"/>
          <w:b w:val="false"/>
          <w:bCs w:val="false"/>
        </w:rPr>
        <w:t xml:space="preserve">Wśród formatów powszechnych a </w:t>
      </w:r>
      <w:r>
        <w:rPr>
          <w:rFonts w:cs="Times New Roman" w:ascii="Times New Roman" w:hAnsi="Times New Roman"/>
          <w:b/>
          <w:bCs/>
        </w:rPr>
        <w:t>NIE występujących</w:t>
      </w:r>
      <w:r>
        <w:rPr>
          <w:rFonts w:cs="Times New Roman" w:ascii="Times New Roman" w:hAnsi="Times New Roman"/>
          <w:b w:val="false"/>
          <w:bCs w:val="false"/>
        </w:rPr>
        <w:t xml:space="preserve"> w rozporządzeniu występują: .rar .gif .bmp .numbers .pages. </w:t>
      </w:r>
      <w:r>
        <w:rPr>
          <w:rFonts w:cs="Times New Roman" w:ascii="Times New Roman" w:hAnsi="Times New Roman"/>
          <w:b/>
          <w:bCs/>
        </w:rPr>
        <w:t>Dokumenty złożone w takich plikach zostaną uznane za złożone nieskutecznie.</w:t>
      </w:r>
    </w:p>
    <w:p>
      <w:pPr>
        <w:pStyle w:val="ListParagraph"/>
        <w:numPr>
          <w:ilvl w:val="1"/>
          <w:numId w:val="12"/>
        </w:numPr>
        <w:spacing w:lineRule="auto" w:line="240" w:before="0" w:after="0"/>
        <w:ind w:hanging="508" w:left="792"/>
        <w:contextualSpacing/>
        <w:jc w:val="both"/>
        <w:rPr>
          <w:b w:val="false"/>
          <w:bCs w:val="false"/>
        </w:rPr>
      </w:pPr>
      <w:r>
        <w:rPr>
          <w:rFonts w:cs="Times New Roman" w:ascii="Times New Roman" w:hAnsi="Times New Roman"/>
          <w:b w:val="false"/>
          <w:bCs w:val="false"/>
        </w:rPr>
        <w:t>Zamawiający zwraca uwagę na ograniczenia wielkości plików podpisywanych profilem zaufanym, który wynosi max 10MB, oraz na ograniczenie wielkości plików podpisywanych w aplikacji eDoApp służącej do składania podpisu osobistego, który wynosi max 5MB.</w:t>
      </w:r>
    </w:p>
    <w:p>
      <w:pPr>
        <w:pStyle w:val="ListParagraph"/>
        <w:numPr>
          <w:ilvl w:val="1"/>
          <w:numId w:val="12"/>
        </w:numPr>
        <w:spacing w:lineRule="auto" w:line="240" w:before="0" w:after="0"/>
        <w:ind w:hanging="508" w:left="792"/>
        <w:contextualSpacing/>
        <w:jc w:val="both"/>
        <w:rPr>
          <w:b w:val="false"/>
          <w:bCs w:val="false"/>
        </w:rPr>
      </w:pPr>
      <w:r>
        <w:rPr>
          <w:rFonts w:cs="Times New Roman" w:ascii="Times New Roman" w:hAnsi="Times New Roman"/>
          <w:b w:val="false"/>
          <w:bCs w:val="false"/>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pPr>
        <w:pStyle w:val="ListParagraph"/>
        <w:numPr>
          <w:ilvl w:val="1"/>
          <w:numId w:val="12"/>
        </w:numPr>
        <w:spacing w:lineRule="auto" w:line="240" w:before="0" w:after="0"/>
        <w:ind w:hanging="508" w:left="792"/>
        <w:contextualSpacing/>
        <w:jc w:val="both"/>
        <w:rPr>
          <w:b w:val="false"/>
          <w:bCs w:val="false"/>
        </w:rPr>
      </w:pPr>
      <w:r>
        <w:rPr>
          <w:rFonts w:cs="Times New Roman" w:ascii="Times New Roman" w:hAnsi="Times New Roman"/>
          <w:b w:val="false"/>
          <w:bCs w:val="false"/>
        </w:rPr>
        <w:t>Pliki w innych formatach niż PDF zaleca się opatrzyć zewnętrznym podpisem XAdES. Wykonawca powinien pamiętać, aby plik z podpisem przekazywać łącznie z dokumentem podpisywanym.</w:t>
      </w:r>
    </w:p>
    <w:p>
      <w:pPr>
        <w:pStyle w:val="ListParagraph"/>
        <w:numPr>
          <w:ilvl w:val="1"/>
          <w:numId w:val="12"/>
        </w:numPr>
        <w:spacing w:lineRule="auto" w:line="240" w:before="0" w:after="0"/>
        <w:ind w:hanging="508" w:left="792"/>
        <w:contextualSpacing/>
        <w:jc w:val="both"/>
        <w:rPr>
          <w:b w:val="false"/>
          <w:bCs w:val="false"/>
        </w:rPr>
      </w:pPr>
      <w:r>
        <w:rPr>
          <w:rFonts w:cs="Times New Roman" w:ascii="Times New Roman" w:hAnsi="Times New Roman"/>
          <w:b w:val="false"/>
          <w:bCs w:val="false"/>
        </w:rPr>
        <w:t xml:space="preserve">Zamawiający zaleca aby w przypadku podpisywania pliku przez kilka osób, stosować podpisy tego samego rodzaju. Podpisywanie różnymi rodzajami podpisów np. osobistym i kwalifikowanym może doprowadzić do problemów w weryfikacji plików. </w:t>
      </w:r>
    </w:p>
    <w:p>
      <w:pPr>
        <w:pStyle w:val="ListParagraph"/>
        <w:numPr>
          <w:ilvl w:val="1"/>
          <w:numId w:val="12"/>
        </w:numPr>
        <w:spacing w:lineRule="auto" w:line="240" w:before="0" w:after="0"/>
        <w:ind w:hanging="508" w:left="792"/>
        <w:contextualSpacing/>
        <w:jc w:val="both"/>
        <w:rPr>
          <w:b w:val="false"/>
          <w:bCs w:val="false"/>
        </w:rPr>
      </w:pPr>
      <w:r>
        <w:rPr>
          <w:rFonts w:cs="Times New Roman" w:ascii="Times New Roman" w:hAnsi="Times New Roman"/>
          <w:b w:val="false"/>
          <w:bCs w:val="false"/>
        </w:rPr>
        <w:t>Zamawiający zaleca, aby Wykonawca z odpowiednim wyprzedzeniem przetestował możliwość prawidłowego wykorzystania wybranej metody podpisania plików oferty.</w:t>
      </w:r>
    </w:p>
    <w:p>
      <w:pPr>
        <w:pStyle w:val="ListParagraph"/>
        <w:widowControl/>
        <w:numPr>
          <w:ilvl w:val="1"/>
          <w:numId w:val="12"/>
        </w:numPr>
        <w:tabs>
          <w:tab w:val="clear" w:pos="720"/>
          <w:tab w:val="left" w:pos="875" w:leader="none"/>
        </w:tabs>
        <w:bidi w:val="0"/>
        <w:spacing w:lineRule="auto" w:line="240" w:before="0" w:after="0"/>
        <w:ind w:hanging="510" w:left="680" w:right="0"/>
        <w:contextualSpacing/>
        <w:jc w:val="both"/>
        <w:rPr>
          <w:b w:val="false"/>
          <w:bCs w:val="false"/>
        </w:rPr>
      </w:pPr>
      <w:r>
        <w:rPr>
          <w:rFonts w:cs="Times New Roman" w:ascii="Times New Roman" w:hAnsi="Times New Roman"/>
          <w:b w:val="false"/>
          <w:bCs w:val="false"/>
        </w:rPr>
        <w:t>Zaleca się, aby komunikacja z wykonawcami odbywała się tylko na Platformie za pośrednictwem formularza “Wyślij wiadomość do zamawiającego”, nie za pośrednictwem adresu email.</w:t>
      </w:r>
    </w:p>
    <w:p>
      <w:pPr>
        <w:pStyle w:val="ListParagraph"/>
        <w:widowControl/>
        <w:numPr>
          <w:ilvl w:val="1"/>
          <w:numId w:val="12"/>
        </w:numPr>
        <w:tabs>
          <w:tab w:val="clear" w:pos="720"/>
          <w:tab w:val="left" w:pos="875" w:leader="none"/>
        </w:tabs>
        <w:bidi w:val="0"/>
        <w:spacing w:lineRule="auto" w:line="240" w:before="0" w:after="0"/>
        <w:ind w:hanging="510" w:left="680" w:right="0"/>
        <w:contextualSpacing/>
        <w:jc w:val="both"/>
        <w:rPr>
          <w:b w:val="false"/>
          <w:bCs w:val="false"/>
        </w:rPr>
      </w:pPr>
      <w:r>
        <w:rPr>
          <w:rFonts w:cs="Times New Roman" w:ascii="Times New Roman" w:hAnsi="Times New Roman"/>
          <w:b w:val="false"/>
          <w:bCs w:val="false"/>
        </w:rPr>
        <w:t>Osobą składającą ofertę powinna być osoba kontaktowa podawana w dokumentacji.</w:t>
      </w:r>
    </w:p>
    <w:p>
      <w:pPr>
        <w:pStyle w:val="ListParagraph"/>
        <w:widowControl/>
        <w:numPr>
          <w:ilvl w:val="1"/>
          <w:numId w:val="12"/>
        </w:numPr>
        <w:tabs>
          <w:tab w:val="clear" w:pos="720"/>
          <w:tab w:val="left" w:pos="875" w:leader="none"/>
        </w:tabs>
        <w:bidi w:val="0"/>
        <w:spacing w:lineRule="auto" w:line="240" w:before="0" w:after="0"/>
        <w:ind w:hanging="510" w:left="680" w:right="0"/>
        <w:contextualSpacing/>
        <w:jc w:val="both"/>
        <w:rPr>
          <w:b w:val="false"/>
          <w:bCs w:val="false"/>
        </w:rPr>
      </w:pPr>
      <w:r>
        <w:rPr>
          <w:rFonts w:cs="Times New Roman" w:ascii="Times New Roman" w:hAnsi="Times New Roman"/>
          <w:b w:val="false"/>
          <w:bCs w:val="false"/>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pPr>
        <w:pStyle w:val="ListParagraph"/>
        <w:widowControl/>
        <w:numPr>
          <w:ilvl w:val="1"/>
          <w:numId w:val="12"/>
        </w:numPr>
        <w:tabs>
          <w:tab w:val="clear" w:pos="720"/>
          <w:tab w:val="left" w:pos="875" w:leader="none"/>
        </w:tabs>
        <w:bidi w:val="0"/>
        <w:spacing w:lineRule="auto" w:line="240" w:before="0" w:after="0"/>
        <w:ind w:hanging="510" w:left="680" w:right="0"/>
        <w:contextualSpacing/>
        <w:jc w:val="both"/>
        <w:rPr>
          <w:b w:val="false"/>
          <w:bCs w:val="false"/>
        </w:rPr>
      </w:pPr>
      <w:r>
        <w:rPr>
          <w:rFonts w:cs="Times New Roman" w:ascii="Times New Roman" w:hAnsi="Times New Roman"/>
          <w:b w:val="false"/>
          <w:bCs w:val="false"/>
        </w:rPr>
        <w:t xml:space="preserve">Podczas podpisywania plików zaleca się stosowanie algorytmu skrótu SHA2 zamiast SHA1.  </w:t>
      </w:r>
    </w:p>
    <w:p>
      <w:pPr>
        <w:pStyle w:val="ListParagraph"/>
        <w:widowControl/>
        <w:numPr>
          <w:ilvl w:val="1"/>
          <w:numId w:val="12"/>
        </w:numPr>
        <w:tabs>
          <w:tab w:val="clear" w:pos="720"/>
          <w:tab w:val="left" w:pos="875" w:leader="none"/>
        </w:tabs>
        <w:bidi w:val="0"/>
        <w:spacing w:lineRule="auto" w:line="240" w:before="0" w:after="0"/>
        <w:ind w:hanging="510" w:left="680" w:right="0"/>
        <w:contextualSpacing/>
        <w:jc w:val="both"/>
        <w:rPr>
          <w:b w:val="false"/>
          <w:bCs w:val="false"/>
        </w:rPr>
      </w:pPr>
      <w:r>
        <w:rPr>
          <w:rFonts w:cs="Times New Roman" w:ascii="Times New Roman" w:hAnsi="Times New Roman"/>
          <w:b w:val="false"/>
          <w:bCs w:val="false"/>
        </w:rPr>
        <w:t xml:space="preserve">Jeśli wykonawca pakuje dokumenty np. w plik ZIP zalecamy wcześniejsze podpisanie każdego ze skompresowanych plików. </w:t>
      </w:r>
    </w:p>
    <w:p>
      <w:pPr>
        <w:pStyle w:val="ListParagraph"/>
        <w:widowControl/>
        <w:numPr>
          <w:ilvl w:val="1"/>
          <w:numId w:val="12"/>
        </w:numPr>
        <w:tabs>
          <w:tab w:val="clear" w:pos="720"/>
          <w:tab w:val="left" w:pos="875" w:leader="none"/>
        </w:tabs>
        <w:bidi w:val="0"/>
        <w:spacing w:lineRule="auto" w:line="240" w:before="0" w:after="0"/>
        <w:ind w:hanging="510" w:left="680" w:right="0"/>
        <w:contextualSpacing/>
        <w:jc w:val="both"/>
        <w:rPr>
          <w:b w:val="false"/>
          <w:bCs w:val="false"/>
        </w:rPr>
      </w:pPr>
      <w:r>
        <w:rPr>
          <w:rFonts w:cs="Times New Roman" w:ascii="Times New Roman" w:hAnsi="Times New Roman"/>
          <w:b w:val="false"/>
          <w:bCs w:val="false"/>
        </w:rPr>
        <w:t>Zamawiający rekomenduje wykorzystanie podpisu z kwalifikowanym znacznikiem czasu.</w:t>
      </w:r>
    </w:p>
    <w:p>
      <w:pPr>
        <w:pStyle w:val="ListParagraph"/>
        <w:widowControl/>
        <w:numPr>
          <w:ilvl w:val="1"/>
          <w:numId w:val="12"/>
        </w:numPr>
        <w:tabs>
          <w:tab w:val="clear" w:pos="720"/>
          <w:tab w:val="left" w:pos="875" w:leader="none"/>
        </w:tabs>
        <w:bidi w:val="0"/>
        <w:spacing w:lineRule="auto" w:line="240" w:before="0" w:after="0"/>
        <w:ind w:hanging="510" w:left="680" w:right="0"/>
        <w:contextualSpacing/>
        <w:jc w:val="both"/>
        <w:rPr>
          <w:b w:val="false"/>
          <w:bCs w:val="false"/>
        </w:rPr>
      </w:pPr>
      <w:r>
        <w:rPr>
          <w:rFonts w:cs="Times New Roman" w:ascii="Times New Roman" w:hAnsi="Times New Roman"/>
          <w:b w:val="false"/>
          <w:bCs w:val="false"/>
        </w:rPr>
        <w:t xml:space="preserve">Zamawiający zaleca aby </w:t>
      </w:r>
      <w:r>
        <w:rPr>
          <w:rFonts w:cs="Times New Roman" w:ascii="Times New Roman" w:hAnsi="Times New Roman"/>
          <w:b w:val="false"/>
          <w:bCs w:val="false"/>
          <w:u w:val="single"/>
        </w:rPr>
        <w:t>nie</w:t>
      </w:r>
      <w:r>
        <w:rPr>
          <w:rFonts w:cs="Times New Roman" w:ascii="Times New Roman" w:hAnsi="Times New Roman"/>
          <w:b w:val="false"/>
          <w:bCs w:val="false"/>
        </w:rPr>
        <w:t xml:space="preserve"> wprowadzać jakichkolwiek zmian w plikach po podpisaniu ich podpisem kwalifikowanym. Może to skutkować naruszeniem integralności plików co równoważne będzie z koniecznością odrzucenia oferty w postępowaniu.</w:t>
      </w:r>
    </w:p>
    <w:p>
      <w:pPr>
        <w:pStyle w:val="ListParagraph"/>
        <w:widowControl/>
        <w:numPr>
          <w:ilvl w:val="0"/>
          <w:numId w:val="0"/>
        </w:numPr>
        <w:tabs>
          <w:tab w:val="clear" w:pos="720"/>
          <w:tab w:val="left" w:pos="875" w:leader="none"/>
        </w:tabs>
        <w:bidi w:val="0"/>
        <w:spacing w:lineRule="auto" w:line="240" w:before="0" w:after="0"/>
        <w:ind w:hanging="0" w:left="680" w:right="0"/>
        <w:contextualSpacing/>
        <w:jc w:val="both"/>
        <w:rPr>
          <w:b w:val="false"/>
          <w:bCs w:val="false"/>
        </w:rPr>
      </w:pPr>
      <w:r>
        <w:rPr>
          <w:b w:val="false"/>
          <w:bCs w:val="false"/>
        </w:rPr>
      </w:r>
    </w:p>
    <w:p>
      <w:pPr>
        <w:pStyle w:val="ListParagraph"/>
        <w:spacing w:lineRule="auto" w:line="240" w:before="0" w:after="0"/>
        <w:contextualSpacing/>
        <w:jc w:val="both"/>
        <w:rPr>
          <w:rFonts w:ascii="Times New Roman" w:hAnsi="Times New Roman" w:cs="Times New Roman"/>
          <w:b/>
        </w:rPr>
      </w:pPr>
      <w:r>
        <w:rPr>
          <w:rFonts w:cs="Times New Roman" w:ascii="Times New Roman" w:hAnsi="Times New Roman"/>
          <w:b/>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Wymagania dotyczące wadium:</w:t>
      </w:r>
      <w:r>
        <w:fldChar w:fldCharType="begin"/>
      </w:r>
      <w:r>
        <w:rPr>
          <w:b/>
          <w:rFonts w:cs="Times New Roman" w:ascii="Times New Roman" w:hAnsi="Times New Roman"/>
        </w:rPr>
        <w:instrText xml:space="preserve"> TC "Wymagania dotyczące wadium:"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wadium:"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wadium:"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wadium:"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wadium:"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wadium:"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0"/>
          <w:numId w:val="0"/>
        </w:numPr>
        <w:spacing w:lineRule="auto" w:line="240" w:before="0" w:after="0"/>
        <w:ind w:hanging="0" w:left="792"/>
        <w:contextualSpacing/>
        <w:jc w:val="both"/>
        <w:rPr/>
      </w:pPr>
      <w:r>
        <w:fldChar w:fldCharType="begin"/>
      </w:r>
      <w:r>
        <w:rPr>
          <w:b/>
          <w:rFonts w:cs="Times New Roman" w:ascii="Times New Roman" w:hAnsi="Times New Roman"/>
        </w:rPr>
        <w:instrText xml:space="preserve"> TC "Wymagania dotyczące wadium:"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pPr>
      <w:r>
        <w:rPr>
          <w:rFonts w:cs="Times New Roman" w:ascii="Times New Roman" w:hAnsi="Times New Roman"/>
        </w:rPr>
        <w:t xml:space="preserve">Wykonawca przystępujący do </w:t>
      </w:r>
      <w:r>
        <w:rPr>
          <w:rFonts w:eastAsia="Calibri" w:cs="Times New Roman" w:ascii="Times New Roman" w:hAnsi="Times New Roman" w:eastAsiaTheme="minorHAnsi"/>
          <w:color w:val="auto"/>
          <w:kern w:val="0"/>
          <w:sz w:val="22"/>
          <w:szCs w:val="22"/>
          <w:lang w:val="pl-PL" w:eastAsia="en-US" w:bidi="ar-SA"/>
        </w:rPr>
        <w:t>postępowania</w:t>
      </w:r>
      <w:r>
        <w:rPr>
          <w:rFonts w:cs="Times New Roman" w:ascii="Times New Roman" w:hAnsi="Times New Roman"/>
        </w:rPr>
        <w:t xml:space="preserve"> jest zobowiązany wnieść wadium w wysokości:</w:t>
      </w:r>
    </w:p>
    <w:p>
      <w:pPr>
        <w:pStyle w:val="ListParagraph"/>
        <w:numPr>
          <w:ilvl w:val="0"/>
          <w:numId w:val="0"/>
        </w:numPr>
        <w:spacing w:lineRule="auto" w:line="240" w:before="0" w:after="0"/>
        <w:ind w:hanging="0" w:left="0"/>
        <w:contextualSpacing/>
        <w:jc w:val="both"/>
        <w:rPr/>
      </w:pPr>
      <w:r>
        <w:rPr>
          <w:rFonts w:eastAsia="Calibri" w:cs="Times New Roman" w:ascii="Times New Roman" w:hAnsi="Times New Roman" w:eastAsiaTheme="minorHAnsi"/>
          <w:b/>
          <w:color w:val="auto"/>
          <w:kern w:val="0"/>
          <w:sz w:val="22"/>
          <w:szCs w:val="22"/>
          <w:lang w:val="pl-PL" w:eastAsia="en-US" w:bidi="ar-SA"/>
        </w:rPr>
        <w:t xml:space="preserve">             </w:t>
      </w:r>
      <w:r>
        <w:rPr>
          <w:rFonts w:eastAsia="Calibri" w:cs="Times New Roman" w:ascii="Times New Roman" w:hAnsi="Times New Roman" w:eastAsiaTheme="minorHAnsi"/>
          <w:b/>
          <w:color w:val="auto"/>
          <w:kern w:val="0"/>
          <w:sz w:val="22"/>
          <w:szCs w:val="22"/>
          <w:lang w:val="pl-PL" w:eastAsia="en-US" w:bidi="ar-SA"/>
        </w:rPr>
        <w:t>10 000,00</w:t>
      </w:r>
      <w:r>
        <w:rPr>
          <w:rFonts w:cs="Times New Roman" w:ascii="Times New Roman" w:hAnsi="Times New Roman"/>
          <w:b/>
        </w:rPr>
        <w:t xml:space="preserve"> </w:t>
      </w:r>
      <w:r>
        <w:rPr>
          <w:rFonts w:cs="Times New Roman" w:ascii="Times New Roman" w:hAnsi="Times New Roman"/>
          <w:b w:val="false"/>
          <w:bCs w:val="false"/>
          <w:color w:val="000000"/>
          <w:shd w:fill="auto" w:val="clear"/>
        </w:rPr>
        <w:t xml:space="preserve">zł (słownie: dziesięć tysięcy  zł. </w:t>
      </w:r>
      <w:r>
        <w:rPr>
          <w:rFonts w:eastAsia="Calibri" w:cs="Times New Roman" w:ascii="Times New Roman" w:hAnsi="Times New Roman" w:eastAsiaTheme="minorHAnsi"/>
          <w:b w:val="false"/>
          <w:bCs w:val="false"/>
          <w:color w:val="000000"/>
          <w:kern w:val="0"/>
          <w:sz w:val="22"/>
          <w:szCs w:val="22"/>
          <w:shd w:fill="auto" w:val="clear"/>
          <w:lang w:val="pl-PL" w:eastAsia="en-US" w:bidi="ar-SA"/>
        </w:rPr>
        <w:t>00/100</w:t>
      </w:r>
      <w:r>
        <w:rPr>
          <w:rFonts w:cs="Times New Roman" w:ascii="Times New Roman" w:hAnsi="Times New Roman"/>
          <w:b w:val="false"/>
          <w:bCs w:val="false"/>
          <w:color w:val="000000"/>
          <w:shd w:fill="auto" w:val="clear"/>
        </w:rPr>
        <w:t>).</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Wadium może być wnoszone według wyboru wykonawcy w jednej lub kilku następujących for-mach:</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1) pieniądzu,</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2) gwarancjach bankowych,</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3) gwarancjach ubezpieczeniowych,</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4) poręczeniach udzielanych przez podmioty, o których mowa w art. 6b ust. 5 pkt 2 ustawy z dnia 9 listopada 2000 r. o utworzeniu Polskiej Agencji Rozwoju Przedsiębiorczości (DZ.U. z 2000 r. Nr 109, poz. 1158 z póź. zm.).</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b/>
        </w:rPr>
        <w:t xml:space="preserve">Wadium w formie pieniężnej należy wnieść przelewem na rachunek bankowy Zamawiającego: BNP PARIBAS, nr 95 1600 0003 1852 7858 2000 0003 </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Wadium wniesione w pieniądzu Zamawiający przechowuje na rachunku bankowym.</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Jeżeli wadium jest wnoszone w formie gwarancji lub poręczenia, o których mowa w ust. </w:t>
      </w:r>
      <w:r>
        <w:rPr>
          <w:rFonts w:eastAsia="Calibri" w:cs="Times New Roman" w:ascii="Times New Roman" w:hAnsi="Times New Roman" w:eastAsiaTheme="minorHAnsi"/>
          <w:color w:val="auto"/>
          <w:kern w:val="0"/>
          <w:sz w:val="22"/>
          <w:szCs w:val="22"/>
          <w:lang w:val="pl-PL" w:eastAsia="en-US" w:bidi="ar-SA"/>
        </w:rPr>
        <w:t>14.2</w:t>
      </w:r>
      <w:r>
        <w:rPr>
          <w:rFonts w:cs="Times New Roman" w:ascii="Times New Roman" w:hAnsi="Times New Roman"/>
        </w:rPr>
        <w:t xml:space="preserve"> pkt 2–4, wykonawca przekazuje zamawiającemu oryginał gwarancji lub poręczenia, w postaci elektronicznej.</w:t>
      </w:r>
    </w:p>
    <w:p>
      <w:pPr>
        <w:pStyle w:val="ListParagraph"/>
        <w:numPr>
          <w:ilvl w:val="1"/>
          <w:numId w:val="12"/>
        </w:numPr>
        <w:spacing w:lineRule="auto" w:line="240" w:before="0" w:after="0"/>
        <w:ind w:hanging="508" w:left="792"/>
        <w:contextualSpacing/>
        <w:jc w:val="both"/>
        <w:rPr/>
      </w:pPr>
      <w:r>
        <w:rPr>
          <w:rFonts w:cs="Times New Roman" w:ascii="Times New Roman" w:hAnsi="Times New Roman"/>
          <w:b/>
        </w:rPr>
        <w:t>Wadium wnosi się przed upływem terminu składania ofert i utrzymuje nieprzerwanie do dnia upływu terminu związania ofertą.</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Zamawiający zwraca wadium zgodnie z art. 98 ustawy Pzp.</w:t>
      </w:r>
    </w:p>
    <w:p>
      <w:pPr>
        <w:pStyle w:val="ListParagraph"/>
        <w:widowControl/>
        <w:numPr>
          <w:ilvl w:val="1"/>
          <w:numId w:val="12"/>
        </w:numPr>
        <w:tabs>
          <w:tab w:val="clear" w:pos="720"/>
          <w:tab w:val="left" w:pos="850" w:leader="none"/>
        </w:tabs>
        <w:bidi w:val="0"/>
        <w:spacing w:lineRule="auto" w:line="240" w:before="0" w:after="0"/>
        <w:ind w:hanging="510" w:left="794" w:right="0"/>
        <w:contextualSpacing/>
        <w:jc w:val="both"/>
        <w:rPr>
          <w:rFonts w:ascii="Times New Roman" w:hAnsi="Times New Roman" w:cs="Times New Roman"/>
        </w:rPr>
      </w:pPr>
      <w:r>
        <w:rPr>
          <w:rFonts w:cs="Times New Roman" w:ascii="Times New Roman" w:hAnsi="Times New Roman"/>
        </w:rPr>
        <w:t xml:space="preserve">Zgodnie z art. </w:t>
      </w:r>
      <w:r>
        <w:rPr>
          <w:rFonts w:eastAsia="Calibri" w:cs="Times New Roman" w:ascii="Times New Roman" w:hAnsi="Times New Roman" w:eastAsiaTheme="minorHAnsi"/>
          <w:color w:val="auto"/>
          <w:kern w:val="0"/>
          <w:sz w:val="22"/>
          <w:szCs w:val="22"/>
          <w:lang w:val="pl-PL" w:eastAsia="en-US" w:bidi="ar-SA"/>
        </w:rPr>
        <w:t>98</w:t>
      </w:r>
      <w:r>
        <w:rPr>
          <w:rFonts w:cs="Times New Roman" w:ascii="Times New Roman" w:hAnsi="Times New Roman"/>
        </w:rPr>
        <w:t xml:space="preserve"> ust. </w:t>
      </w:r>
      <w:r>
        <w:rPr>
          <w:rFonts w:eastAsia="Calibri" w:cs="Times New Roman" w:ascii="Times New Roman" w:hAnsi="Times New Roman" w:eastAsiaTheme="minorHAnsi"/>
          <w:color w:val="auto"/>
          <w:kern w:val="0"/>
          <w:sz w:val="22"/>
          <w:szCs w:val="22"/>
          <w:lang w:val="pl-PL" w:eastAsia="en-US" w:bidi="ar-SA"/>
        </w:rPr>
        <w:t>6</w:t>
      </w:r>
      <w:r>
        <w:rPr>
          <w:rFonts w:cs="Times New Roman" w:ascii="Times New Roman" w:hAnsi="Times New Roman"/>
        </w:rPr>
        <w:t xml:space="preserve"> Ustawy Zamawiający zatrzymuje wadium wraz z odsetkami, a w przypadku wadium wniesionego w formie gwarancji lub poręczenia, o których mowa w art. 97 ust. 7 pkt 2–4, występuje odpowiednio do gwaranta lub poręczyciela z żądaniem zapłaty wadium, jeżeli:</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1)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pPr>
        <w:pStyle w:val="ListParagraph"/>
        <w:numPr>
          <w:ilvl w:val="0"/>
          <w:numId w:val="0"/>
        </w:numPr>
        <w:spacing w:lineRule="auto" w:line="240" w:before="0" w:after="0"/>
        <w:ind w:hanging="0" w:left="360"/>
        <w:contextualSpacing/>
        <w:jc w:val="both"/>
        <w:rPr>
          <w:rFonts w:ascii="Times New Roman" w:hAnsi="Times New Roman"/>
        </w:rPr>
      </w:pPr>
      <w:r>
        <w:rPr>
          <w:rFonts w:cs="Times New Roman" w:ascii="Times New Roman" w:hAnsi="Times New Roman"/>
        </w:rPr>
        <w:t>2) wykonawca, którego oferta została wybrana:</w:t>
      </w:r>
    </w:p>
    <w:p>
      <w:pPr>
        <w:pStyle w:val="ListParagraph"/>
        <w:widowControl/>
        <w:numPr>
          <w:ilvl w:val="0"/>
          <w:numId w:val="0"/>
        </w:numPr>
        <w:bidi w:val="0"/>
        <w:spacing w:lineRule="auto" w:line="240" w:before="0" w:after="0"/>
        <w:ind w:hanging="0" w:left="851" w:right="0"/>
        <w:contextualSpacing/>
        <w:jc w:val="both"/>
        <w:rPr>
          <w:rFonts w:ascii="Times New Roman" w:hAnsi="Times New Roman"/>
        </w:rPr>
      </w:pPr>
      <w:r>
        <w:rPr>
          <w:rFonts w:ascii="Times New Roman" w:hAnsi="Times New Roman"/>
        </w:rPr>
        <w:t>a) odmówił podpisania umowy w sprawie zamówienia publicznego na warunkach określonych w ofercie,</w:t>
      </w:r>
    </w:p>
    <w:p>
      <w:pPr>
        <w:pStyle w:val="ListParagraph"/>
        <w:widowControl/>
        <w:numPr>
          <w:ilvl w:val="0"/>
          <w:numId w:val="0"/>
        </w:numPr>
        <w:bidi w:val="0"/>
        <w:spacing w:lineRule="auto" w:line="240" w:before="0" w:after="0"/>
        <w:ind w:hanging="0" w:left="851" w:right="0"/>
        <w:contextualSpacing/>
        <w:jc w:val="both"/>
        <w:rPr>
          <w:rFonts w:ascii="Times New Roman" w:hAnsi="Times New Roman"/>
        </w:rPr>
      </w:pPr>
      <w:r>
        <w:rPr>
          <w:rFonts w:ascii="Times New Roman" w:hAnsi="Times New Roman"/>
        </w:rPr>
        <w:t>b) nie wniósł wymaganego zabezpieczenia należytego wykonania umowy;</w:t>
      </w:r>
    </w:p>
    <w:p>
      <w:pPr>
        <w:pStyle w:val="ListParagraph"/>
        <w:numPr>
          <w:ilvl w:val="1"/>
          <w:numId w:val="12"/>
        </w:numPr>
        <w:spacing w:lineRule="auto" w:line="240" w:before="0" w:after="0"/>
        <w:ind w:hanging="508" w:left="792"/>
        <w:contextualSpacing/>
        <w:jc w:val="both"/>
        <w:rPr/>
      </w:pPr>
      <w:r>
        <w:rPr>
          <w:rFonts w:cs="Times New Roman" w:ascii="Times New Roman" w:hAnsi="Times New Roman"/>
        </w:rPr>
        <w:t>3) zawarcie umowy w sprawie zamówienia publicznego stało się niemożliwe z przyczyn leżących po stronie wykonawcy, którego oferta została wybrana.</w:t>
      </w:r>
    </w:p>
    <w:p>
      <w:pPr>
        <w:pStyle w:val="ListParagraph"/>
        <w:spacing w:lineRule="auto" w:line="240" w:before="0" w:after="0"/>
        <w:ind w:hanging="0" w:left="1152"/>
        <w:contextualSpacing/>
        <w:jc w:val="both"/>
        <w:rPr/>
      </w:pPr>
      <w:r>
        <w:rPr/>
      </w:r>
    </w:p>
    <w:p>
      <w:pPr>
        <w:pStyle w:val="ListParagraph"/>
        <w:numPr>
          <w:ilvl w:val="0"/>
          <w:numId w:val="12"/>
        </w:numPr>
        <w:spacing w:lineRule="auto" w:line="240" w:before="0" w:after="0"/>
        <w:contextualSpacing/>
        <w:jc w:val="both"/>
        <w:rPr/>
      </w:pPr>
      <w:r>
        <w:rPr>
          <w:rFonts w:cs="Times New Roman" w:ascii="Times New Roman" w:hAnsi="Times New Roman"/>
          <w:b/>
        </w:rPr>
        <w:t>Opis sposobu przygotowania oferty:</w:t>
      </w:r>
      <w:r>
        <w:fldChar w:fldCharType="begin"/>
      </w:r>
      <w:r>
        <w:rPr>
          <w:b/>
          <w:rFonts w:cs="Times New Roman" w:ascii="Times New Roman" w:hAnsi="Times New Roman"/>
        </w:rPr>
        <w:instrText xml:space="preserve"> TC "Opis sposobu przygotowania oferty:"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przygotowania oferty:"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przygotowania oferty:"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przygotowania oferty:"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przygotowania oferty:"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przygotowania oferty:"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Oferta składan</w:t>
      </w:r>
      <w:r>
        <w:rPr>
          <w:rFonts w:eastAsia="Calibri" w:cs="Times New Roman" w:ascii="Times New Roman" w:hAnsi="Times New Roman"/>
          <w:color w:val="000000"/>
          <w:kern w:val="0"/>
          <w:sz w:val="22"/>
          <w:szCs w:val="22"/>
          <w:lang w:val="pl-PL" w:eastAsia="en-US" w:bidi="ar-SA"/>
        </w:rPr>
        <w:t>a</w:t>
      </w:r>
      <w:r>
        <w:rPr>
          <w:rFonts w:cs="Times New Roman" w:ascii="Times New Roman" w:hAnsi="Times New Roman"/>
          <w:color w:val="000000"/>
        </w:rPr>
        <w:t xml:space="preserve"> elektronicznie mus</w:t>
      </w:r>
      <w:r>
        <w:rPr>
          <w:rFonts w:eastAsia="Calibri" w:cs="Times New Roman" w:ascii="Times New Roman" w:hAnsi="Times New Roman"/>
          <w:color w:val="000000"/>
          <w:kern w:val="0"/>
          <w:sz w:val="22"/>
          <w:szCs w:val="22"/>
          <w:lang w:val="pl-PL" w:eastAsia="en-US" w:bidi="ar-SA"/>
        </w:rPr>
        <w:t>i</w:t>
      </w:r>
      <w:r>
        <w:rPr>
          <w:rFonts w:cs="Times New Roman" w:ascii="Times New Roman" w:hAnsi="Times New Roman"/>
          <w:color w:val="000000"/>
        </w:rPr>
        <w:t xml:space="preserve"> zostać podpisan</w:t>
      </w:r>
      <w:r>
        <w:rPr>
          <w:rFonts w:eastAsia="Calibri" w:cs="Times New Roman" w:ascii="Times New Roman" w:hAnsi="Times New Roman"/>
          <w:color w:val="000000"/>
          <w:kern w:val="0"/>
          <w:sz w:val="22"/>
          <w:szCs w:val="22"/>
          <w:lang w:val="pl-PL" w:eastAsia="en-US" w:bidi="ar-SA"/>
        </w:rPr>
        <w:t>a</w:t>
      </w:r>
      <w:r>
        <w:rPr>
          <w:rFonts w:cs="Times New Roman" w:ascii="Times New Roman" w:hAnsi="Times New Roman"/>
          <w:color w:val="000000"/>
        </w:rPr>
        <w:t xml:space="preserve"> elektronicznym kwalifikowanym podpisem lub podpisem zaufanym lub podpisem osobistym. W procesie składania oferty na platformie, kwalifikowany podpis elektroniczny wykonawca może złożyć bezpośrednio na dokumencie, który następnie przesyła do systemu (opcja rekomendowana przez </w:t>
      </w:r>
      <w:hyperlink r:id="rId20">
        <w:r>
          <w:rPr>
            <w:rStyle w:val="Hyperlink"/>
            <w:rFonts w:cs="Times New Roman" w:ascii="Times New Roman" w:hAnsi="Times New Roman"/>
            <w:color w:val="000000"/>
          </w:rPr>
          <w:t>platformazakupowa.pl</w:t>
        </w:r>
      </w:hyperlink>
      <w:r>
        <w:rPr>
          <w:rFonts w:cs="Times New Roman" w:ascii="Times New Roman" w:hAnsi="Times New Roman"/>
          <w:color w:val="000000"/>
        </w:rPr>
        <w:t>) oraz dodatkowo dla całego pakietu dokumentów w kroku 2 Formularza składania oferty lub wniosku (po kliknięciu w przycisk Przejdź do podsumowania).</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Oferta powinna być:</w:t>
      </w:r>
    </w:p>
    <w:p>
      <w:pPr>
        <w:pStyle w:val="ListParagraph"/>
        <w:numPr>
          <w:ilvl w:val="0"/>
          <w:numId w:val="13"/>
        </w:numPr>
        <w:spacing w:lineRule="auto" w:line="240" w:before="0" w:after="0"/>
        <w:ind w:hanging="508" w:left="792"/>
        <w:contextualSpacing/>
        <w:jc w:val="both"/>
        <w:rPr>
          <w:color w:val="000000"/>
        </w:rPr>
      </w:pPr>
      <w:r>
        <w:rPr>
          <w:rFonts w:cs="Times New Roman" w:ascii="Times New Roman" w:hAnsi="Times New Roman"/>
          <w:color w:val="000000"/>
        </w:rPr>
        <w:t>sporządzona na podstawie załączników niniejszej SWZ w języku polskim,</w:t>
      </w:r>
    </w:p>
    <w:p>
      <w:pPr>
        <w:pStyle w:val="ListParagraph"/>
        <w:numPr>
          <w:ilvl w:val="0"/>
          <w:numId w:val="13"/>
        </w:numPr>
        <w:spacing w:lineRule="auto" w:line="240" w:before="0" w:after="0"/>
        <w:ind w:hanging="508" w:left="792"/>
        <w:contextualSpacing/>
        <w:jc w:val="both"/>
        <w:rPr>
          <w:color w:val="000000"/>
        </w:rPr>
      </w:pPr>
      <w:r>
        <w:rPr>
          <w:rFonts w:cs="Times New Roman" w:ascii="Times New Roman" w:hAnsi="Times New Roman"/>
          <w:color w:val="000000"/>
        </w:rPr>
        <w:t xml:space="preserve">złożona przy użyciu środków komunikacji elektronicznej tzn. za pośrednictwem </w:t>
      </w:r>
      <w:hyperlink r:id="rId21">
        <w:r>
          <w:rPr>
            <w:rStyle w:val="Hyperlink"/>
            <w:rFonts w:cs="Times New Roman" w:ascii="Times New Roman" w:hAnsi="Times New Roman"/>
            <w:color w:val="000000"/>
          </w:rPr>
          <w:t>platformazakupowa.pl</w:t>
        </w:r>
      </w:hyperlink>
      <w:r>
        <w:rPr>
          <w:rFonts w:cs="Times New Roman" w:ascii="Times New Roman" w:hAnsi="Times New Roman"/>
          <w:color w:val="000000"/>
        </w:rPr>
        <w:t>,</w:t>
      </w:r>
    </w:p>
    <w:p>
      <w:pPr>
        <w:pStyle w:val="ListParagraph"/>
        <w:numPr>
          <w:ilvl w:val="0"/>
          <w:numId w:val="13"/>
        </w:numPr>
        <w:spacing w:lineRule="auto" w:line="240" w:before="0" w:after="0"/>
        <w:ind w:hanging="508" w:left="792"/>
        <w:contextualSpacing/>
        <w:jc w:val="both"/>
        <w:rPr>
          <w:color w:val="000000"/>
        </w:rPr>
      </w:pPr>
      <w:r>
        <w:rPr>
          <w:rFonts w:cs="Times New Roman" w:ascii="Times New Roman" w:hAnsi="Times New Roman"/>
          <w:color w:val="000000"/>
        </w:rPr>
        <w:t>podpisana kwalifikowanym podpisem elektronicznym lub podpisem zaufanym lub podpisem osobistym przez osobę/osoby upoważnioną/upoważnione</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W przypadku wykorzystania formatu podpisu XAdES zewnętrzny. Zamawiający wymaga dołączenia odpowiedniej ilości plików tj. podpisywanych plików z danymi oraz plików XAdES.</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 xml:space="preserve">Wykonawca, za pośrednictwem </w:t>
      </w:r>
      <w:hyperlink r:id="rId22">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może przed upływem terminu do składania ofert zmienić lub wycofać ofertę. Sposób dokonywania zmiany lub wycofania oferty zamieszczono w instrukcji zamieszczonej na stronie internetowej pod adresem:</w:t>
      </w:r>
    </w:p>
    <w:p>
      <w:pPr>
        <w:pStyle w:val="ListParagraph"/>
        <w:numPr>
          <w:ilvl w:val="0"/>
          <w:numId w:val="0"/>
        </w:numPr>
        <w:spacing w:lineRule="auto" w:line="240" w:before="0" w:after="0"/>
        <w:ind w:hanging="0" w:left="1076"/>
        <w:contextualSpacing/>
        <w:jc w:val="both"/>
        <w:rPr/>
      </w:pPr>
      <w:r>
        <w:rPr>
          <w:rStyle w:val="Hyperlink"/>
          <w:rFonts w:cs="Times New Roman" w:ascii="Times New Roman" w:hAnsi="Times New Roman"/>
          <w:color w:val="000000"/>
        </w:rPr>
        <w:t>https://platformazakupowa.pl/strona/45-instrukcje</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Każdy z wykonawców może złożyć tylko jedną ofertę. Złożenie większej liczby ofert lub oferty zawierającej propozycje wariantowe spowoduje podlegać będzie odrzuceniu.</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Ceny oferty muszą zawierać wszystkie koszty, jakie musi ponieść wykonawca, aby zrealizować zamówienie z najwyższą starannością oraz ewentualne rabaty.</w:t>
      </w:r>
    </w:p>
    <w:p>
      <w:pPr>
        <w:pStyle w:val="ListParagraph"/>
        <w:widowControl/>
        <w:numPr>
          <w:ilvl w:val="1"/>
          <w:numId w:val="12"/>
        </w:numPr>
        <w:tabs>
          <w:tab w:val="clear" w:pos="720"/>
          <w:tab w:val="left" w:pos="850" w:leader="none"/>
        </w:tabs>
        <w:bidi w:val="0"/>
        <w:spacing w:lineRule="auto" w:line="240" w:before="0" w:after="0"/>
        <w:ind w:hanging="510" w:left="680" w:right="0"/>
        <w:contextualSpacing/>
        <w:jc w:val="both"/>
        <w:rPr>
          <w:color w:val="000000"/>
        </w:rPr>
      </w:pPr>
      <w:r>
        <w:rPr>
          <w:rFonts w:cs="Times New Roman" w:ascii="Times New Roman" w:hAnsi="Times New Roman"/>
          <w:color w:val="00000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pPr>
        <w:pStyle w:val="ListParagraph"/>
        <w:widowControl/>
        <w:numPr>
          <w:ilvl w:val="1"/>
          <w:numId w:val="12"/>
        </w:numPr>
        <w:tabs>
          <w:tab w:val="clear" w:pos="720"/>
          <w:tab w:val="left" w:pos="850" w:leader="none"/>
        </w:tabs>
        <w:bidi w:val="0"/>
        <w:spacing w:lineRule="auto" w:line="240" w:before="0" w:after="0"/>
        <w:ind w:hanging="510" w:left="680" w:right="0"/>
        <w:contextualSpacing/>
        <w:jc w:val="both"/>
        <w:rPr>
          <w:color w:val="000000"/>
        </w:rPr>
      </w:pPr>
      <w:r>
        <w:rPr>
          <w:rFonts w:cs="Times New Roman" w:ascii="Times New Roman" w:hAnsi="Times New Roman"/>
          <w:color w:val="000000"/>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pPr>
        <w:pStyle w:val="ListParagraph"/>
        <w:widowControl/>
        <w:numPr>
          <w:ilvl w:val="1"/>
          <w:numId w:val="12"/>
        </w:numPr>
        <w:tabs>
          <w:tab w:val="clear" w:pos="720"/>
          <w:tab w:val="left" w:pos="850" w:leader="none"/>
        </w:tabs>
        <w:bidi w:val="0"/>
        <w:spacing w:lineRule="auto" w:line="240" w:before="0" w:after="0"/>
        <w:ind w:hanging="510" w:left="680" w:right="0"/>
        <w:contextualSpacing/>
        <w:jc w:val="both"/>
        <w:rPr>
          <w:color w:val="000000"/>
        </w:rPr>
      </w:pPr>
      <w:r>
        <w:rPr>
          <w:rFonts w:cs="Times New Roman" w:ascii="Times New Roman" w:hAnsi="Times New Roman"/>
          <w:color w:val="000000"/>
        </w:rPr>
        <w:t>Maksymalny rozmiar jednego pliku przesyłanego za pośrednictwem dedykowanych formularzy do: złożenia, zmiany, wycofania oferty wynosi 150 MB natomiast przy komunikacji wielkość pliku to maksymalnie 500 MB.</w:t>
      </w:r>
    </w:p>
    <w:p>
      <w:pPr>
        <w:pStyle w:val="ListParagraph"/>
        <w:numPr>
          <w:ilvl w:val="0"/>
          <w:numId w:val="0"/>
        </w:numPr>
        <w:spacing w:lineRule="auto" w:line="240" w:before="0" w:after="0"/>
        <w:ind w:hanging="0" w:left="1076"/>
        <w:contextualSpacing/>
        <w:jc w:val="both"/>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pPr>
      <w:r>
        <w:rPr>
          <w:rFonts w:eastAsia="Calibri" w:cs="Times New Roman" w:ascii="Times New Roman" w:hAnsi="Times New Roman" w:eastAsiaTheme="minorHAnsi"/>
          <w:b/>
          <w:color w:val="auto"/>
          <w:kern w:val="0"/>
          <w:sz w:val="22"/>
          <w:szCs w:val="22"/>
          <w:lang w:val="pl-PL" w:eastAsia="en-US" w:bidi="ar-SA"/>
        </w:rPr>
        <w:t>Miejsce i termin składania ofert</w:t>
      </w:r>
      <w:r>
        <w:fldChar w:fldCharType="begin"/>
      </w:r>
      <w:r>
        <w:rPr>
          <w:sz w:val="22"/>
          <w:b/>
          <w:kern w:val="0"/>
          <w:szCs w:val="22"/>
          <w:rFonts w:eastAsia="Calibri" w:cs="Times New Roman" w:ascii="Times New Roman" w:hAnsi="Times New Roman"/>
          <w:color w:val="auto"/>
          <w:lang w:val="pl-PL" w:eastAsia="en-US" w:bidi="ar-SA"/>
        </w:rPr>
        <w:instrText xml:space="preserve"> TC "Miejsce i termin składania ofert" \l 9 </w:instrText>
      </w:r>
      <w:r>
        <w:rPr>
          <w:sz w:val="22"/>
          <w:b/>
          <w:kern w:val="0"/>
          <w:szCs w:val="22"/>
          <w:rFonts w:eastAsia="Calibri" w:cs="Times New Roman" w:ascii="Times New Roman" w:hAnsi="Times New Roman"/>
          <w:color w:val="auto"/>
          <w:lang w:val="pl-PL" w:eastAsia="en-US" w:bidi="ar-SA"/>
        </w:rPr>
        <w:fldChar w:fldCharType="separate"/>
      </w:r>
      <w:r>
        <w:rPr>
          <w:rFonts w:eastAsia="Calibri" w:cs="Times New Roman" w:ascii="Times New Roman" w:hAnsi="Times New Roman"/>
          <w:b/>
          <w:color w:val="auto"/>
          <w:kern w:val="0"/>
          <w:sz w:val="22"/>
          <w:szCs w:val="22"/>
          <w:lang w:val="pl-PL" w:eastAsia="en-US" w:bidi="ar-SA"/>
        </w:rPr>
      </w:r>
      <w:r>
        <w:rPr>
          <w:sz w:val="22"/>
          <w:b/>
          <w:kern w:val="0"/>
          <w:szCs w:val="22"/>
          <w:rFonts w:eastAsia="Calibri" w:cs="Times New Roman" w:ascii="Times New Roman" w:hAnsi="Times New Roman"/>
          <w:color w:val="auto"/>
          <w:lang w:val="pl-PL" w:eastAsia="en-US" w:bidi="ar-SA"/>
        </w:rPr>
        <w:fldChar w:fldCharType="end"/>
      </w:r>
      <w:r>
        <w:fldChar w:fldCharType="begin"/>
      </w:r>
      <w:r>
        <w:rPr>
          <w:sz w:val="22"/>
          <w:b/>
          <w:kern w:val="0"/>
          <w:szCs w:val="22"/>
          <w:rFonts w:eastAsia="Calibri" w:cs="Times New Roman" w:ascii="Times New Roman" w:hAnsi="Times New Roman"/>
          <w:color w:val="auto"/>
          <w:lang w:val="pl-PL" w:eastAsia="en-US" w:bidi="ar-SA"/>
        </w:rPr>
        <w:instrText xml:space="preserve"> TC "Miejsce i termin składania ofert" \l 9 </w:instrText>
      </w:r>
      <w:r>
        <w:rPr>
          <w:sz w:val="22"/>
          <w:b/>
          <w:kern w:val="0"/>
          <w:szCs w:val="22"/>
          <w:rFonts w:eastAsia="Calibri" w:cs="Times New Roman" w:ascii="Times New Roman" w:hAnsi="Times New Roman"/>
          <w:color w:val="auto"/>
          <w:lang w:val="pl-PL" w:eastAsia="en-US" w:bidi="ar-SA"/>
        </w:rPr>
        <w:fldChar w:fldCharType="separate"/>
      </w:r>
      <w:r>
        <w:rPr>
          <w:rFonts w:eastAsia="Calibri" w:cs="Times New Roman" w:ascii="Times New Roman" w:hAnsi="Times New Roman"/>
          <w:b/>
          <w:color w:val="auto"/>
          <w:kern w:val="0"/>
          <w:sz w:val="22"/>
          <w:szCs w:val="22"/>
          <w:lang w:val="pl-PL" w:eastAsia="en-US" w:bidi="ar-SA"/>
        </w:rPr>
      </w:r>
      <w:r>
        <w:rPr>
          <w:sz w:val="22"/>
          <w:b/>
          <w:kern w:val="0"/>
          <w:szCs w:val="22"/>
          <w:rFonts w:eastAsia="Calibri" w:cs="Times New Roman" w:ascii="Times New Roman" w:hAnsi="Times New Roman"/>
          <w:color w:val="auto"/>
          <w:lang w:val="pl-PL" w:eastAsia="en-US" w:bidi="ar-SA"/>
        </w:rPr>
        <w:fldChar w:fldCharType="end"/>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 xml:space="preserve">Ofertę wraz z wymaganymi dokumentami należy umieścić na </w:t>
      </w:r>
      <w:hyperlink r:id="rId23">
        <w:r>
          <w:rPr>
            <w:rStyle w:val="Hyperlink"/>
            <w:rFonts w:cs="Times New Roman" w:ascii="Times New Roman" w:hAnsi="Times New Roman"/>
            <w:color w:val="000000"/>
          </w:rPr>
          <w:t>platformazakupowa.pl</w:t>
        </w:r>
      </w:hyperlink>
      <w:r>
        <w:rPr>
          <w:rFonts w:cs="Times New Roman" w:ascii="Times New Roman" w:hAnsi="Times New Roman"/>
          <w:color w:val="000000"/>
        </w:rPr>
        <w:t xml:space="preserve"> pod adresem: </w:t>
      </w:r>
      <w:hyperlink r:id="rId24">
        <w:r>
          <w:rPr>
            <w:rStyle w:val="Hyperlink"/>
            <w:rFonts w:cs="Times New Roman" w:ascii="Times New Roman" w:hAnsi="Times New Roman"/>
            <w:color w:val="000000"/>
          </w:rPr>
          <w:t>https://</w:t>
        </w:r>
      </w:hyperlink>
      <w:r>
        <w:rPr>
          <w:rStyle w:val="Hyperlink"/>
          <w:rFonts w:cs="Times New Roman" w:ascii="Times New Roman" w:hAnsi="Times New Roman"/>
          <w:color w:val="000000"/>
        </w:rPr>
        <w:t>platformazakupowa.pl/pn/ug_redzikowo</w:t>
      </w:r>
      <w:r>
        <w:rPr>
          <w:rFonts w:cs="Times New Roman" w:ascii="Times New Roman" w:hAnsi="Times New Roman"/>
          <w:color w:val="000000"/>
        </w:rPr>
        <w:t xml:space="preserve"> w myśl Ustawy na stronie internetowej prowadzonego postępowania  do dnia </w:t>
      </w:r>
      <w:r>
        <w:rPr>
          <w:rFonts w:cs="Times New Roman" w:ascii="Times New Roman" w:hAnsi="Times New Roman"/>
          <w:b/>
          <w:bCs/>
          <w:color w:val="000000"/>
        </w:rPr>
        <w:t>06</w:t>
      </w:r>
      <w:r>
        <w:rPr>
          <w:rFonts w:eastAsia="Calibri" w:cs="Times New Roman" w:ascii="Times New Roman" w:hAnsi="Times New Roman"/>
          <w:b/>
          <w:bCs/>
          <w:color w:val="000000"/>
          <w:kern w:val="0"/>
          <w:sz w:val="22"/>
          <w:szCs w:val="22"/>
          <w:shd w:fill="auto" w:val="clear"/>
          <w:lang w:val="pl-PL" w:eastAsia="en-US" w:bidi="ar-SA"/>
        </w:rPr>
        <w:t>.05.2026 do godziny 9:00</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Do oferty należy dołączyć wszystkie wymagane w SWZ dokumenty.</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Po wypełnieniu Formularza składania oferty lub wniosku i dołączenia  wszystkich wymaganych załączników należy kliknąć przycisk „Przejdź do podsumowania”.</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Oferta lub wniosek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formie elektronicznej lub w postaci elektronicznej opatrzonej podpisem zaufanym, lub podpisem osobistym.</w:t>
      </w:r>
    </w:p>
    <w:p>
      <w:pPr>
        <w:pStyle w:val="ListParagraph"/>
        <w:numPr>
          <w:ilvl w:val="1"/>
          <w:numId w:val="12"/>
        </w:numPr>
        <w:spacing w:lineRule="auto" w:line="240" w:before="0" w:after="0"/>
        <w:ind w:hanging="508" w:left="792"/>
        <w:contextualSpacing/>
        <w:jc w:val="both"/>
        <w:rPr>
          <w:color w:val="000000"/>
        </w:rPr>
      </w:pPr>
      <w:r>
        <w:rPr>
          <w:rFonts w:cs="Times New Roman" w:ascii="Times New Roman" w:hAnsi="Times New Roman"/>
          <w:color w:val="000000"/>
        </w:rPr>
        <w:t>Za datę złożenia oferty przyjmuje się datę jej przekazania w systemie (platformie) w drugim kroku składania oferty poprzez kliknięcie przycisku “Złóż ofertę” i wyświetlenie się komunikatu, że oferta została zaszyfrowana i złożona.</w:t>
      </w:r>
    </w:p>
    <w:p>
      <w:pPr>
        <w:pStyle w:val="ListParagraph"/>
        <w:numPr>
          <w:ilvl w:val="1"/>
          <w:numId w:val="12"/>
        </w:numPr>
        <w:spacing w:lineRule="auto" w:line="240" w:before="0" w:after="0"/>
        <w:ind w:hanging="508" w:left="792"/>
        <w:contextualSpacing/>
        <w:jc w:val="both"/>
        <w:rPr/>
      </w:pPr>
      <w:r>
        <w:rPr>
          <w:rFonts w:eastAsia="Calibri" w:cs="Times New Roman" w:ascii="Times New Roman" w:hAnsi="Times New Roman"/>
          <w:b w:val="false"/>
          <w:bCs w:val="false"/>
          <w:color w:val="auto"/>
          <w:kern w:val="0"/>
          <w:sz w:val="22"/>
          <w:szCs w:val="22"/>
          <w:lang w:val="pl-PL" w:eastAsia="en-US" w:bidi="ar-SA"/>
        </w:rPr>
        <w:t xml:space="preserve">Szczegółowa instrukcja dla Wykonawców dotycząca złożenia, zmiany i wycofania oferty znajduje się na stronie internetowej pod adresem:  </w:t>
      </w:r>
      <w:r>
        <w:rPr>
          <w:rStyle w:val="Hyperlink"/>
          <w:rFonts w:eastAsia="Calibri" w:cs="Times New Roman" w:ascii="Times New Roman" w:hAnsi="Times New Roman"/>
          <w:b w:val="false"/>
          <w:bCs w:val="false"/>
          <w:color w:val="auto"/>
          <w:kern w:val="0"/>
          <w:sz w:val="22"/>
          <w:szCs w:val="22"/>
          <w:lang w:val="pl-PL" w:eastAsia="en-US" w:bidi="ar-SA"/>
        </w:rPr>
        <w:t>https://platformazakupowa.pl/strona/45-instrukcje</w:t>
      </w:r>
    </w:p>
    <w:p>
      <w:pPr>
        <w:pStyle w:val="ListParagraph"/>
        <w:spacing w:lineRule="auto" w:line="240" w:before="0" w:after="0"/>
        <w:ind w:hanging="508" w:left="792"/>
        <w:contextualSpacing/>
        <w:jc w:val="both"/>
        <w:rPr>
          <w:rFonts w:eastAsia="Calibri"/>
          <w:color w:val="auto"/>
          <w:kern w:val="0"/>
          <w:sz w:val="22"/>
          <w:szCs w:val="22"/>
          <w:lang w:val="pl-PL" w:eastAsia="en-US" w:bidi="ar-SA"/>
        </w:rPr>
      </w:pPr>
      <w:r>
        <w:rPr>
          <w:rFonts w:eastAsia="Calibri"/>
          <w:color w:val="auto"/>
          <w:kern w:val="0"/>
          <w:sz w:val="22"/>
          <w:szCs w:val="22"/>
          <w:lang w:val="pl-PL" w:eastAsia="en-US" w:bidi="ar-SA"/>
        </w:rPr>
      </w:r>
    </w:p>
    <w:p>
      <w:pPr>
        <w:pStyle w:val="ListParagraph"/>
        <w:numPr>
          <w:ilvl w:val="0"/>
          <w:numId w:val="12"/>
        </w:numPr>
        <w:spacing w:lineRule="auto" w:line="240" w:before="0" w:after="0"/>
        <w:contextualSpacing/>
        <w:jc w:val="both"/>
        <w:rPr/>
      </w:pPr>
      <w:r>
        <w:rPr>
          <w:rFonts w:eastAsia="Calibri" w:cs="Times New Roman" w:ascii="Times New Roman" w:hAnsi="Times New Roman" w:eastAsiaTheme="minorHAnsi"/>
          <w:b/>
          <w:color w:val="auto"/>
          <w:kern w:val="0"/>
          <w:sz w:val="22"/>
          <w:szCs w:val="22"/>
          <w:lang w:val="pl-PL" w:eastAsia="en-US" w:bidi="ar-SA"/>
        </w:rPr>
        <w:t>O</w:t>
      </w:r>
      <w:r>
        <w:fldChar w:fldCharType="begin"/>
      </w:r>
      <w:r>
        <w:rPr>
          <w:sz w:val="22"/>
          <w:b/>
          <w:kern w:val="0"/>
          <w:szCs w:val="22"/>
          <w:rFonts w:eastAsia="Calibri" w:cs="Times New Roman" w:ascii="Times New Roman" w:hAnsi="Times New Roman"/>
          <w:color w:val="auto"/>
          <w:lang w:val="pl-PL" w:eastAsia="en-US" w:bidi="ar-SA"/>
        </w:rPr>
        <w:instrText xml:space="preserve"> TC "Otwarcie ofert:" \l 9 </w:instrText>
      </w:r>
      <w:r>
        <w:rPr>
          <w:sz w:val="22"/>
          <w:b/>
          <w:kern w:val="0"/>
          <w:szCs w:val="22"/>
          <w:rFonts w:eastAsia="Calibri" w:cs="Times New Roman" w:ascii="Times New Roman" w:hAnsi="Times New Roman"/>
          <w:color w:val="auto"/>
          <w:lang w:val="pl-PL" w:eastAsia="en-US" w:bidi="ar-SA"/>
        </w:rPr>
        <w:fldChar w:fldCharType="separate"/>
      </w:r>
      <w:r>
        <w:rPr>
          <w:rFonts w:eastAsia="Calibri" w:cs="Times New Roman" w:ascii="Times New Roman" w:hAnsi="Times New Roman"/>
          <w:b/>
          <w:color w:val="auto"/>
          <w:kern w:val="0"/>
          <w:sz w:val="22"/>
          <w:szCs w:val="22"/>
          <w:lang w:val="pl-PL" w:eastAsia="en-US" w:bidi="ar-SA"/>
        </w:rPr>
      </w:r>
      <w:r>
        <w:rPr>
          <w:sz w:val="22"/>
          <w:b/>
          <w:kern w:val="0"/>
          <w:szCs w:val="22"/>
          <w:rFonts w:eastAsia="Calibri" w:cs="Times New Roman" w:ascii="Times New Roman" w:hAnsi="Times New Roman"/>
          <w:color w:val="auto"/>
          <w:lang w:val="pl-PL" w:eastAsia="en-US" w:bidi="ar-SA"/>
        </w:rPr>
        <w:fldChar w:fldCharType="end"/>
      </w:r>
      <w:r>
        <w:fldChar w:fldCharType="begin"/>
      </w:r>
      <w:r>
        <w:rPr>
          <w:sz w:val="22"/>
          <w:b/>
          <w:kern w:val="0"/>
          <w:szCs w:val="22"/>
          <w:rFonts w:eastAsia="Calibri" w:cs="Times New Roman" w:ascii="Times New Roman" w:hAnsi="Times New Roman"/>
          <w:color w:val="auto"/>
          <w:lang w:val="pl-PL" w:eastAsia="en-US" w:bidi="ar-SA"/>
        </w:rPr>
        <w:instrText xml:space="preserve"> TC "Otwarcie ofert:" \l 9 </w:instrText>
      </w:r>
      <w:r>
        <w:rPr>
          <w:sz w:val="22"/>
          <w:b/>
          <w:kern w:val="0"/>
          <w:szCs w:val="22"/>
          <w:rFonts w:eastAsia="Calibri" w:cs="Times New Roman" w:ascii="Times New Roman" w:hAnsi="Times New Roman"/>
          <w:color w:val="auto"/>
          <w:lang w:val="pl-PL" w:eastAsia="en-US" w:bidi="ar-SA"/>
        </w:rPr>
        <w:fldChar w:fldCharType="separate"/>
      </w:r>
      <w:r>
        <w:rPr>
          <w:rFonts w:eastAsia="Calibri" w:cs="Times New Roman" w:ascii="Times New Roman" w:hAnsi="Times New Roman"/>
          <w:b/>
          <w:color w:val="auto"/>
          <w:kern w:val="0"/>
          <w:sz w:val="22"/>
          <w:szCs w:val="22"/>
          <w:lang w:val="pl-PL" w:eastAsia="en-US" w:bidi="ar-SA"/>
        </w:rPr>
      </w:r>
      <w:r>
        <w:rPr>
          <w:sz w:val="22"/>
          <w:b/>
          <w:kern w:val="0"/>
          <w:szCs w:val="22"/>
          <w:rFonts w:eastAsia="Calibri" w:cs="Times New Roman" w:ascii="Times New Roman" w:hAnsi="Times New Roman"/>
          <w:color w:val="auto"/>
          <w:lang w:val="pl-PL" w:eastAsia="en-US" w:bidi="ar-SA"/>
        </w:rPr>
        <w:fldChar w:fldCharType="end"/>
      </w:r>
      <w:r>
        <w:rPr>
          <w:rFonts w:cs="Times New Roman" w:ascii="Times New Roman" w:hAnsi="Times New Roman"/>
          <w:b/>
        </w:rPr>
        <w:t>twarci</w:t>
      </w:r>
      <w:r>
        <w:rPr>
          <w:rFonts w:eastAsia="Calibri" w:cs="Times New Roman" w:ascii="Times New Roman" w:hAnsi="Times New Roman" w:eastAsiaTheme="minorHAnsi"/>
          <w:b/>
          <w:color w:val="auto"/>
          <w:kern w:val="0"/>
          <w:sz w:val="22"/>
          <w:szCs w:val="22"/>
          <w:lang w:val="pl-PL" w:eastAsia="en-US" w:bidi="ar-SA"/>
        </w:rPr>
        <w:t>e</w:t>
      </w:r>
      <w:r>
        <w:rPr>
          <w:rFonts w:cs="Times New Roman" w:ascii="Times New Roman" w:hAnsi="Times New Roman"/>
          <w:b/>
        </w:rPr>
        <w:t xml:space="preserve"> ofert:</w:t>
      </w:r>
    </w:p>
    <w:p>
      <w:pPr>
        <w:pStyle w:val="ListParagraph"/>
        <w:numPr>
          <w:ilvl w:val="1"/>
          <w:numId w:val="12"/>
        </w:numPr>
        <w:spacing w:lineRule="auto" w:line="240" w:before="0" w:after="0"/>
        <w:ind w:hanging="508" w:left="792"/>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t>Otwarcie ofert następuje niezwłocznie po upływie terminu składania ofert, nie później niż następnego dnia po dniu, w którym upłynął termin składania ofert tj.</w:t>
      </w:r>
      <w:r>
        <w:rPr>
          <w:rFonts w:cs="Times New Roman" w:ascii="Times New Roman" w:hAnsi="Times New Roman"/>
          <w:b/>
          <w:bCs/>
          <w:color w:val="000000"/>
        </w:rPr>
        <w:t xml:space="preserve"> 06</w:t>
      </w:r>
      <w:r>
        <w:rPr>
          <w:rFonts w:eastAsia="Calibri" w:cs="Times New Roman" w:ascii="Times New Roman" w:hAnsi="Times New Roman"/>
          <w:b/>
          <w:bCs/>
          <w:color w:val="000000"/>
          <w:kern w:val="0"/>
          <w:sz w:val="22"/>
          <w:szCs w:val="22"/>
          <w:shd w:fill="auto" w:val="clear"/>
          <w:lang w:val="pl-PL" w:eastAsia="en-US" w:bidi="ar-SA"/>
        </w:rPr>
        <w:t>.05.2026 o godzinie 9:30</w:t>
      </w:r>
    </w:p>
    <w:p>
      <w:pPr>
        <w:pStyle w:val="ListParagraph"/>
        <w:numPr>
          <w:ilvl w:val="1"/>
          <w:numId w:val="12"/>
        </w:numPr>
        <w:spacing w:lineRule="auto" w:line="240" w:before="0" w:after="0"/>
        <w:ind w:hanging="508" w:left="792"/>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pPr>
        <w:pStyle w:val="ListParagraph"/>
        <w:numPr>
          <w:ilvl w:val="1"/>
          <w:numId w:val="12"/>
        </w:numPr>
        <w:spacing w:lineRule="auto" w:line="240" w:before="0" w:after="0"/>
        <w:ind w:hanging="508" w:left="792"/>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t>Zamawiający poinformuje o zmianie terminu otwarcia ofert na stronie internetowej prowadzonego postępowania.</w:t>
      </w:r>
    </w:p>
    <w:p>
      <w:pPr>
        <w:pStyle w:val="ListParagraph"/>
        <w:numPr>
          <w:ilvl w:val="1"/>
          <w:numId w:val="12"/>
        </w:numPr>
        <w:spacing w:lineRule="auto" w:line="240" w:before="0" w:after="0"/>
        <w:ind w:hanging="508" w:left="792"/>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t>Zamawiający, najpóźniej przed otwarciem ofert, udostępnia na stronie internetowej prowadzonego postępowania informację o kwocie, jaką zamierza przeznaczyć na sfinansowanie zamówienia.</w:t>
      </w:r>
    </w:p>
    <w:p>
      <w:pPr>
        <w:pStyle w:val="ListParagraph"/>
        <w:numPr>
          <w:ilvl w:val="1"/>
          <w:numId w:val="12"/>
        </w:numPr>
        <w:spacing w:lineRule="auto" w:line="240" w:before="0" w:after="0"/>
        <w:ind w:hanging="508" w:left="792"/>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t>Zamawiający, niezwłocznie po otwarciu ofert, udostępnia na stronie internetowej prowadzonego postępowania informacje o:</w:t>
      </w:r>
    </w:p>
    <w:p>
      <w:pPr>
        <w:pStyle w:val="ListParagraph"/>
        <w:numPr>
          <w:ilvl w:val="0"/>
          <w:numId w:val="0"/>
        </w:numPr>
        <w:spacing w:lineRule="auto" w:line="240" w:before="0" w:after="0"/>
        <w:ind w:hanging="0" w:left="1076"/>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t>1) nazwach albo imionach i nazwiskach oraz siedzibach lub miejscach prowadzonej działalności gospodarczej albo miejscach zamieszkania wykonawców, których oferty zostały otwarte;</w:t>
      </w:r>
    </w:p>
    <w:p>
      <w:pPr>
        <w:pStyle w:val="ListParagraph"/>
        <w:numPr>
          <w:ilvl w:val="0"/>
          <w:numId w:val="0"/>
        </w:numPr>
        <w:spacing w:lineRule="auto" w:line="240" w:before="0" w:after="0"/>
        <w:ind w:hanging="0" w:left="1076"/>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t>2) cenach lub kosztach zawartych w ofertach.</w:t>
      </w:r>
    </w:p>
    <w:p>
      <w:pPr>
        <w:pStyle w:val="ListParagraph"/>
        <w:numPr>
          <w:ilvl w:val="0"/>
          <w:numId w:val="0"/>
        </w:numPr>
        <w:spacing w:lineRule="auto" w:line="240" w:before="0" w:after="0"/>
        <w:ind w:hanging="0" w:left="1076"/>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t xml:space="preserve">Informacja zostanie opublikowana na stronie postępowania na </w:t>
      </w:r>
      <w:hyperlink r:id="rId25">
        <w:r>
          <w:rPr>
            <w:rStyle w:val="Hyperlink"/>
            <w:rFonts w:cs="Times New Roman" w:ascii="Times New Roman" w:hAnsi="Times New Roman"/>
            <w:b w:val="false"/>
            <w:bCs w:val="false"/>
            <w:color w:val="000000"/>
          </w:rPr>
          <w:t>platformazakupowa.pl</w:t>
        </w:r>
      </w:hyperlink>
      <w:r>
        <w:rPr>
          <w:rFonts w:cs="Times New Roman" w:ascii="Times New Roman" w:hAnsi="Times New Roman"/>
          <w:b w:val="false"/>
          <w:bCs w:val="false"/>
          <w:color w:val="000000"/>
        </w:rPr>
        <w:t xml:space="preserve"> w sekcji ,,Komunikaty” .</w:t>
      </w:r>
    </w:p>
    <w:p>
      <w:pPr>
        <w:pStyle w:val="ListParagraph"/>
        <w:numPr>
          <w:ilvl w:val="1"/>
          <w:numId w:val="12"/>
        </w:numPr>
        <w:spacing w:lineRule="auto" w:line="240" w:before="0" w:after="0"/>
        <w:ind w:hanging="508" w:left="792"/>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pPr>
        <w:pStyle w:val="ListParagraph"/>
        <w:numPr>
          <w:ilvl w:val="0"/>
          <w:numId w:val="0"/>
        </w:numPr>
        <w:spacing w:lineRule="auto" w:line="240" w:before="0" w:after="0"/>
        <w:ind w:hanging="0" w:left="1076"/>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r>
    </w:p>
    <w:p>
      <w:pPr>
        <w:pStyle w:val="ListParagraph"/>
        <w:numPr>
          <w:ilvl w:val="0"/>
          <w:numId w:val="0"/>
        </w:numPr>
        <w:spacing w:lineRule="auto" w:line="240" w:before="0" w:after="0"/>
        <w:ind w:hanging="0" w:left="1076"/>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r>
    </w:p>
    <w:p>
      <w:pPr>
        <w:pStyle w:val="ListParagraph"/>
        <w:numPr>
          <w:ilvl w:val="0"/>
          <w:numId w:val="0"/>
        </w:numPr>
        <w:spacing w:lineRule="auto" w:line="240" w:before="0" w:after="0"/>
        <w:ind w:hanging="0" w:left="1076"/>
        <w:contextualSpacing/>
        <w:jc w:val="both"/>
        <w:rPr>
          <w:rFonts w:ascii="Times New Roman" w:hAnsi="Times New Roman" w:cs="Times New Roman"/>
          <w:b w:val="false"/>
          <w:bCs w:val="false"/>
          <w:color w:val="000000"/>
        </w:rPr>
      </w:pPr>
      <w:r>
        <w:rPr>
          <w:rFonts w:cs="Times New Roman" w:ascii="Times New Roman" w:hAnsi="Times New Roman"/>
          <w:b w:val="false"/>
          <w:bCs w:val="false"/>
          <w:color w:val="000000"/>
        </w:rPr>
      </w:r>
    </w:p>
    <w:p>
      <w:pPr>
        <w:pStyle w:val="ListParagraph"/>
        <w:numPr>
          <w:ilvl w:val="0"/>
          <w:numId w:val="12"/>
        </w:numPr>
        <w:spacing w:lineRule="auto" w:line="240" w:before="0" w:after="0"/>
        <w:contextualSpacing/>
        <w:jc w:val="both"/>
        <w:rPr/>
      </w:pPr>
      <w:r>
        <w:rPr>
          <w:rFonts w:cs="Times New Roman" w:ascii="Times New Roman" w:hAnsi="Times New Roman"/>
          <w:b/>
        </w:rPr>
        <w:t>Termin związania ofertą:</w:t>
      </w:r>
      <w:r>
        <w:fldChar w:fldCharType="begin"/>
      </w:r>
      <w:r>
        <w:rPr>
          <w:b/>
          <w:rFonts w:cs="Times New Roman" w:ascii="Times New Roman" w:hAnsi="Times New Roman"/>
        </w:rPr>
        <w:instrText xml:space="preserve"> TC "Termin związania ofertą:"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"Termin związania ofertą:"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widowControl/>
        <w:numPr>
          <w:ilvl w:val="0"/>
          <w:numId w:val="0"/>
        </w:numPr>
        <w:bidi w:val="0"/>
        <w:spacing w:lineRule="auto" w:line="240" w:before="0" w:after="0"/>
        <w:ind w:hanging="0" w:left="794" w:right="0"/>
        <w:contextualSpacing/>
        <w:jc w:val="both"/>
        <w:rPr/>
      </w:pPr>
      <w:r>
        <w:rPr>
          <w:rFonts w:cs="Times New Roman" w:ascii="Times New Roman" w:hAnsi="Times New Roman"/>
          <w:b w:val="false"/>
          <w:bCs w:val="false"/>
        </w:rPr>
        <w:t xml:space="preserve">Zgodnie z art. </w:t>
      </w:r>
      <w:r>
        <w:rPr>
          <w:rFonts w:eastAsia="Calibri" w:cs="Times New Roman" w:ascii="Times New Roman" w:hAnsi="Times New Roman" w:eastAsiaTheme="minorHAnsi"/>
          <w:b w:val="false"/>
          <w:bCs w:val="false"/>
          <w:color w:val="auto"/>
          <w:kern w:val="0"/>
          <w:sz w:val="22"/>
          <w:szCs w:val="22"/>
          <w:lang w:val="pl-PL" w:eastAsia="en-US" w:bidi="ar-SA"/>
        </w:rPr>
        <w:t>307 ust. 1</w:t>
      </w:r>
      <w:r>
        <w:rPr>
          <w:rFonts w:cs="Times New Roman" w:ascii="Times New Roman" w:hAnsi="Times New Roman"/>
          <w:b w:val="false"/>
          <w:bCs w:val="false"/>
        </w:rPr>
        <w:t xml:space="preserve"> Ustawy Wykonawca jest związany złożoną ofertą przez okres </w:t>
      </w:r>
      <w:r>
        <w:rPr>
          <w:rFonts w:eastAsia="Calibri" w:cs="Times New Roman" w:ascii="Times New Roman" w:hAnsi="Times New Roman" w:eastAsiaTheme="minorHAnsi"/>
          <w:b w:val="false"/>
          <w:bCs w:val="false"/>
          <w:color w:val="auto"/>
          <w:kern w:val="0"/>
          <w:sz w:val="22"/>
          <w:szCs w:val="22"/>
          <w:lang w:val="pl-PL" w:eastAsia="en-US" w:bidi="ar-SA"/>
        </w:rPr>
        <w:t>30</w:t>
      </w:r>
      <w:r>
        <w:rPr>
          <w:rFonts w:cs="Times New Roman" w:ascii="Times New Roman" w:hAnsi="Times New Roman"/>
          <w:b w:val="false"/>
          <w:bCs w:val="false"/>
        </w:rPr>
        <w:t xml:space="preserve"> dni od dnia upływu terminu składania ofert tj. </w:t>
      </w:r>
      <w:r>
        <w:rPr>
          <w:rFonts w:cs="Times New Roman" w:ascii="Times New Roman" w:hAnsi="Times New Roman"/>
          <w:b w:val="false"/>
          <w:bCs w:val="false"/>
          <w:color w:val="000000"/>
        </w:rPr>
        <w:t>do 04</w:t>
      </w:r>
      <w:r>
        <w:rPr>
          <w:rFonts w:eastAsia="Calibri" w:cs="Times New Roman" w:ascii="Times New Roman" w:hAnsi="Times New Roman"/>
          <w:b w:val="false"/>
          <w:bCs w:val="false"/>
          <w:color w:val="000000"/>
          <w:kern w:val="0"/>
          <w:sz w:val="22"/>
          <w:szCs w:val="22"/>
          <w:shd w:fill="auto" w:val="clear"/>
          <w:lang w:val="pl-PL" w:eastAsia="en-US" w:bidi="ar-SA"/>
        </w:rPr>
        <w:t>.06.</w:t>
      </w:r>
      <w:r>
        <w:rPr>
          <w:rFonts w:cs="Times New Roman" w:ascii="Times New Roman" w:hAnsi="Times New Roman"/>
          <w:b w:val="false"/>
          <w:bCs w:val="false"/>
          <w:color w:val="000000"/>
        </w:rPr>
        <w:t>2026 włącznie.</w:t>
      </w:r>
    </w:p>
    <w:p>
      <w:pPr>
        <w:pStyle w:val="ListParagraph"/>
        <w:numPr>
          <w:ilvl w:val="0"/>
          <w:numId w:val="0"/>
        </w:numPr>
        <w:spacing w:lineRule="auto" w:line="240" w:before="0" w:after="0"/>
        <w:ind w:hanging="0" w:left="1076"/>
        <w:contextualSpacing/>
        <w:jc w:val="both"/>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Opis sposobu obliczenia ceny:</w:t>
      </w:r>
      <w:r>
        <w:fldChar w:fldCharType="begin"/>
      </w:r>
      <w:r>
        <w:rPr>
          <w:b/>
          <w:rFonts w:cs="Times New Roman" w:ascii="Times New Roman" w:hAnsi="Times New Roman"/>
        </w:rPr>
        <w:instrText xml:space="preserve"> TC "Opis sposobu obliczenia ceny:"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obliczenia ceny:"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obliczenia ceny:"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obliczenia ceny:"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obliczenia ceny:"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sposobu obliczenia ceny:"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pPr>
      <w:r>
        <w:rPr>
          <w:rFonts w:cs="Times New Roman" w:ascii="Times New Roman" w:hAnsi="Times New Roman"/>
        </w:rPr>
        <w:t>Cenę oferty obejmującą dane zadanie należy wskazać w Formularzu Oferty (załącznik nr 1 do SWZ) w formie ceny ryczałtowej, w pełnej zgodności z prawem budowlanym, dokumentacją projektową, SWZ, obejmującą koszty wszelkich robót przygotowawczych, oraz ponoszeniem we własnym zakresie związanych z tym kosztów, kosztów robót porządkowych, zagospodarowania placu budowy, sporządzenia dokumentacji odbiorowej, oraz podatek VAT w ustawowej wysokości, z uwzględnieniem wprowadzonych zmian na etapie postępowania.</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Cena oferty ma być wyrażona w PLN zgodnie z polskim systemem płatniczym, z dokładnością do drugiego miejsca po przecinku.</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Zadeklarowana cena ryczałtowa przez cały okres realizacji umowy nie będzie podlegała zmianom z wyjątkiem okoliczności przewidzianych we wzorze umowy.</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Przyjmuje się, że prawidłowo podano cenę ryczałtową bez względu na sposób jej obliczenia.</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Jeżeli złożona zostanie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pPr>
        <w:pStyle w:val="Normal"/>
        <w:spacing w:lineRule="auto" w:line="240" w:before="0" w:after="0"/>
        <w:jc w:val="both"/>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pPr>
      <w:r>
        <w:rPr>
          <w:rFonts w:cs="Times New Roman" w:ascii="Times New Roman" w:hAnsi="Times New Roman"/>
          <w:b/>
        </w:rPr>
        <w:t>Waluta oferty oraz waluta rozliczeń związanych z realizacją niniejszego zamówienia publicznego:</w:t>
      </w:r>
      <w:r>
        <w:fldChar w:fldCharType="begin"/>
      </w:r>
      <w:r>
        <w:rPr>
          <w:b/>
          <w:rFonts w:cs="Times New Roman" w:ascii="Times New Roman" w:hAnsi="Times New Roman"/>
        </w:rPr>
        <w:instrText xml:space="preserve"> TC "Waluta oferty oraz waluta rozliczeń związanych z realizacją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"Waluta oferty oraz waluta rozliczeń związanych z realizacją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"Waluta oferty oraz waluta rozliczeń związanych z realizacją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"Waluta oferty oraz waluta rozliczeń związanych z realizacją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"Waluta oferty oraz waluta rozliczeń związanych z realizacją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"Waluta oferty oraz waluta rozliczeń związanych z realizacją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Wszelkie rozliczenia i płatności pomiędzy Zamawiającym a Wykonawcami dokonywane będą w walucie polskiej PLN. Zamawiający nie dopuszcza rozliczeń w żadnej obcej walucie.</w:t>
      </w:r>
    </w:p>
    <w:p>
      <w:pPr>
        <w:pStyle w:val="Normal"/>
        <w:spacing w:lineRule="auto" w:line="240" w:before="0" w:after="0"/>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Opis kryteriów, którymi Zamawiający będzie się kierował przy wyborze oferty wraz z podaniem znaczenia tych kryteriów oraz sposobu oceny ofert:</w:t>
      </w:r>
      <w:r>
        <w:fldChar w:fldCharType="begin"/>
      </w:r>
      <w:r>
        <w:rPr>
          <w:b/>
          <w:rFonts w:cs="Times New Roman" w:ascii="Times New Roman" w:hAnsi="Times New Roman"/>
        </w:rPr>
        <w:instrText xml:space="preserve"> TC "Opis kryteriów, którymi Zamawiający będzie się kierował przy wyborze oferty wraz z podaniem znaczenia tych kryteriów oraz sposobu oceny ofert:"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kryteriów, którymi Zamawiający będzie się kierował przy wyborze oferty wraz z podaniem znaczenia tych kryteriów oraz sposobu oceny ofert:"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kryteriów, którymi Zamawiający będzie się kierował przy wyborze oferty wraz z podaniem znaczenia tych kryteriów oraz sposobu oceny ofert:"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kryteriów, którymi Zamawiający będzie się kierował przy wyborze oferty wraz z podaniem znaczenia tych kryteriów oraz sposobu oceny ofert:"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kryteriów, którymi Zamawiający będzie się kierował przy wyborze oferty wraz z podaniem znaczenia tych kryteriów oraz sposobu oceny ofert:"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"Opis kryteriów, którymi Zamawiający będzie się kierował przy wyborze oferty wraz z podaniem znaczenia tych kryteriów oraz sposobu oceny ofert:"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Przy wyborze oferty, Zamawiający będzie się kierował następującymi kryteriami oceny ofert: </w:t>
      </w:r>
    </w:p>
    <w:p>
      <w:pPr>
        <w:pStyle w:val="ListParagraph"/>
        <w:spacing w:lineRule="auto" w:line="240" w:before="0" w:after="0"/>
        <w:ind w:hanging="0" w:left="792"/>
        <w:contextualSpacing/>
        <w:jc w:val="both"/>
        <w:rPr>
          <w:rFonts w:ascii="Times New Roman" w:hAnsi="Times New Roman" w:cs="Times New Roman"/>
          <w:b/>
        </w:rPr>
      </w:pPr>
      <w:r>
        <w:rPr>
          <w:rFonts w:cs="Times New Roman" w:ascii="Times New Roman" w:hAnsi="Times New Roman"/>
          <w:b/>
        </w:rPr>
        <w:t>Kryterium 1: Cena C</w:t>
      </w:r>
      <w:r>
        <w:rPr>
          <w:rFonts w:cs="Times New Roman" w:ascii="Times New Roman" w:hAnsi="Times New Roman"/>
          <w:b/>
          <w:vertAlign w:val="subscript"/>
        </w:rPr>
        <w:t>o</w:t>
      </w:r>
      <w:r>
        <w:rPr>
          <w:rFonts w:cs="Times New Roman" w:ascii="Times New Roman" w:hAnsi="Times New Roman"/>
          <w:b/>
        </w:rPr>
        <w:t xml:space="preserve">– waga punktowa 60 </w:t>
      </w:r>
    </w:p>
    <w:p>
      <w:pPr>
        <w:pStyle w:val="ListParagraph"/>
        <w:spacing w:lineRule="auto" w:line="240" w:before="0" w:after="0"/>
        <w:ind w:hanging="0" w:left="792"/>
        <w:contextualSpacing/>
        <w:jc w:val="both"/>
        <w:rPr>
          <w:rFonts w:ascii="Times New Roman" w:hAnsi="Times New Roman" w:cs="Times New Roman"/>
          <w:b/>
        </w:rPr>
      </w:pPr>
      <w:r>
        <w:rPr>
          <w:rFonts w:cs="Times New Roman" w:ascii="Times New Roman" w:hAnsi="Times New Roman"/>
          <w:b/>
        </w:rPr>
        <w:t xml:space="preserve">Kryterium 2: Okres gwarancji G - waga punktowa 40 </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Ocenie w oparciu o ww. kryteria oceny ofert poddawane są wyłącznie oferty niepodlegające odrzuceniu. </w:t>
      </w:r>
      <w:bookmarkStart w:id="5" w:name="_GoBack"/>
      <w:bookmarkEnd w:id="5"/>
    </w:p>
    <w:p>
      <w:pPr>
        <w:pStyle w:val="ListParagraph"/>
        <w:spacing w:lineRule="auto" w:line="240" w:before="0" w:after="0"/>
        <w:ind w:hanging="0" w:left="792"/>
        <w:contextualSpacing/>
        <w:jc w:val="both"/>
        <w:rPr>
          <w:rFonts w:ascii="Times New Roman" w:hAnsi="Times New Roman" w:cs="Times New Roman"/>
        </w:rPr>
      </w:pPr>
      <w:r>
        <w:rPr>
          <w:rFonts w:cs="Times New Roman" w:ascii="Times New Roman" w:hAnsi="Times New Roman"/>
        </w:rPr>
        <w:t>W trakcie oceny ofert, kolejno ocenianym ofertom, zostaną przyznane punkty wg poniższego wzoru:</w:t>
      </w:r>
    </w:p>
    <w:p>
      <w:pPr>
        <w:pStyle w:val="Normal"/>
        <w:spacing w:lineRule="auto" w:line="240" w:before="0" w:after="0"/>
        <w:ind w:hanging="0" w:left="36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hanging="0" w:left="360"/>
        <w:jc w:val="center"/>
        <w:rPr>
          <w:rFonts w:ascii="Times New Roman" w:hAnsi="Times New Roman" w:cs="Times New Roman"/>
          <w:b/>
          <w:sz w:val="28"/>
          <w:szCs w:val="28"/>
        </w:rPr>
      </w:pPr>
      <w:r>
        <w:rPr>
          <w:rFonts w:cs="Times New Roman" w:ascii="Times New Roman" w:hAnsi="Times New Roman"/>
          <w:b/>
          <w:sz w:val="28"/>
          <w:szCs w:val="28"/>
        </w:rPr>
        <w:t>P = C</w:t>
      </w:r>
      <w:r>
        <w:rPr>
          <w:rFonts w:cs="Times New Roman" w:ascii="Times New Roman" w:hAnsi="Times New Roman"/>
          <w:b/>
          <w:sz w:val="28"/>
          <w:szCs w:val="28"/>
          <w:vertAlign w:val="subscript"/>
        </w:rPr>
        <w:t>o</w:t>
      </w:r>
      <w:r>
        <w:rPr>
          <w:rFonts w:cs="Times New Roman" w:ascii="Times New Roman" w:hAnsi="Times New Roman"/>
          <w:b/>
          <w:sz w:val="28"/>
          <w:szCs w:val="28"/>
        </w:rPr>
        <w:t xml:space="preserve"> + G</w:t>
      </w:r>
    </w:p>
    <w:p>
      <w:pPr>
        <w:pStyle w:val="Normal"/>
        <w:spacing w:lineRule="auto" w:line="240" w:before="0" w:after="0"/>
        <w:ind w:hanging="0" w:left="360"/>
        <w:jc w:val="both"/>
        <w:rPr>
          <w:rFonts w:ascii="Times New Roman" w:hAnsi="Times New Roman" w:cs="Times New Roman"/>
        </w:rPr>
      </w:pPr>
      <w:r>
        <w:rPr>
          <w:rFonts w:cs="Times New Roman" w:ascii="Times New Roman" w:hAnsi="Times New Roman"/>
        </w:rPr>
      </w:r>
    </w:p>
    <w:p>
      <w:pPr>
        <w:pStyle w:val="Normal"/>
        <w:spacing w:lineRule="auto" w:line="240" w:before="0" w:after="0"/>
        <w:ind w:hanging="0" w:left="360"/>
        <w:jc w:val="both"/>
        <w:rPr>
          <w:rFonts w:ascii="Times New Roman" w:hAnsi="Times New Roman" w:cs="Times New Roman"/>
          <w:b/>
        </w:rPr>
      </w:pPr>
      <w:r>
        <w:rPr>
          <w:rFonts w:cs="Times New Roman" w:ascii="Times New Roman" w:hAnsi="Times New Roman"/>
          <w:b/>
        </w:rPr>
        <w:t>Suma punktów P (max 100) stanowiąca sumę „Ceny oferty” C</w:t>
      </w:r>
      <w:r>
        <w:rPr>
          <w:rFonts w:cs="Times New Roman" w:ascii="Times New Roman" w:hAnsi="Times New Roman"/>
          <w:b/>
          <w:vertAlign w:val="subscript"/>
        </w:rPr>
        <w:t xml:space="preserve">o </w:t>
      </w:r>
      <w:r>
        <w:rPr>
          <w:rFonts w:cs="Times New Roman" w:ascii="Times New Roman" w:hAnsi="Times New Roman"/>
          <w:b/>
        </w:rPr>
        <w:t>(max 60) i „Okresu gwarancji” G (max 40) wyliczona wg poniższych wzorów:</w:t>
      </w:r>
    </w:p>
    <w:p>
      <w:pPr>
        <w:pStyle w:val="Normal"/>
        <w:spacing w:lineRule="auto" w:line="240" w:before="0" w:after="0"/>
        <w:ind w:hanging="0" w:left="360"/>
        <w:jc w:val="both"/>
        <w:rPr>
          <w:rFonts w:ascii="Times New Roman" w:hAnsi="Times New Roman" w:cs="Times New Roman"/>
          <w:b/>
        </w:rPr>
      </w:pPr>
      <w:r>
        <w:rPr>
          <w:rFonts w:cs="Times New Roman" w:ascii="Times New Roman" w:hAnsi="Times New Roman"/>
          <w:b/>
        </w:rPr>
      </w:r>
    </w:p>
    <w:p>
      <w:pPr>
        <w:pStyle w:val="Normal"/>
        <w:spacing w:lineRule="auto" w:line="240" w:before="0" w:after="0"/>
        <w:ind w:hanging="0" w:left="360"/>
        <w:jc w:val="both"/>
        <w:rPr>
          <w:rFonts w:ascii="Times New Roman" w:hAnsi="Times New Roman" w:cs="Times New Roman"/>
          <w:b/>
        </w:rPr>
      </w:pPr>
      <w:r>
        <w:rPr>
          <w:rFonts w:cs="Times New Roman" w:ascii="Times New Roman" w:hAnsi="Times New Roman"/>
          <w:b/>
        </w:rPr>
      </w:r>
    </w:p>
    <w:p>
      <w:pPr>
        <w:pStyle w:val="Normal"/>
        <w:spacing w:lineRule="auto" w:line="240" w:before="0" w:after="0"/>
        <w:ind w:hanging="0" w:left="360"/>
        <w:jc w:val="left"/>
        <w:rPr>
          <w:rFonts w:ascii="Times New Roman" w:hAnsi="Times New Roman" w:cs="Times New Roman"/>
          <w:b/>
        </w:rPr>
      </w:pPr>
      <w:r>
        <w:rPr/>
      </w:r>
      <m:oMathPara xmlns:m="http://schemas.openxmlformats.org/officeDocument/2006/math">
        <m:oMathParaPr>
          <m:jc m:val="left"/>
        </m:oMathParaPr>
        <m:oMath>
          <m:r>
            <w:rPr>
              <w:rFonts w:ascii="Cambria Math" w:hAnsi="Cambria Math"/>
            </w:rPr>
            <m:t xml:space="preserve">C</m:t>
          </m:r>
          <m:r>
            <w:rPr>
              <w:rFonts w:ascii="Cambria Math" w:hAnsi="Cambria Math"/>
            </w:rPr>
            <m:t xml:space="preserve">o</m:t>
          </m:r>
          <m:d>
            <m:dPr>
              <m:begChr m:val="("/>
              <m:endChr m:val=")"/>
            </m:dPr>
            <m:e>
              <m:r>
                <w:rPr>
                  <w:rFonts w:ascii="Cambria Math" w:hAnsi="Cambria Math"/>
                </w:rPr>
                <m:t xml:space="preserve">Cena</m:t>
              </m:r>
              <m:r>
                <w:rPr>
                  <w:rFonts w:ascii="Cambria Math" w:hAnsi="Cambria Math"/>
                </w:rPr>
                <m:t xml:space="preserve">oferty</m:t>
              </m:r>
            </m:e>
          </m:d>
          <m:r>
            <w:rPr>
              <w:rFonts w:ascii="Cambria Math" w:hAnsi="Cambria Math"/>
            </w:rPr>
            <m:t xml:space="preserve">=</m:t>
          </m:r>
          <m:f>
            <m:num>
              <m:r>
                <w:rPr>
                  <w:rFonts w:ascii="Cambria Math" w:hAnsi="Cambria Math"/>
                </w:rPr>
                <m:t xml:space="preserve">Najniższa</m:t>
              </m:r>
              <m:r>
                <w:rPr>
                  <w:rFonts w:ascii="Cambria Math" w:hAnsi="Cambria Math"/>
                </w:rPr>
                <m:t xml:space="preserve">oferowana</m:t>
              </m:r>
              <m:r>
                <w:rPr>
                  <w:rFonts w:ascii="Cambria Math" w:hAnsi="Cambria Math"/>
                </w:rPr>
                <m:t xml:space="preserve">cena</m:t>
              </m:r>
              <m:r>
                <w:rPr>
                  <w:rFonts w:ascii="Cambria Math" w:hAnsi="Cambria Math"/>
                </w:rPr>
                <m:t xml:space="preserve">spośród</m:t>
              </m:r>
              <m:r>
                <w:rPr>
                  <w:rFonts w:ascii="Cambria Math" w:hAnsi="Cambria Math"/>
                </w:rPr>
                <m:t xml:space="preserve">wszystkich</m:t>
              </m:r>
              <m:r>
                <w:rPr>
                  <w:rFonts w:ascii="Cambria Math" w:hAnsi="Cambria Math"/>
                </w:rPr>
                <m:t xml:space="preserve">ofert</m:t>
              </m:r>
            </m:num>
            <m:den>
              <m:r>
                <w:rPr>
                  <w:rFonts w:ascii="Cambria Math" w:hAnsi="Cambria Math"/>
                </w:rPr>
                <m:t xml:space="preserve">Cena</m:t>
              </m:r>
              <m:r>
                <w:rPr>
                  <w:rFonts w:ascii="Cambria Math" w:hAnsi="Cambria Math"/>
                </w:rPr>
                <m:t xml:space="preserve">oferowana</m:t>
              </m:r>
              <m:r>
                <w:rPr>
                  <w:rFonts w:ascii="Cambria Math" w:hAnsi="Cambria Math"/>
                </w:rPr>
                <m:t xml:space="preserve">badanej</m:t>
              </m:r>
              <m:r>
                <w:rPr>
                  <w:rFonts w:ascii="Cambria Math" w:hAnsi="Cambria Math"/>
                </w:rPr>
                <m:t xml:space="preserve">oferty</m:t>
              </m:r>
            </m:den>
          </m:f>
          <m:r>
            <w:rPr>
              <w:rFonts w:ascii="Cambria Math" w:hAnsi="Cambria Math"/>
            </w:rPr>
            <m:t xml:space="preserve">x</m:t>
          </m:r>
          <m:r>
            <w:rPr>
              <w:rFonts w:ascii="Cambria Math" w:hAnsi="Cambria Math"/>
            </w:rPr>
            <m:t xml:space="preserve">60</m:t>
          </m:r>
        </m:oMath>
      </m:oMathPara>
    </w:p>
    <w:p>
      <w:pPr>
        <w:pStyle w:val="Normal"/>
        <w:spacing w:lineRule="auto" w:line="240" w:before="0" w:after="0"/>
        <w:jc w:val="both"/>
        <w:rPr>
          <w:rFonts w:ascii="Times New Roman" w:hAnsi="Times New Roman" w:cs="Times New Roman"/>
        </w:rPr>
      </w:pPr>
      <w:r>
        <w:rPr>
          <w:rFonts w:cs="Times New Roman" w:ascii="Times New Roman" w:hAnsi="Times New Roman"/>
        </w:rPr>
      </w:r>
    </w:p>
    <w:p>
      <w:pPr>
        <w:pStyle w:val="Normal"/>
        <w:spacing w:lineRule="auto" w:line="240" w:before="0" w:after="0"/>
        <w:ind w:hanging="0" w:left="360"/>
        <w:jc w:val="both"/>
        <w:rPr>
          <w:rFonts w:ascii="Times New Roman" w:hAnsi="Times New Roman" w:cs="Times New Roman"/>
        </w:rPr>
      </w:pPr>
      <w:r>
        <w:rPr>
          <w:rFonts w:cs="Times New Roman" w:ascii="Times New Roman" w:hAnsi="Times New Roman"/>
        </w:rPr>
      </w:r>
    </w:p>
    <w:p>
      <w:pPr>
        <w:pStyle w:val="Normal"/>
        <w:spacing w:lineRule="auto" w:line="240" w:before="0" w:after="0"/>
        <w:ind w:hanging="0" w:left="360"/>
        <w:jc w:val="left"/>
        <w:rPr>
          <w:rFonts w:ascii="Times New Roman" w:hAnsi="Times New Roman" w:cs="Times New Roman"/>
        </w:rPr>
      </w:pPr>
      <w:r>
        <w:rPr/>
      </w:r>
      <m:oMathPara xmlns:m="http://schemas.openxmlformats.org/officeDocument/2006/math">
        <m:oMathParaPr>
          <m:jc m:val="left"/>
        </m:oMathParaPr>
        <m:oMath>
          <m:r>
            <w:rPr>
              <w:rFonts w:ascii="Cambria Math" w:hAnsi="Cambria Math"/>
            </w:rPr>
            <m:t xml:space="preserve">G</m:t>
          </m:r>
          <m:d>
            <m:dPr>
              <m:begChr m:val="("/>
              <m:endChr m:val=")"/>
            </m:dPr>
            <m:e>
              <m:r>
                <w:rPr>
                  <w:rFonts w:ascii="Cambria Math" w:hAnsi="Cambria Math"/>
                </w:rPr>
                <m:t xml:space="preserve">Okres</m:t>
              </m:r>
              <m:r>
                <w:rPr>
                  <w:rFonts w:ascii="Cambria Math" w:hAnsi="Cambria Math"/>
                </w:rPr>
                <m:t xml:space="preserve">gwarancji</m:t>
              </m:r>
            </m:e>
          </m:d>
          <m:r>
            <w:rPr>
              <w:rFonts w:ascii="Cambria Math" w:hAnsi="Cambria Math"/>
            </w:rPr>
            <m:t xml:space="preserve">=</m:t>
          </m:r>
          <m:f>
            <m:num>
              <m:r>
                <w:rPr>
                  <w:rFonts w:ascii="Cambria Math" w:hAnsi="Cambria Math"/>
                </w:rPr>
                <m:t xml:space="preserve">Okres</m:t>
              </m:r>
              <m:r>
                <w:rPr>
                  <w:rFonts w:ascii="Cambria Math" w:hAnsi="Cambria Math"/>
                </w:rPr>
                <m:t xml:space="preserve">gwarancji</m:t>
              </m:r>
              <m:r>
                <w:rPr>
                  <w:rFonts w:ascii="Cambria Math" w:hAnsi="Cambria Math"/>
                </w:rPr>
                <m:t xml:space="preserve">w</m:t>
              </m:r>
              <m:r>
                <w:rPr>
                  <w:rFonts w:ascii="Cambria Math" w:hAnsi="Cambria Math"/>
                </w:rPr>
                <m:t xml:space="preserve">badanej</m:t>
              </m:r>
              <m:r>
                <w:rPr>
                  <w:rFonts w:ascii="Cambria Math" w:hAnsi="Cambria Math"/>
                </w:rPr>
                <m:t xml:space="preserve">ofercie</m:t>
              </m:r>
              <m:d>
                <m:dPr>
                  <m:begChr m:val="("/>
                  <m:endChr m:val=")"/>
                </m:dPr>
                <m:e>
                  <m:r>
                    <w:rPr>
                      <w:rFonts w:ascii="Cambria Math" w:hAnsi="Cambria Math"/>
                    </w:rPr>
                    <m:t xml:space="preserve">w</m:t>
                  </m:r>
                  <m:r>
                    <w:rPr>
                      <w:rFonts w:ascii="Cambria Math" w:hAnsi="Cambria Math"/>
                    </w:rPr>
                    <m:t xml:space="preserve">miesiącach</m:t>
                  </m:r>
                </m:e>
              </m:d>
            </m:num>
            <m:den>
              <m:r>
                <w:rPr>
                  <w:rFonts w:ascii="Cambria Math" w:hAnsi="Cambria Math"/>
                </w:rPr>
                <m:t xml:space="preserve">Najdłuższy</m:t>
              </m:r>
              <m:r>
                <w:rPr>
                  <w:rFonts w:ascii="Cambria Math" w:hAnsi="Cambria Math"/>
                </w:rPr>
                <m:t xml:space="preserve">oferowany</m:t>
              </m:r>
              <m:r>
                <w:rPr>
                  <w:rFonts w:ascii="Cambria Math" w:hAnsi="Cambria Math"/>
                </w:rPr>
                <m:t xml:space="preserve">okres</m:t>
              </m:r>
              <m:r>
                <w:rPr>
                  <w:rFonts w:ascii="Cambria Math" w:hAnsi="Cambria Math"/>
                </w:rPr>
                <m:t xml:space="preserve">gwarancji</m:t>
              </m:r>
              <m:r>
                <w:rPr>
                  <w:rFonts w:ascii="Cambria Math" w:hAnsi="Cambria Math"/>
                </w:rPr>
                <m:t xml:space="preserve">spośród</m:t>
              </m:r>
              <m:r>
                <w:rPr>
                  <w:rFonts w:ascii="Cambria Math" w:hAnsi="Cambria Math"/>
                </w:rPr>
                <m:t xml:space="preserve">wszystkich</m:t>
              </m:r>
              <m:r>
                <w:rPr>
                  <w:rFonts w:ascii="Cambria Math" w:hAnsi="Cambria Math"/>
                </w:rPr>
                <m:t xml:space="preserve">ofert</m:t>
              </m:r>
              <m:d>
                <m:dPr>
                  <m:begChr m:val="("/>
                  <m:endChr m:val=")"/>
                </m:dPr>
                <m:e>
                  <m:r>
                    <w:rPr>
                      <w:rFonts w:ascii="Cambria Math" w:hAnsi="Cambria Math"/>
                    </w:rPr>
                    <m:t xml:space="preserve">w</m:t>
                  </m:r>
                  <m:r>
                    <w:rPr>
                      <w:rFonts w:ascii="Cambria Math" w:hAnsi="Cambria Math"/>
                    </w:rPr>
                    <m:t xml:space="preserve">miesiącach</m:t>
                  </m:r>
                </m:e>
              </m:d>
            </m:den>
          </m:f>
          <m:r>
            <w:rPr>
              <w:rFonts w:ascii="Cambria Math" w:hAnsi="Cambria Math"/>
            </w:rPr>
            <m:t xml:space="preserve">x</m:t>
          </m:r>
          <m:r>
            <w:rPr>
              <w:rFonts w:ascii="Cambria Math" w:hAnsi="Cambria Math"/>
            </w:rPr>
            <m:t xml:space="preserve">40</m:t>
          </m:r>
        </m:oMath>
      </m:oMathPara>
    </w:p>
    <w:p>
      <w:pPr>
        <w:pStyle w:val="Normal"/>
        <w:spacing w:lineRule="auto" w:line="240" w:before="0" w:after="0"/>
        <w:ind w:hanging="0" w:left="360"/>
        <w:jc w:val="both"/>
        <w:rPr>
          <w:rFonts w:ascii="Times New Roman" w:hAnsi="Times New Roman" w:cs="Times New Roman"/>
        </w:rPr>
      </w:pPr>
      <w:r>
        <w:rPr>
          <w:rFonts w:cs="Times New Roman" w:ascii="Times New Roman" w:hAnsi="Times New Roman"/>
        </w:rPr>
      </w:r>
    </w:p>
    <w:p>
      <w:pPr>
        <w:pStyle w:val="Normal"/>
        <w:spacing w:lineRule="auto" w:line="240" w:before="0" w:after="0"/>
        <w:ind w:hanging="0" w:left="360"/>
        <w:jc w:val="both"/>
        <w:rPr/>
      </w:pPr>
      <w:r>
        <w:rPr>
          <w:rFonts w:cs="Times New Roman" w:ascii="Times New Roman" w:hAnsi="Times New Roman"/>
          <w:b/>
        </w:rPr>
        <w:t>Zgodnie z pkt 3.10 SWZ Zamawiający wymaga od Wykonawcy udzielenia gwarancji na wykonane roboty budowlane oraz zamontowane materiały, stanowiące przedmiot niniejszego zamówienia na okres nie krótszy niż 36 miesięcy licząc od daty bezusterkowego odbioru końcowego całego przedmiotu zamówienia. Jeżeli Wykonawca zaproponuje w ofercie dłuższy niż 60 miesięczny okres gwarancji, przyznana za to liczba punktów będzie równa liczbie punktów przyznanych za zaproponowanie 60 miesięcznego okresu gwarancji.</w:t>
      </w:r>
    </w:p>
    <w:p>
      <w:pPr>
        <w:pStyle w:val="Normal"/>
        <w:spacing w:lineRule="auto" w:line="240" w:before="0" w:after="0"/>
        <w:ind w:hanging="0" w:left="360"/>
        <w:jc w:val="both"/>
        <w:rPr>
          <w:rFonts w:ascii="Times New Roman" w:hAnsi="Times New Roman" w:cs="Times New Roman"/>
          <w:b/>
        </w:rPr>
      </w:pPr>
      <w:r>
        <w:rPr>
          <w:rFonts w:cs="Times New Roman" w:ascii="Times New Roman" w:hAnsi="Times New Roman"/>
          <w:b/>
        </w:rPr>
        <w:t>Jeżeli Wykonawca oferuje okres gwarancji dłuższy niż minimalny okres gwarancji wymagany w SWZ, gwarancja na udzielony przedmiot zamówienia winna być przedłużona o kolejne pełne  miesiące.</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W toku oceny ofert Zamawiający zastosuje zaokrąglenie wyników z dokładnością do dwóch miejsc po przecinku.</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Zamawiający nie przewiduje wyboru najkorzystniejszej oferty z zastosowaniem aukcji elektronicznej.</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W toku badania i oceny ofert Zamawiający może żądać od Wykonawców wyjaśnień dotyczących treści złożonych ofert. </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Zamawiający poprawia w ofercie:</w:t>
      </w:r>
    </w:p>
    <w:p>
      <w:pPr>
        <w:pStyle w:val="ListParagraph"/>
        <w:numPr>
          <w:ilvl w:val="0"/>
          <w:numId w:val="24"/>
        </w:numPr>
        <w:spacing w:lineRule="auto" w:line="240" w:before="0" w:after="0"/>
        <w:contextualSpacing/>
        <w:jc w:val="both"/>
        <w:rPr>
          <w:rFonts w:ascii="Times New Roman" w:hAnsi="Times New Roman" w:cs="Times New Roman"/>
        </w:rPr>
      </w:pPr>
      <w:r>
        <w:rPr>
          <w:rFonts w:cs="Times New Roman" w:ascii="Times New Roman" w:hAnsi="Times New Roman"/>
        </w:rPr>
        <w:t>oczywiste omyłki pisarskie,</w:t>
      </w:r>
    </w:p>
    <w:p>
      <w:pPr>
        <w:pStyle w:val="ListParagraph"/>
        <w:numPr>
          <w:ilvl w:val="0"/>
          <w:numId w:val="25"/>
        </w:numPr>
        <w:spacing w:lineRule="auto" w:line="240" w:before="0" w:after="0"/>
        <w:contextualSpacing/>
        <w:jc w:val="both"/>
        <w:rPr>
          <w:rFonts w:ascii="Times New Roman" w:hAnsi="Times New Roman" w:cs="Times New Roman"/>
        </w:rPr>
      </w:pPr>
      <w:r>
        <w:rPr>
          <w:rFonts w:cs="Times New Roman" w:ascii="Times New Roman" w:hAnsi="Times New Roman"/>
        </w:rPr>
        <w:t>oczywiste omyłki rachunkowe z uwzględnieniem konsekwencji rachunkowych dokonywanych poprawek,</w:t>
      </w:r>
    </w:p>
    <w:p>
      <w:pPr>
        <w:pStyle w:val="ListParagraph"/>
        <w:numPr>
          <w:ilvl w:val="0"/>
          <w:numId w:val="26"/>
        </w:numPr>
        <w:spacing w:lineRule="auto" w:line="240" w:before="0" w:after="0"/>
        <w:contextualSpacing/>
        <w:jc w:val="both"/>
        <w:rPr>
          <w:rFonts w:ascii="Times New Roman" w:hAnsi="Times New Roman" w:cs="Times New Roman"/>
        </w:rPr>
      </w:pPr>
      <w:r>
        <w:rPr>
          <w:rFonts w:cs="Times New Roman" w:ascii="Times New Roman" w:hAnsi="Times New Roman"/>
        </w:rPr>
        <w:t xml:space="preserve">inne omyłki polegające na niezgodności oferty </w:t>
      </w:r>
      <w:r>
        <w:rPr>
          <w:rFonts w:eastAsia="Calibri" w:cs="Times New Roman" w:ascii="Times New Roman" w:hAnsi="Times New Roman" w:eastAsiaTheme="minorHAnsi"/>
          <w:color w:val="auto"/>
          <w:kern w:val="0"/>
          <w:sz w:val="22"/>
          <w:szCs w:val="22"/>
          <w:lang w:val="pl-PL" w:eastAsia="en-US" w:bidi="ar-SA"/>
        </w:rPr>
        <w:t>z dokumentami zamówienia</w:t>
      </w:r>
      <w:r>
        <w:rPr>
          <w:rFonts w:cs="Times New Roman" w:ascii="Times New Roman" w:hAnsi="Times New Roman"/>
        </w:rPr>
        <w:t>, niepowodujące istotnych zmian w treści oferty</w:t>
      </w:r>
    </w:p>
    <w:p>
      <w:pPr>
        <w:pStyle w:val="ListParagraph"/>
        <w:numPr>
          <w:ilvl w:val="1"/>
          <w:numId w:val="27"/>
        </w:numPr>
        <w:spacing w:lineRule="auto" w:line="240" w:before="0" w:after="0"/>
        <w:contextualSpacing/>
        <w:jc w:val="both"/>
        <w:rPr>
          <w:rFonts w:ascii="Times New Roman" w:hAnsi="Times New Roman" w:cs="Times New Roman"/>
        </w:rPr>
      </w:pPr>
      <w:r>
        <w:rPr>
          <w:rFonts w:cs="Times New Roman" w:ascii="Times New Roman" w:hAnsi="Times New Roman"/>
        </w:rPr>
        <w:t>niezwłocznie zawiadamiając o tym Wykonawcę, którego oferta została poprawiona.</w:t>
      </w:r>
    </w:p>
    <w:p>
      <w:pPr>
        <w:pStyle w:val="ListParagraph"/>
        <w:spacing w:lineRule="auto" w:line="240" w:before="0" w:after="0"/>
        <w:ind w:hanging="0" w:left="1944"/>
        <w:contextualSpacing/>
        <w:jc w:val="both"/>
        <w:rPr/>
      </w:pPr>
      <w:r>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Informacje o formalnościach, jakie powinny zostać dopełnione po wyborze oferty w celu zawarcia umowy w sprawie zamówienia publicznego:</w:t>
      </w:r>
      <w:r>
        <w:fldChar w:fldCharType="begin"/>
      </w:r>
      <w:r>
        <w:rPr>
          <w:b/>
          <w:rFonts w:cs="Times New Roman" w:ascii="Times New Roman" w:hAnsi="Times New Roman"/>
        </w:rPr>
        <w:instrText xml:space="preserve"> TC "Informacje o formalnościach, jakie powinny zostać dopełnione po wyborze oferty w celu zawarcia umowy w sprawie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"Informacje o formalnościach, jakie powinny zostać dopełnione po wyborze oferty w celu zawarcia umowy w sprawie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"Informacje o formalnościach, jakie powinny zostać dopełnione po wyborze oferty w celu zawarcia umowy w sprawie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"Informacje o formalnościach, jakie powinny zostać dopełnione po wyborze oferty w celu zawarcia umowy w sprawie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"Informacje o formalnościach, jakie powinny zostać dopełnione po wyborze oferty w celu zawarcia umowy w sprawie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"Informacje o formalnościach, jakie powinny zostać dopełnione po wyborze oferty w celu zawarcia umowy w sprawie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Zamawiający informuje niezwłocznie wszystkich Wykonawców o:</w:t>
      </w:r>
    </w:p>
    <w:p>
      <w:pPr>
        <w:pStyle w:val="ListParagraph"/>
        <w:numPr>
          <w:ilvl w:val="0"/>
          <w:numId w:val="9"/>
        </w:numPr>
        <w:spacing w:lineRule="auto" w:line="240" w:before="0" w:after="0"/>
        <w:contextualSpacing/>
        <w:jc w:val="both"/>
        <w:rPr>
          <w:rFonts w:ascii="Times New Roman" w:hAnsi="Times New Roman" w:cs="Times New Roman"/>
        </w:rPr>
      </w:pPr>
      <w:r>
        <w:rPr>
          <w:rFonts w:cs="Times New Roman" w:ascii="Times New Roman" w:hAnsi="Times New Roman"/>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pPr>
        <w:pStyle w:val="ListParagraph"/>
        <w:numPr>
          <w:ilvl w:val="0"/>
          <w:numId w:val="9"/>
        </w:numPr>
        <w:spacing w:lineRule="auto" w:line="240" w:before="0" w:after="0"/>
        <w:contextualSpacing/>
        <w:jc w:val="both"/>
        <w:rPr/>
      </w:pPr>
      <w:r>
        <w:rPr>
          <w:rFonts w:cs="Times New Roman" w:ascii="Times New Roman" w:hAnsi="Times New Roman"/>
        </w:rPr>
        <w:t>wykonawcach, których oferty zostały odrzucone</w:t>
      </w:r>
    </w:p>
    <w:p>
      <w:pPr>
        <w:pStyle w:val="ListParagraph"/>
        <w:numPr>
          <w:ilvl w:val="0"/>
          <w:numId w:val="9"/>
        </w:numPr>
        <w:spacing w:lineRule="auto" w:line="240" w:before="0" w:after="0"/>
        <w:contextualSpacing/>
        <w:jc w:val="both"/>
        <w:rPr>
          <w:rFonts w:ascii="Times New Roman" w:hAnsi="Times New Roman" w:cs="Times New Roman"/>
        </w:rPr>
      </w:pPr>
      <w:r>
        <w:rPr>
          <w:rFonts w:cs="Times New Roman" w:ascii="Times New Roman" w:hAnsi="Times New Roman"/>
        </w:rPr>
        <w:t>unieważnieniu postępowania</w:t>
      </w:r>
    </w:p>
    <w:p>
      <w:pPr>
        <w:pStyle w:val="ListParagraph"/>
        <w:numPr>
          <w:ilvl w:val="0"/>
          <w:numId w:val="10"/>
        </w:numPr>
        <w:spacing w:lineRule="auto" w:line="240" w:before="0" w:after="0"/>
        <w:contextualSpacing/>
        <w:jc w:val="both"/>
        <w:rPr>
          <w:rFonts w:ascii="Times New Roman" w:hAnsi="Times New Roman" w:cs="Times New Roman"/>
        </w:rPr>
      </w:pPr>
      <w:r>
        <w:rPr>
          <w:rFonts w:cs="Times New Roman" w:ascii="Times New Roman" w:hAnsi="Times New Roman"/>
        </w:rPr>
        <w:t>podając uzasadnienie faktyczne i prawne.</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Jeżeli została wybrana oferta wykonawców wspólnie ubiegających się o udzielenie zamówienia, zamawiający może żądać przed zawarciem umowy w sprawie zamówienia publicznego kopii umowy regulującej współpracę tych wykonawców.</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Wykonawca, którego oferta zostanie wybrana jako najkorzystniejsza, przedłoży przed podpisaniem umowy kosztorys ofertowy </w:t>
      </w:r>
      <w:r>
        <w:rPr>
          <w:rFonts w:cs="Times New Roman" w:ascii="Times New Roman" w:hAnsi="Times New Roman"/>
          <w:b w:val="false"/>
          <w:bCs w:val="false"/>
        </w:rPr>
        <w:t>w</w:t>
      </w:r>
      <w:r>
        <w:rPr>
          <w:rFonts w:cs="Times New Roman" w:ascii="Times New Roman" w:hAnsi="Times New Roman"/>
          <w:b w:val="false"/>
          <w:bCs w:val="false"/>
          <w:color w:val="000000"/>
          <w:sz w:val="22"/>
          <w:szCs w:val="22"/>
        </w:rPr>
        <w:t>raz z harmonogramem finansowo-rzeczowym</w:t>
      </w:r>
      <w:r>
        <w:rPr>
          <w:rFonts w:cs="Times New Roman" w:ascii="Times New Roman" w:hAnsi="Times New Roman"/>
          <w:b w:val="false"/>
          <w:bCs w:val="false"/>
        </w:rPr>
        <w:t xml:space="preserve"> </w:t>
      </w:r>
      <w:r>
        <w:rPr>
          <w:rFonts w:cs="Times New Roman" w:ascii="Times New Roman" w:hAnsi="Times New Roman"/>
        </w:rPr>
        <w:t>w odniesieniu do dokumentacji stanowiącej załącznik nr 7 do SWZ oraz szczegółowego opisu przedmiotu zamówienia w pkt. 3.1 SWZ</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Wykonawca, którego oferta zostanie wybrana jako najkorzystniejsza, przedłoży przed podpisaniem umowy </w:t>
      </w:r>
      <w:r>
        <w:rPr>
          <w:rFonts w:eastAsia="Calibri" w:cs="Times New Roman" w:ascii="Times New Roman" w:hAnsi="Times New Roman" w:eastAsiaTheme="minorHAnsi"/>
          <w:color w:val="auto"/>
          <w:kern w:val="0"/>
          <w:sz w:val="22"/>
          <w:szCs w:val="22"/>
          <w:lang w:val="pl-PL" w:eastAsia="en-US" w:bidi="ar-SA"/>
        </w:rPr>
        <w:t>kartę katalogową oferowanych opraw.</w:t>
      </w:r>
    </w:p>
    <w:p>
      <w:pPr>
        <w:pStyle w:val="ListParagraph"/>
        <w:numPr>
          <w:ilvl w:val="0"/>
          <w:numId w:val="0"/>
        </w:numPr>
        <w:spacing w:lineRule="auto" w:line="240" w:before="0" w:after="0"/>
        <w:ind w:hanging="0" w:left="1076"/>
        <w:contextualSpacing/>
        <w:jc w:val="both"/>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Wymagania dotyczące zabezpieczenia należytego wykonania umowy:</w:t>
      </w:r>
      <w:r>
        <w:fldChar w:fldCharType="begin"/>
      </w:r>
      <w:r>
        <w:rPr>
          <w:b/>
          <w:rFonts w:cs="Times New Roman" w:ascii="Times New Roman" w:hAnsi="Times New Roman"/>
        </w:rPr>
        <w:instrText xml:space="preserve"> TC "Wymagania dotyczące zabezpieczenia należytego wykonania umowy:"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zabezpieczenia należytego wykonania umowy:"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zabezpieczenia należytego wykonania umowy:"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zabezpieczenia należytego wykonania umowy:"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zabezpieczenia należytego wykonania umowy:"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"Wymagania dotyczące zabezpieczenia należytego wykonania umowy:"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Zamawiający Zamawiający </w:t>
      </w:r>
      <w:r>
        <w:rPr>
          <w:rFonts w:eastAsia="Calibri" w:cs="Times New Roman" w:ascii="Times New Roman" w:hAnsi="Times New Roman" w:eastAsiaTheme="minorHAnsi"/>
          <w:color w:val="auto"/>
          <w:kern w:val="0"/>
          <w:sz w:val="22"/>
          <w:szCs w:val="22"/>
          <w:lang w:val="pl-PL" w:eastAsia="en-US" w:bidi="ar-SA"/>
        </w:rPr>
        <w:t>wymaga</w:t>
      </w:r>
      <w:r>
        <w:rPr>
          <w:rFonts w:cs="Times New Roman" w:ascii="Times New Roman" w:hAnsi="Times New Roman"/>
        </w:rPr>
        <w:t xml:space="preserve"> zabezpieczenia należytego wykonania umowy. Zabezpieczenie należytego wykonania umowy służy pokryciu roszczeń z tytułu niewykonania lub nienależytego wykonania umowy.</w:t>
      </w:r>
    </w:p>
    <w:p>
      <w:pPr>
        <w:pStyle w:val="ListParagraph"/>
        <w:numPr>
          <w:ilvl w:val="1"/>
          <w:numId w:val="12"/>
        </w:numPr>
        <w:spacing w:lineRule="auto" w:line="240" w:before="0" w:after="0"/>
        <w:ind w:hanging="508" w:left="792"/>
        <w:contextualSpacing/>
        <w:jc w:val="both"/>
        <w:rPr/>
      </w:pPr>
      <w:r>
        <w:rPr>
          <w:rFonts w:cs="Times New Roman" w:ascii="Times New Roman" w:hAnsi="Times New Roman"/>
        </w:rPr>
        <w:t xml:space="preserve">Warunkiem podpisania umowy w sprawie niniejszego zamówienia jest wniesienie zabezpieczenia należytego wykonania umowy w wysokości </w:t>
      </w:r>
      <w:r>
        <w:rPr>
          <w:rFonts w:cs="Times New Roman" w:ascii="Times New Roman" w:hAnsi="Times New Roman"/>
          <w:b/>
          <w:bCs/>
        </w:rPr>
        <w:t>5%</w:t>
      </w:r>
      <w:r>
        <w:rPr>
          <w:rFonts w:cs="Times New Roman" w:ascii="Times New Roman" w:hAnsi="Times New Roman"/>
        </w:rPr>
        <w:t xml:space="preserve"> ceny całkowitej podanej w ofercie Wykonawcy (dla każdej części).</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Zabezpieczenie należytego wykonania umowy może być wniesione według wyboru Wykonawcy w jednej lub w kilku następujących formach:</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a. pieniądzu,</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b. poręczeniach bankowych lub poręczeniach spółdzielczej kasy oszczędnościowo-kredytowej, z tym że zobowiązanie kasy jest zawsze zobowiązaniem pieniężnym;</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c. gwarancjach bankowych,</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d. gwarancjach ubezpieczeniowych,</w:t>
      </w:r>
    </w:p>
    <w:p>
      <w:pPr>
        <w:pStyle w:val="ListParagraph"/>
        <w:numPr>
          <w:ilvl w:val="0"/>
          <w:numId w:val="0"/>
        </w:numPr>
        <w:spacing w:lineRule="auto" w:line="240" w:before="0" w:after="0"/>
        <w:ind w:hanging="0" w:left="360"/>
        <w:contextualSpacing/>
        <w:jc w:val="both"/>
        <w:rPr>
          <w:rFonts w:ascii="Times New Roman" w:hAnsi="Times New Roman" w:cs="Times New Roman"/>
        </w:rPr>
      </w:pPr>
      <w:r>
        <w:rPr>
          <w:rFonts w:cs="Times New Roman" w:ascii="Times New Roman" w:hAnsi="Times New Roman"/>
        </w:rPr>
        <w:t>e.poręczeniach udzielanych przez podmioty, o których mowa w art. 6b ust. 5 pkt 2 ustawy z dnia 9 listopada 2000 r. o utworzeniu Polskiej Agencji Rozwoju Przedsiębiorczości.</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Zamawiający nie wyraża zgody na wniesienie zabezpieczenia należytego wykonania umowy w formach określonych w art. </w:t>
      </w:r>
      <w:r>
        <w:rPr>
          <w:rFonts w:eastAsia="Calibri" w:cs="Times New Roman" w:ascii="Times New Roman" w:hAnsi="Times New Roman" w:eastAsiaTheme="minorHAnsi"/>
          <w:color w:val="auto"/>
          <w:kern w:val="0"/>
          <w:sz w:val="22"/>
          <w:szCs w:val="22"/>
          <w:lang w:val="pl-PL" w:eastAsia="en-US" w:bidi="ar-SA"/>
        </w:rPr>
        <w:t>450</w:t>
      </w:r>
      <w:r>
        <w:rPr>
          <w:rFonts w:cs="Times New Roman" w:ascii="Times New Roman" w:hAnsi="Times New Roman"/>
        </w:rPr>
        <w:t xml:space="preserve"> ust. 2 ustawy Pzp.</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Zabezpieczenie wnoszone w formie pieniężnej zostanie wpłacone przelewem na rachunek bankowy Zamawiającego: </w:t>
      </w:r>
      <w:r>
        <w:rPr>
          <w:rFonts w:cs="Times New Roman" w:ascii="Times New Roman" w:hAnsi="Times New Roman"/>
          <w:b/>
          <w:bCs/>
        </w:rPr>
        <w:t>BNP PARIBAS</w:t>
      </w:r>
      <w:r>
        <w:rPr>
          <w:rFonts w:cs="Times New Roman" w:ascii="Times New Roman" w:hAnsi="Times New Roman"/>
          <w:b/>
        </w:rPr>
        <w:t xml:space="preserve"> nr 95 1600 0003 1852 7858 2000 0003 .</w:t>
      </w:r>
      <w:r>
        <w:rPr>
          <w:rFonts w:cs="Times New Roman" w:ascii="Times New Roman" w:hAnsi="Times New Roman"/>
        </w:rPr>
        <w:t xml:space="preserve"> Skuteczne wniesienie zabezpieczenia należytego wykonania umowy w formie pieniężnej następuje z chwilą wpływu środków pieniężnych na ww. rachunek Zamawiającego.</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Dokument potwierdzający wniesienie zabezpieczenia należytego wykonania umowy należy dostarczyć do Zamawiającego przed podpisaniem umowy.</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W trakcie realizacji umowy wykonawca może dokonać zmiany formy zabezpieczenia na jedną lub kilka form, o których mowa w pkt. 2</w:t>
      </w:r>
      <w:r>
        <w:rPr>
          <w:rFonts w:eastAsia="Calibri" w:cs="Times New Roman" w:ascii="Times New Roman" w:hAnsi="Times New Roman" w:eastAsiaTheme="minorHAnsi"/>
          <w:color w:val="auto"/>
          <w:kern w:val="0"/>
          <w:sz w:val="22"/>
          <w:szCs w:val="22"/>
          <w:lang w:val="pl-PL" w:eastAsia="en-US" w:bidi="ar-SA"/>
        </w:rPr>
        <w:t>3</w:t>
      </w:r>
      <w:r>
        <w:rPr>
          <w:rFonts w:cs="Times New Roman" w:ascii="Times New Roman" w:hAnsi="Times New Roman"/>
        </w:rPr>
        <w:t>.3 SWZ.</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Zmiana formy zabezpieczenia jest dokonywana z zachowaniem ciągłości zabezpieczenia i bez zmniejszenia jego wysokości.</w:t>
      </w:r>
    </w:p>
    <w:p>
      <w:pPr>
        <w:pStyle w:val="ListParagraph"/>
        <w:numPr>
          <w:ilvl w:val="1"/>
          <w:numId w:val="12"/>
        </w:numPr>
        <w:spacing w:lineRule="auto" w:line="240" w:before="0" w:after="0"/>
        <w:ind w:hanging="650" w:left="792"/>
        <w:contextualSpacing/>
        <w:jc w:val="both"/>
        <w:rPr>
          <w:rFonts w:ascii="Times New Roman" w:hAnsi="Times New Roman" w:cs="Times New Roman"/>
        </w:rPr>
      </w:pPr>
      <w:r>
        <w:rPr>
          <w:rFonts w:cs="Times New Roman" w:ascii="Times New Roman" w:hAnsi="Times New Roman"/>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pPr>
        <w:pStyle w:val="ListParagraph"/>
        <w:numPr>
          <w:ilvl w:val="1"/>
          <w:numId w:val="12"/>
        </w:numPr>
        <w:spacing w:lineRule="auto" w:line="240" w:before="0" w:after="0"/>
        <w:ind w:hanging="650" w:left="792"/>
        <w:contextualSpacing/>
        <w:jc w:val="both"/>
        <w:rPr>
          <w:rFonts w:ascii="Times New Roman" w:hAnsi="Times New Roman" w:cs="Times New Roman"/>
        </w:rPr>
      </w:pPr>
      <w:r>
        <w:rPr>
          <w:rFonts w:cs="Times New Roman" w:ascii="Times New Roman" w:hAnsi="Times New Roman"/>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Wypłata, o której mowa w ust. 9, następuje nie później niż w ostatnim dniu ważności dotychczasowego zabezpieczenia.</w:t>
      </w:r>
    </w:p>
    <w:p>
      <w:pPr>
        <w:pStyle w:val="ListParagraph"/>
        <w:numPr>
          <w:ilvl w:val="1"/>
          <w:numId w:val="12"/>
        </w:numPr>
        <w:spacing w:lineRule="auto" w:line="240" w:before="0" w:after="0"/>
        <w:ind w:hanging="650" w:left="792"/>
        <w:contextualSpacing/>
        <w:jc w:val="both"/>
        <w:rPr>
          <w:rFonts w:ascii="Times New Roman" w:hAnsi="Times New Roman" w:cs="Times New Roman"/>
        </w:rPr>
      </w:pPr>
      <w:r>
        <w:rPr>
          <w:rFonts w:cs="Times New Roman" w:ascii="Times New Roman" w:hAnsi="Times New Roman"/>
        </w:rPr>
        <w:t>Zamawiający zwróci w terminie 30 dni od dnia wykonania zamówienia i uznania przez Zamawiającego za należycie wykonane 70% zabezpieczenia.</w:t>
      </w:r>
    </w:p>
    <w:p>
      <w:pPr>
        <w:pStyle w:val="ListParagraph"/>
        <w:numPr>
          <w:ilvl w:val="1"/>
          <w:numId w:val="12"/>
        </w:numPr>
        <w:spacing w:lineRule="auto" w:line="240" w:before="0" w:after="0"/>
        <w:ind w:hanging="650" w:left="792"/>
        <w:contextualSpacing/>
        <w:jc w:val="both"/>
        <w:rPr>
          <w:rFonts w:ascii="Times New Roman" w:hAnsi="Times New Roman" w:cs="Times New Roman"/>
        </w:rPr>
      </w:pPr>
      <w:r>
        <w:rPr>
          <w:rFonts w:cs="Times New Roman" w:ascii="Times New Roman" w:hAnsi="Times New Roman"/>
        </w:rPr>
        <w:t>Na zabezpieczenie roszczeń z tytułu rękojmi  za wady Zamawiający pozostawi 30% wysokości zabezpieczenia. Kwota ta zostanie zwrócona nie później niż w 15 dniu po upływie okresu rękojmi za wady.</w:t>
      </w:r>
    </w:p>
    <w:p>
      <w:pPr>
        <w:pStyle w:val="ListParagraph"/>
        <w:numPr>
          <w:ilvl w:val="0"/>
          <w:numId w:val="0"/>
        </w:numPr>
        <w:spacing w:lineRule="auto" w:line="240" w:before="0" w:after="0"/>
        <w:ind w:hanging="0" w:left="934"/>
        <w:contextualSpacing/>
        <w:jc w:val="both"/>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rFonts w:ascii="Times New Roman" w:hAnsi="Times New Roman" w:cs="Times New Roman"/>
          <w:b/>
        </w:rPr>
      </w:pPr>
      <w:r>
        <w:rPr>
          <w:rFonts w:cs="Times New Roman" w:ascii="Times New Roman" w:hAnsi="Times New Roman"/>
          <w:b/>
        </w:rPr>
        <w:t>Wzór umowy w sprawie niniejszego zamówienia publicznego:</w:t>
      </w:r>
      <w:r>
        <w:fldChar w:fldCharType="begin"/>
      </w:r>
      <w:r>
        <w:rPr>
          <w:b/>
          <w:rFonts w:cs="Times New Roman" w:ascii="Times New Roman" w:hAnsi="Times New Roman"/>
        </w:rPr>
        <w:instrText xml:space="preserve"> TC "Wzór umowy w sprawie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"Wzór umowy w sprawie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"Wzór umowy w sprawie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"Wzór umowy w sprawie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"Wzór umowy w sprawie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"Wzór umowy w sprawie niniejszego zamówienia publicznego:"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rFonts w:ascii="Times New Roman" w:hAnsi="Times New Roman" w:cs="Times New Roman"/>
        </w:rPr>
      </w:pPr>
      <w:r>
        <w:rPr>
          <w:rFonts w:cs="Times New Roman" w:ascii="Times New Roman" w:hAnsi="Times New Roman"/>
        </w:rPr>
        <w:t xml:space="preserve">Wzór umowy w sprawie niniejszego zamówienia publicznego zawarty jest w załączniku nr </w:t>
      </w:r>
      <w:r>
        <w:rPr>
          <w:rFonts w:eastAsia="Calibri" w:cs="Times New Roman" w:ascii="Times New Roman" w:hAnsi="Times New Roman" w:eastAsiaTheme="minorHAnsi"/>
          <w:color w:val="auto"/>
          <w:kern w:val="0"/>
          <w:sz w:val="22"/>
          <w:szCs w:val="22"/>
          <w:lang w:val="pl-PL" w:eastAsia="en-US" w:bidi="ar-SA"/>
        </w:rPr>
        <w:t>6</w:t>
      </w:r>
      <w:r>
        <w:rPr>
          <w:rFonts w:cs="Times New Roman" w:ascii="Times New Roman" w:hAnsi="Times New Roman"/>
        </w:rPr>
        <w:t xml:space="preserve"> do SWZ.</w:t>
      </w:r>
    </w:p>
    <w:p>
      <w:pPr>
        <w:pStyle w:val="ListParagraph"/>
        <w:numPr>
          <w:ilvl w:val="1"/>
          <w:numId w:val="12"/>
        </w:numPr>
        <w:ind w:hanging="508" w:left="792"/>
        <w:rPr>
          <w:rFonts w:ascii="Times New Roman" w:hAnsi="Times New Roman" w:cs="Times New Roman"/>
        </w:rPr>
      </w:pPr>
      <w:r>
        <w:rPr>
          <w:rFonts w:cs="Times New Roman" w:ascii="Times New Roman" w:hAnsi="Times New Roman"/>
        </w:rPr>
        <w:t xml:space="preserve">Zgodnie z treścią art. </w:t>
      </w:r>
      <w:r>
        <w:rPr>
          <w:rFonts w:eastAsia="Calibri" w:cs="Times New Roman" w:ascii="Times New Roman" w:hAnsi="Times New Roman" w:eastAsiaTheme="minorHAnsi"/>
          <w:color w:val="auto"/>
          <w:kern w:val="0"/>
          <w:sz w:val="22"/>
          <w:szCs w:val="22"/>
          <w:lang w:val="pl-PL" w:eastAsia="en-US" w:bidi="ar-SA"/>
        </w:rPr>
        <w:t>455</w:t>
      </w:r>
      <w:r>
        <w:rPr>
          <w:rFonts w:cs="Times New Roman" w:ascii="Times New Roman" w:hAnsi="Times New Roman"/>
        </w:rPr>
        <w:t xml:space="preserve"> ust. 1 Ustawy Zamawiający przewidział w SWZ możliwość dokonania zmiany Umowy zgodnie z postanowieniami Wzoru Umowy (Załącznik Nr </w:t>
      </w:r>
      <w:r>
        <w:rPr>
          <w:rFonts w:eastAsia="Calibri" w:cs="Times New Roman" w:ascii="Times New Roman" w:hAnsi="Times New Roman" w:eastAsiaTheme="minorHAnsi"/>
          <w:color w:val="auto"/>
          <w:kern w:val="0"/>
          <w:sz w:val="22"/>
          <w:szCs w:val="22"/>
          <w:lang w:val="pl-PL" w:eastAsia="en-US" w:bidi="ar-SA"/>
        </w:rPr>
        <w:t>6</w:t>
      </w:r>
      <w:r>
        <w:rPr>
          <w:rFonts w:cs="Times New Roman" w:ascii="Times New Roman" w:hAnsi="Times New Roman"/>
        </w:rPr>
        <w:t xml:space="preserve"> do SWZ).</w:t>
      </w:r>
    </w:p>
    <w:p>
      <w:pPr>
        <w:pStyle w:val="ListParagraph"/>
        <w:numPr>
          <w:ilvl w:val="1"/>
          <w:numId w:val="12"/>
        </w:numPr>
        <w:spacing w:lineRule="auto" w:line="240" w:before="0" w:after="0"/>
        <w:ind w:hanging="508" w:left="792"/>
        <w:contextualSpacing/>
        <w:jc w:val="both"/>
        <w:rPr/>
      </w:pPr>
      <w:r>
        <w:rPr>
          <w:rFonts w:cs="Times New Roman" w:ascii="Times New Roman" w:hAnsi="Times New Roman"/>
        </w:rPr>
        <w:t>Zamawiający nie zamierza zawrzeć umowy ramowej.</w:t>
      </w:r>
    </w:p>
    <w:p>
      <w:pPr>
        <w:pStyle w:val="ListParagraph"/>
        <w:spacing w:lineRule="auto" w:line="240" w:before="0" w:after="0"/>
        <w:ind w:hanging="508" w:left="792"/>
        <w:contextualSpacing/>
        <w:jc w:val="both"/>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pPr>
      <w:r>
        <w:rPr>
          <w:rFonts w:cs="Times New Roman" w:ascii="Times New Roman" w:hAnsi="Times New Roman"/>
          <w:b/>
        </w:rPr>
        <w:t>Środki ochrony prawnej:</w:t>
      </w:r>
      <w:r>
        <w:fldChar w:fldCharType="begin"/>
      </w:r>
      <w:r>
        <w:rPr>
          <w:b/>
          <w:rFonts w:cs="Times New Roman" w:ascii="Times New Roman" w:hAnsi="Times New Roman"/>
        </w:rPr>
        <w:instrText xml:space="preserve"> TC "Środki ochrony prawnej:"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"Środki ochrony prawnej:"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"Środki ochrony prawnej:"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"Środki ochrony prawnej:"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"Środki ochrony prawnej:"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"Środki ochrony prawnej:"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numPr>
          <w:ilvl w:val="1"/>
          <w:numId w:val="12"/>
        </w:numPr>
        <w:spacing w:lineRule="auto" w:line="240" w:before="0" w:after="0"/>
        <w:ind w:hanging="508" w:left="792"/>
        <w:contextualSpacing/>
        <w:jc w:val="both"/>
        <w:rPr/>
      </w:pPr>
      <w:r>
        <w:rPr>
          <w:rFonts w:cs="Times New Roman" w:ascii="Times New Roman" w:hAnsi="Times New Roman"/>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pPr>
        <w:pStyle w:val="ListParagraph"/>
        <w:numPr>
          <w:ilvl w:val="1"/>
          <w:numId w:val="12"/>
        </w:numPr>
        <w:spacing w:lineRule="auto" w:line="240" w:before="0" w:after="0"/>
        <w:ind w:hanging="508" w:left="792"/>
        <w:contextualSpacing/>
        <w:jc w:val="both"/>
        <w:rPr/>
      </w:pPr>
      <w:r>
        <w:rPr>
          <w:rFonts w:cs="Times New Roman" w:ascii="Times New Roman" w:hAnsi="Times New Roman"/>
          <w:b w:val="false"/>
          <w:bCs w:val="false"/>
          <w:sz w:val="22"/>
          <w:szCs w:val="22"/>
        </w:rPr>
        <w:t xml:space="preserve">Realizując obowiązek, o którym mowa w  art. 24 ust. 6 ustawy z dnia 14 czerwca 2024 r. o ochronie sygnalistów (DZ. U. z 2024r. poz. 928), informujemy, że w Urzędzie Gminy Redzikowo funkcjonuje Zarządzenie nr 135/2024 Wójta Gminy Redzikowo </w:t>
      </w:r>
      <w:r>
        <w:rPr>
          <w:rFonts w:cs="Times New Roman" w:ascii="Times New Roman" w:hAnsi="Times New Roman"/>
          <w:b w:val="false"/>
          <w:bCs w:val="false"/>
          <w:strike w:val="false"/>
          <w:dstrike w:val="false"/>
          <w:sz w:val="22"/>
          <w:szCs w:val="22"/>
          <w:u w:val="none"/>
        </w:rPr>
        <w:t>z dnia                        17 września 2024 r. w sprawie ustalenia wewnętrznej procedury dokonywania zgłoszeń naruszeń prawa i podejmowania działań następczych w Urzędzie Gminy Redzikowo</w:t>
      </w:r>
      <w:r>
        <w:rPr>
          <w:rFonts w:cs="Times New Roman" w:ascii="Times New Roman" w:hAnsi="Times New Roman"/>
          <w:b w:val="false"/>
          <w:bCs w:val="false"/>
          <w:sz w:val="22"/>
          <w:szCs w:val="22"/>
        </w:rPr>
        <w:t>.,   dostępne  na BIP tut. urzędu (</w:t>
      </w:r>
      <w:hyperlink r:id="rId26">
        <w:r>
          <w:rPr>
            <w:rStyle w:val="Hyperlink"/>
            <w:rFonts w:cs="Times New Roman" w:ascii="Times New Roman" w:hAnsi="Times New Roman"/>
            <w:b w:val="false"/>
            <w:bCs w:val="false"/>
            <w:sz w:val="22"/>
            <w:szCs w:val="22"/>
          </w:rPr>
          <w:t>https://bip.gminaslupsk.pl/strony/17738.dhtml</w:t>
        </w:r>
      </w:hyperlink>
      <w:r>
        <w:rPr>
          <w:rFonts w:cs="Times New Roman" w:ascii="Times New Roman" w:hAnsi="Times New Roman"/>
          <w:b w:val="false"/>
          <w:bCs w:val="false"/>
          <w:sz w:val="22"/>
          <w:szCs w:val="22"/>
        </w:rPr>
        <w:t>).</w:t>
      </w:r>
      <w:r>
        <w:br w:type="page"/>
      </w:r>
    </w:p>
    <w:p>
      <w:pPr>
        <w:pStyle w:val="ListParagraph"/>
        <w:spacing w:lineRule="auto" w:line="240" w:before="0" w:after="0"/>
        <w:ind w:hanging="0" w:left="792"/>
        <w:contextualSpacing/>
        <w:jc w:val="both"/>
        <w:rPr>
          <w:rFonts w:ascii="Times New Roman" w:hAnsi="Times New Roman" w:cs="Times New Roman"/>
        </w:rPr>
      </w:pPr>
      <w:r>
        <w:rPr>
          <w:rFonts w:cs="Times New Roman" w:ascii="Times New Roman" w:hAnsi="Times New Roman"/>
        </w:rPr>
      </w:r>
    </w:p>
    <w:p>
      <w:pPr>
        <w:pStyle w:val="ListParagraph"/>
        <w:numPr>
          <w:ilvl w:val="0"/>
          <w:numId w:val="12"/>
        </w:numPr>
        <w:spacing w:lineRule="auto" w:line="240" w:before="0" w:after="0"/>
        <w:contextualSpacing/>
        <w:jc w:val="both"/>
        <w:rPr>
          <w:rFonts w:ascii="Times New Roman" w:hAnsi="Times New Roman" w:cs="Times New Roman"/>
        </w:rPr>
      </w:pPr>
      <w:r>
        <w:rPr>
          <w:rFonts w:cs="Times New Roman" w:ascii="Times New Roman" w:hAnsi="Times New Roman"/>
          <w:b/>
        </w:rPr>
        <w:t>Klauzula informacyjna dotycząca przetwarzania danych osobowych na podstawie obowiązku prawnego ciążącego na administratorze.</w:t>
      </w:r>
      <w:r>
        <w:fldChar w:fldCharType="begin"/>
      </w:r>
      <w:r>
        <w:rPr>
          <w:b/>
          <w:rFonts w:cs="Times New Roman" w:ascii="Times New Roman" w:hAnsi="Times New Roman"/>
        </w:rPr>
        <w:instrText xml:space="preserve"> TC "Klauzula informacyjna dotycząca przetwarzania danych osobowych na podstawie obowiązku prawnego ciążącego na administratorze."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"Klauzula informacyjna dotycząca przetwarzania danych osobowych na podstawie obowiązku prawnego ciążącego na administratorze."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"Klauzula informacyjna dotycząca przetwarzania danych osobowych na podstawie obowiązku prawnego ciążącego na administratorze."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"Klauzula informacyjna dotycząca przetwarzania danych osobowych na podstawie obowiązku prawnego ciążącego na administratorze."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"Klauzula informacyjna dotycząca przetwarzania danych osobowych na podstawie obowiązku prawnego ciążącego na administratorze."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r>
        <w:fldChar w:fldCharType="begin"/>
      </w:r>
      <w:r>
        <w:rPr>
          <w:b/>
          <w:rFonts w:cs="Times New Roman" w:ascii="Times New Roman" w:hAnsi="Times New Roman"/>
        </w:rPr>
        <w:instrText xml:space="preserve"> TC "Klauzula informacyjna dotycząca przetwarzania danych osobowych na podstawie obowiązku prawnego ciążącego na administratorze." \l 9 </w:instrText>
      </w:r>
      <w:r>
        <w:rPr>
          <w:b/>
          <w:rFonts w:cs="Times New Roman" w:ascii="Times New Roman" w:hAnsi="Times New Roman"/>
        </w:rPr>
        <w:fldChar w:fldCharType="separate"/>
      </w:r>
      <w:r>
        <w:rPr>
          <w:rFonts w:cs="Times New Roman" w:ascii="Times New Roman" w:hAnsi="Times New Roman"/>
          <w:b/>
        </w:rPr>
      </w:r>
      <w:r>
        <w:rPr>
          <w:b/>
          <w:rFonts w:cs="Times New Roman" w:ascii="Times New Roman" w:hAnsi="Times New Roman"/>
        </w:rPr>
        <w:fldChar w:fldCharType="end"/>
      </w:r>
    </w:p>
    <w:p>
      <w:pPr>
        <w:pStyle w:val="ListParagraph"/>
        <w:spacing w:lineRule="auto" w:line="240" w:before="0" w:after="0"/>
        <w:ind w:hanging="0" w:left="360"/>
        <w:contextualSpacing/>
        <w:jc w:val="both"/>
        <w:rPr>
          <w:rFonts w:ascii="Times New Roman" w:hAnsi="Times New Roman" w:cs="Times New Roman"/>
          <w:b/>
        </w:rPr>
      </w:pPr>
      <w:r>
        <w:rPr>
          <w:rFonts w:cs="Times New Roman" w:ascii="Times New Roman" w:hAnsi="Times New Roman"/>
          <w:b/>
        </w:rPr>
      </w:r>
    </w:p>
    <w:tbl>
      <w:tblPr>
        <w:tblW w:w="8625" w:type="dxa"/>
        <w:jc w:val="left"/>
        <w:tblInd w:w="591" w:type="dxa"/>
        <w:tblLayout w:type="fixed"/>
        <w:tblCellMar>
          <w:top w:w="113" w:type="dxa"/>
          <w:left w:w="99" w:type="dxa"/>
          <w:bottom w:w="113" w:type="dxa"/>
          <w:right w:w="108" w:type="dxa"/>
        </w:tblCellMar>
        <w:tblLook w:firstRow="1" w:noVBand="1" w:lastRow="0" w:firstColumn="1" w:lastColumn="0" w:noHBand="0" w:val="04a0"/>
      </w:tblPr>
      <w:tblGrid>
        <w:gridCol w:w="1878"/>
        <w:gridCol w:w="6746"/>
      </w:tblGrid>
      <w:tr>
        <w:trPr>
          <w:tblHeader w:val="true"/>
        </w:trPr>
        <w:tc>
          <w:tcPr>
            <w:tcW w:w="8624" w:type="dxa"/>
            <w:gridSpan w:val="2"/>
            <w:tcBorders>
              <w:top w:val="single" w:sz="6" w:space="0" w:color="00000A"/>
              <w:left w:val="single" w:sz="6" w:space="0" w:color="00000A"/>
              <w:bottom w:val="single" w:sz="6" w:space="0" w:color="00000A"/>
              <w:right w:val="single" w:sz="6" w:space="0" w:color="00000A"/>
            </w:tcBorders>
            <w:shd w:color="auto" w:fill="D9D9D9" w:val="clear"/>
          </w:tcPr>
          <w:p>
            <w:pPr>
              <w:pStyle w:val="Normal"/>
              <w:widowControl w:val="false"/>
              <w:spacing w:lineRule="auto" w:line="240" w:before="0" w:after="0"/>
              <w:jc w:val="center"/>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24"/>
                <w:szCs w:val="24"/>
                <w:lang w:eastAsia="pl-PL"/>
              </w:rPr>
              <w:t>Klauzula informacyjna dot. przetwarzania danych osobowych na podstawie obowiązku prawnego ciążącego na administratorze</w:t>
            </w:r>
          </w:p>
          <w:p>
            <w:pPr>
              <w:pStyle w:val="Normal"/>
              <w:widowControl w:val="false"/>
              <w:spacing w:lineRule="auto" w:line="240" w:before="0" w:after="0"/>
              <w:jc w:val="center"/>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20"/>
                <w:szCs w:val="20"/>
                <w:lang w:eastAsia="pl-PL"/>
              </w:rPr>
              <w:t>(ZAMÓWIENIA PUBLICZNE)</w:t>
            </w:r>
          </w:p>
        </w:tc>
      </w:tr>
      <w:tr>
        <w:trPr/>
        <w:tc>
          <w:tcPr>
            <w:tcW w:w="1878" w:type="dxa"/>
            <w:tcBorders>
              <w:top w:val="single" w:sz="6" w:space="0" w:color="00000A"/>
              <w:left w:val="single" w:sz="6" w:space="0" w:color="00000A"/>
              <w:bottom w:val="single" w:sz="6" w:space="0" w:color="00000A"/>
              <w:right w:val="single" w:sz="6" w:space="0" w:color="00000A"/>
            </w:tcBorders>
            <w:shd w:color="auto" w:fill="D9D9D9"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16"/>
                <w:szCs w:val="16"/>
                <w:lang w:eastAsia="pl-PL"/>
              </w:rPr>
              <w:t>TOŻSAMOŚĆ ADMINISTRATORA</w:t>
            </w:r>
          </w:p>
        </w:tc>
        <w:tc>
          <w:tcPr>
            <w:tcW w:w="6746" w:type="dxa"/>
            <w:tcBorders>
              <w:top w:val="single" w:sz="6" w:space="0" w:color="00000A"/>
              <w:left w:val="single" w:sz="6" w:space="0" w:color="00000A"/>
              <w:bottom w:val="single" w:sz="6" w:space="0" w:color="00000A"/>
              <w:right w:val="single" w:sz="6" w:space="0" w:color="00000A"/>
            </w:tcBorders>
            <w:shd w:fill="auto"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Administratorem Pani/Pana danych osobowych jest Wójt Gminy Redzikowo – Urząd Gminy Redzikowo, Sportowa 34, 76-200 Słupski</w:t>
            </w:r>
          </w:p>
        </w:tc>
      </w:tr>
      <w:tr>
        <w:trPr/>
        <w:tc>
          <w:tcPr>
            <w:tcW w:w="1878" w:type="dxa"/>
            <w:tcBorders>
              <w:top w:val="single" w:sz="6" w:space="0" w:color="00000A"/>
              <w:left w:val="single" w:sz="6" w:space="0" w:color="00000A"/>
              <w:bottom w:val="single" w:sz="6" w:space="0" w:color="00000A"/>
              <w:right w:val="single" w:sz="6" w:space="0" w:color="00000A"/>
            </w:tcBorders>
            <w:shd w:color="auto" w:fill="D9D9D9"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16"/>
                <w:szCs w:val="16"/>
                <w:lang w:eastAsia="pl-PL"/>
              </w:rPr>
              <w:t>DANE KONTAKTOWE INSPEKTORA OCHRONY DANYCH</w:t>
            </w:r>
          </w:p>
        </w:tc>
        <w:tc>
          <w:tcPr>
            <w:tcW w:w="6746" w:type="dxa"/>
            <w:tcBorders>
              <w:top w:val="single" w:sz="6" w:space="0" w:color="00000A"/>
              <w:left w:val="single" w:sz="6" w:space="0" w:color="00000A"/>
              <w:bottom w:val="single" w:sz="6" w:space="0" w:color="00000A"/>
              <w:right w:val="single" w:sz="6" w:space="0" w:color="00000A"/>
            </w:tcBorders>
            <w:shd w:fill="auto" w:val="clear"/>
            <w:vAlign w:val="center"/>
          </w:tcPr>
          <w:p>
            <w:pPr>
              <w:pStyle w:val="Normal"/>
              <w:widowControl w:val="false"/>
              <w:spacing w:lineRule="auto" w:line="240" w:before="0" w:after="0"/>
              <w:rPr/>
            </w:pPr>
            <w:r>
              <w:rPr>
                <w:rFonts w:eastAsia="Times New Roman" w:cs="Times New Roman" w:ascii="Times New Roman" w:hAnsi="Times New Roman"/>
                <w:color w:val="000000"/>
                <w:sz w:val="16"/>
                <w:szCs w:val="16"/>
                <w:lang w:eastAsia="pl-PL"/>
              </w:rPr>
              <w:t>kontakt z Inspektorem Ochrony Danych</w:t>
            </w:r>
            <w:r>
              <w:rPr>
                <w:rStyle w:val="FootnoteReference"/>
                <w:rFonts w:eastAsia="Times New Roman" w:cs="Times New Roman" w:ascii="Times New Roman" w:hAnsi="Times New Roman"/>
                <w:color w:val="000000"/>
                <w:sz w:val="16"/>
                <w:szCs w:val="16"/>
                <w:lang w:eastAsia="pl-PL"/>
              </w:rPr>
              <w:footnoteReference w:id="2"/>
            </w:r>
            <w:r>
              <w:rPr>
                <w:rFonts w:eastAsia="Times New Roman" w:cs="Times New Roman" w:ascii="Times New Roman" w:hAnsi="Times New Roman"/>
                <w:color w:val="000000"/>
                <w:sz w:val="16"/>
                <w:szCs w:val="16"/>
                <w:lang w:eastAsia="pl-PL"/>
              </w:rPr>
              <w:t xml:space="preserve"> – </w:t>
            </w:r>
            <w:hyperlink r:id="rId27">
              <w:r>
                <w:rPr>
                  <w:rFonts w:eastAsia="Calibri" w:cs="Times New Roman" w:ascii="Times New Roman" w:hAnsi="Times New Roman" w:eastAsiaTheme="minorHAnsi"/>
                  <w:sz w:val="16"/>
                  <w:szCs w:val="16"/>
                </w:rPr>
                <w:t>iod@gminaslupsk.pl</w:t>
              </w:r>
            </w:hyperlink>
            <w:r>
              <w:rPr>
                <w:rFonts w:eastAsia="Times New Roman" w:cs="Times New Roman" w:ascii="Times New Roman" w:hAnsi="Times New Roman"/>
                <w:color w:val="000000"/>
                <w:sz w:val="16"/>
                <w:szCs w:val="16"/>
                <w:lang w:eastAsia="pl-PL"/>
              </w:rPr>
              <w:t xml:space="preserve"> lub na adres: Urząd Gminy Redzikowo, Sportowa 34, 76-200 Słupsk</w:t>
            </w:r>
          </w:p>
        </w:tc>
      </w:tr>
      <w:tr>
        <w:trPr/>
        <w:tc>
          <w:tcPr>
            <w:tcW w:w="1878" w:type="dxa"/>
            <w:tcBorders>
              <w:top w:val="single" w:sz="6" w:space="0" w:color="00000A"/>
              <w:left w:val="single" w:sz="6" w:space="0" w:color="00000A"/>
              <w:bottom w:val="single" w:sz="6" w:space="0" w:color="00000A"/>
              <w:right w:val="single" w:sz="6" w:space="0" w:color="00000A"/>
            </w:tcBorders>
            <w:shd w:color="auto" w:fill="D9D9D9"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16"/>
                <w:szCs w:val="16"/>
                <w:lang w:eastAsia="pl-PL"/>
              </w:rPr>
              <w:t>CELE PRZETWARZANIA I PODSTAWA PRAWNA</w:t>
            </w:r>
          </w:p>
        </w:tc>
        <w:tc>
          <w:tcPr>
            <w:tcW w:w="6746" w:type="dxa"/>
            <w:tcBorders>
              <w:top w:val="single" w:sz="6" w:space="0" w:color="00000A"/>
              <w:left w:val="single" w:sz="6" w:space="0" w:color="00000A"/>
              <w:bottom w:val="single" w:sz="6" w:space="0" w:color="00000A"/>
              <w:right w:val="single" w:sz="6" w:space="0" w:color="00000A"/>
            </w:tcBorders>
            <w:shd w:fill="auto" w:val="clear"/>
            <w:vAlign w:val="center"/>
          </w:tcPr>
          <w:p>
            <w:pPr>
              <w:pStyle w:val="Normal"/>
              <w:widowControl w:val="false"/>
              <w:spacing w:lineRule="auto" w:line="240" w:before="0" w:after="0"/>
              <w:rPr/>
            </w:pPr>
            <w:r>
              <w:rPr>
                <w:rFonts w:eastAsia="Times New Roman" w:cs="Times New Roman" w:ascii="Times New Roman" w:hAnsi="Times New Roman"/>
                <w:color w:val="000000"/>
                <w:sz w:val="16"/>
                <w:szCs w:val="16"/>
                <w:lang w:eastAsia="pl-PL"/>
              </w:rPr>
              <w:t>Pani/Pana dane osobowe przetwarzane będą na podstawie art. 6 ust. 1 lit. c</w:t>
            </w:r>
            <w:r>
              <w:rPr>
                <w:rFonts w:eastAsia="Times New Roman" w:cs="Times New Roman" w:ascii="Times New Roman" w:hAnsi="Times New Roman"/>
                <w:i/>
                <w:iCs/>
                <w:color w:val="000000"/>
                <w:sz w:val="16"/>
                <w:szCs w:val="16"/>
                <w:lang w:eastAsia="pl-PL"/>
              </w:rPr>
              <w:t xml:space="preserve"> </w:t>
            </w:r>
            <w:r>
              <w:rPr>
                <w:rFonts w:eastAsia="Times New Roman" w:cs="Times New Roman" w:ascii="Times New Roman" w:hAnsi="Times New Roman"/>
                <w:color w:val="000000"/>
                <w:sz w:val="16"/>
                <w:szCs w:val="16"/>
                <w:lang w:eastAsia="pl-PL"/>
              </w:rPr>
              <w:t xml:space="preserve">RODO w celu związanym z postępowaniem o udzielenie zamówienia: </w:t>
            </w:r>
            <w:r>
              <w:rPr>
                <w:rFonts w:eastAsia="Times New Roman" w:cs="Times New Roman" w:ascii="Times New Roman" w:hAnsi="Times New Roman"/>
                <w:b w:val="false"/>
                <w:bCs w:val="false"/>
                <w:color w:val="000000"/>
                <w:sz w:val="16"/>
                <w:szCs w:val="16"/>
                <w:lang w:eastAsia="pl-PL"/>
              </w:rPr>
              <w:t xml:space="preserve"> </w:t>
            </w:r>
            <w:r>
              <w:rPr>
                <w:rFonts w:eastAsia="Times New Roman" w:cs="Times New Roman" w:ascii="Times New Roman" w:hAnsi="Times New Roman"/>
                <w:b w:val="false"/>
                <w:bCs w:val="false"/>
                <w:i w:val="false"/>
                <w:iCs w:val="false"/>
                <w:strike w:val="false"/>
                <w:dstrike w:val="false"/>
                <w:outline w:val="false"/>
                <w:shadow w:val="false"/>
                <w:color w:val="000000"/>
                <w:spacing w:val="-4"/>
                <w:kern w:val="0"/>
                <w:sz w:val="16"/>
                <w:szCs w:val="16"/>
                <w:u w:val="none"/>
                <w:shd w:fill="auto" w:val="clear"/>
                <w:em w:val="none"/>
                <w:lang w:val="pl-PL" w:eastAsia="pl-PL" w:bidi="ar-SA"/>
              </w:rPr>
              <w:t>Termomodernizacja budynku komunalnego w Wiklinie nr 30 wraz ze zmianą źródła ciepła</w:t>
            </w:r>
          </w:p>
        </w:tc>
      </w:tr>
      <w:tr>
        <w:trPr>
          <w:trHeight w:val="315" w:hRule="atLeast"/>
        </w:trPr>
        <w:tc>
          <w:tcPr>
            <w:tcW w:w="1878" w:type="dxa"/>
            <w:tcBorders>
              <w:top w:val="single" w:sz="6" w:space="0" w:color="00000A"/>
              <w:left w:val="single" w:sz="6" w:space="0" w:color="00000A"/>
              <w:bottom w:val="single" w:sz="6" w:space="0" w:color="00000A"/>
              <w:right w:val="single" w:sz="6" w:space="0" w:color="00000A"/>
            </w:tcBorders>
            <w:shd w:color="auto" w:fill="D9D9D9"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16"/>
                <w:szCs w:val="16"/>
                <w:lang w:eastAsia="pl-PL"/>
              </w:rPr>
              <w:t>OKRES PRZECHOWYWANIA DANYCH</w:t>
            </w:r>
          </w:p>
        </w:tc>
        <w:tc>
          <w:tcPr>
            <w:tcW w:w="6746" w:type="dxa"/>
            <w:tcBorders>
              <w:top w:val="single" w:sz="6" w:space="0" w:color="00000A"/>
              <w:left w:val="single" w:sz="6" w:space="0" w:color="00000A"/>
              <w:bottom w:val="single" w:sz="6" w:space="0" w:color="00000A"/>
              <w:right w:val="single" w:sz="6" w:space="0" w:color="00000A"/>
            </w:tcBorders>
            <w:shd w:fill="auto"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tc>
      </w:tr>
      <w:tr>
        <w:trPr/>
        <w:tc>
          <w:tcPr>
            <w:tcW w:w="1878" w:type="dxa"/>
            <w:tcBorders>
              <w:top w:val="single" w:sz="6" w:space="0" w:color="00000A"/>
              <w:left w:val="single" w:sz="6" w:space="0" w:color="00000A"/>
              <w:bottom w:val="single" w:sz="6" w:space="0" w:color="00000A"/>
              <w:right w:val="single" w:sz="6" w:space="0" w:color="00000A"/>
            </w:tcBorders>
            <w:shd w:color="auto" w:fill="D9D9D9"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16"/>
                <w:szCs w:val="16"/>
                <w:lang w:eastAsia="pl-PL"/>
              </w:rPr>
              <w:t>PRAWA PODMIOTÓW DANYCH</w:t>
            </w:r>
          </w:p>
        </w:tc>
        <w:tc>
          <w:tcPr>
            <w:tcW w:w="6746" w:type="dxa"/>
            <w:tcBorders>
              <w:top w:val="single" w:sz="6" w:space="0" w:color="00000A"/>
              <w:left w:val="single" w:sz="6" w:space="0" w:color="00000A"/>
              <w:bottom w:val="single" w:sz="6" w:space="0" w:color="00000A"/>
              <w:right w:val="single" w:sz="6" w:space="0" w:color="00000A"/>
            </w:tcBorders>
            <w:shd w:fill="auto"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posiada Pani/Pan:</w:t>
            </w:r>
          </w:p>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-na podstawie art. 15 RODO prawo dostępu do danych osobowych Pani/Pana dotyczących;</w:t>
            </w:r>
          </w:p>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-na podstawie art. 16 RODO prawo do sprostowania Pani/Pana danych osobowych</w:t>
            </w:r>
            <w:r>
              <w:rPr>
                <w:rStyle w:val="FootnoteReference"/>
                <w:rFonts w:eastAsia="Times New Roman" w:cs="Times New Roman" w:ascii="Times New Roman" w:hAnsi="Times New Roman"/>
                <w:color w:val="000000"/>
                <w:sz w:val="16"/>
                <w:szCs w:val="16"/>
                <w:lang w:eastAsia="pl-PL"/>
              </w:rPr>
              <w:footnoteReference w:id="3"/>
            </w:r>
            <w:r>
              <w:rPr>
                <w:rFonts w:eastAsia="Times New Roman" w:cs="Times New Roman" w:ascii="Times New Roman" w:hAnsi="Times New Roman"/>
                <w:color w:val="000000"/>
                <w:sz w:val="16"/>
                <w:szCs w:val="16"/>
                <w:lang w:eastAsia="pl-PL"/>
              </w:rPr>
              <w:t>;</w:t>
            </w:r>
          </w:p>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-na podstawie art. 18 RODO prawo żądania od administratora ograniczenia przetwarzania danych osobowych z zastrzeżeniem przypadków, o których mowa w art. 18 ust. 2 RODO</w:t>
            </w:r>
            <w:r>
              <w:rPr>
                <w:rStyle w:val="FootnoteReference"/>
                <w:rFonts w:eastAsia="Times New Roman" w:cs="Times New Roman" w:ascii="Times New Roman" w:hAnsi="Times New Roman"/>
                <w:color w:val="000000"/>
                <w:sz w:val="16"/>
                <w:szCs w:val="16"/>
                <w:lang w:eastAsia="pl-PL"/>
              </w:rPr>
              <w:footnoteReference w:id="4"/>
            </w:r>
            <w:r>
              <w:rPr>
                <w:rFonts w:eastAsia="Times New Roman" w:cs="Times New Roman" w:ascii="Times New Roman" w:hAnsi="Times New Roman"/>
                <w:color w:val="000000"/>
                <w:sz w:val="16"/>
                <w:szCs w:val="16"/>
                <w:lang w:eastAsia="pl-PL"/>
              </w:rPr>
              <w:t>;</w:t>
            </w:r>
          </w:p>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-prawo do wniesienia skargi do Prezesa Urzędu Ochrony Danych Osobowych, gdy uzna Pani/Pan, że przetwarzanie danych osobowych Pani/Pana dotyczących narusza przepisy RODO;</w:t>
            </w:r>
          </w:p>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nie przysługuje Pani/Panu:</w:t>
            </w:r>
          </w:p>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-w związku z art. 17 ust. 3 lit. b, d lub e RODO prawo do usunięcia danych osobowych;</w:t>
            </w:r>
          </w:p>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 prawo do przenoszenia danych osobowych, o którym mowa w art. 20 RODO;</w:t>
            </w:r>
          </w:p>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16"/>
                <w:szCs w:val="16"/>
                <w:lang w:eastAsia="pl-PL"/>
              </w:rPr>
              <w:t>- na podstawie art. 21 RODO prawo sprzeciwu, wobec przetwarzania danych osobowych, gdyż podstawą prawną przetwarzania Pani/Pana danych osobowych jest art. 6 ust. 1 lit. c RODO</w:t>
            </w:r>
            <w:r>
              <w:rPr>
                <w:rFonts w:eastAsia="Times New Roman" w:cs="Times New Roman" w:ascii="Times New Roman" w:hAnsi="Times New Roman"/>
                <w:color w:val="000000"/>
                <w:sz w:val="16"/>
                <w:szCs w:val="16"/>
                <w:lang w:eastAsia="pl-PL"/>
              </w:rPr>
              <w:t>.</w:t>
            </w:r>
          </w:p>
        </w:tc>
      </w:tr>
      <w:tr>
        <w:trPr/>
        <w:tc>
          <w:tcPr>
            <w:tcW w:w="1878" w:type="dxa"/>
            <w:tcBorders>
              <w:top w:val="single" w:sz="6" w:space="0" w:color="00000A"/>
              <w:left w:val="single" w:sz="6" w:space="0" w:color="00000A"/>
              <w:bottom w:val="single" w:sz="6" w:space="0" w:color="00000A"/>
              <w:right w:val="single" w:sz="6" w:space="0" w:color="00000A"/>
            </w:tcBorders>
            <w:shd w:color="auto" w:fill="D9D9D9" w:val="clear"/>
            <w:tcMar>
              <w:top w:w="0" w:type="dxa"/>
            </w:tcM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16"/>
                <w:szCs w:val="16"/>
                <w:lang w:eastAsia="pl-PL"/>
              </w:rPr>
              <w:t>ODBIORCY DANYCH</w:t>
            </w:r>
          </w:p>
        </w:tc>
        <w:tc>
          <w:tcPr>
            <w:tcW w:w="6746" w:type="dxa"/>
            <w:tcBorders>
              <w:top w:val="single" w:sz="6" w:space="0" w:color="00000A"/>
              <w:left w:val="single" w:sz="6" w:space="0" w:color="00000A"/>
              <w:bottom w:val="single" w:sz="6" w:space="0" w:color="00000A"/>
              <w:right w:val="single" w:sz="6" w:space="0" w:color="00000A"/>
            </w:tcBorders>
            <w:shd w:fill="auto" w:val="clear"/>
            <w:tcMar>
              <w:top w:w="0" w:type="dxa"/>
            </w:tcMar>
            <w:vAlign w:val="center"/>
          </w:tcPr>
          <w:p>
            <w:pPr>
              <w:pStyle w:val="Normal"/>
              <w:widowControl w:val="false"/>
              <w:spacing w:lineRule="auto" w:line="240" w:before="0" w:after="0"/>
              <w:rPr/>
            </w:pPr>
            <w:r>
              <w:rPr>
                <w:rFonts w:eastAsia="Times New Roman" w:cs="Times New Roman" w:ascii="Times New Roman" w:hAnsi="Times New Roman"/>
                <w:color w:val="000000"/>
                <w:sz w:val="16"/>
                <w:szCs w:val="16"/>
                <w:lang w:eastAsia="pl-PL"/>
              </w:rPr>
              <w:t>odbiorcami Pani/Pana danych osobowych będą osoby lub podmioty, którym udostępniona zostanie dokumentacja postępowania w oparciu o art. 8 oraz art. 96 ust. 3 ustawy z dnia 29 stycznia 2004 r. – Prawo zamówień publicznych (Dz. U. z 2018 r. poz. 1986 ze zm.), dalej „ustawa Pzp”;</w:t>
            </w:r>
          </w:p>
        </w:tc>
      </w:tr>
      <w:tr>
        <w:trPr/>
        <w:tc>
          <w:tcPr>
            <w:tcW w:w="1878" w:type="dxa"/>
            <w:tcBorders>
              <w:top w:val="single" w:sz="6" w:space="0" w:color="00000A"/>
              <w:left w:val="single" w:sz="6" w:space="0" w:color="00000A"/>
              <w:bottom w:val="single" w:sz="6" w:space="0" w:color="00000A"/>
              <w:right w:val="single" w:sz="6" w:space="0" w:color="00000A"/>
            </w:tcBorders>
            <w:shd w:color="auto" w:fill="D9D9D9"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16"/>
                <w:szCs w:val="16"/>
                <w:lang w:eastAsia="pl-PL"/>
              </w:rPr>
              <w:t>PRAWO WNIESIENIA SKARGI DO ORGANU NADZORCZEGO</w:t>
            </w:r>
          </w:p>
        </w:tc>
        <w:tc>
          <w:tcPr>
            <w:tcW w:w="6746" w:type="dxa"/>
            <w:tcBorders>
              <w:top w:val="single" w:sz="6" w:space="0" w:color="00000A"/>
              <w:left w:val="single" w:sz="6" w:space="0" w:color="00000A"/>
              <w:bottom w:val="single" w:sz="6" w:space="0" w:color="00000A"/>
              <w:right w:val="single" w:sz="6" w:space="0" w:color="00000A"/>
            </w:tcBorders>
            <w:shd w:fill="auto"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Przysługuje Pani/Panu również prawo wniesienia skargi do organu nadzorczego zajmującego się ochroną danych osobowych</w:t>
            </w:r>
          </w:p>
        </w:tc>
      </w:tr>
      <w:tr>
        <w:trPr/>
        <w:tc>
          <w:tcPr>
            <w:tcW w:w="1878" w:type="dxa"/>
            <w:tcBorders>
              <w:top w:val="single" w:sz="6" w:space="0" w:color="00000A"/>
              <w:left w:val="single" w:sz="6" w:space="0" w:color="00000A"/>
              <w:bottom w:val="single" w:sz="6" w:space="0" w:color="00000A"/>
              <w:right w:val="single" w:sz="6" w:space="0" w:color="00000A"/>
            </w:tcBorders>
            <w:shd w:color="auto" w:fill="D9D9D9"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b/>
                <w:bCs/>
                <w:color w:val="000000"/>
                <w:sz w:val="16"/>
                <w:szCs w:val="16"/>
                <w:lang w:eastAsia="pl-PL"/>
              </w:rPr>
              <w:t>INFORMACJA O DOWOLNOŚCI LUB OBOWIĄZKU PODANIA DANYCH</w:t>
            </w:r>
          </w:p>
        </w:tc>
        <w:tc>
          <w:tcPr>
            <w:tcW w:w="6746" w:type="dxa"/>
            <w:tcBorders>
              <w:top w:val="single" w:sz="6" w:space="0" w:color="00000A"/>
              <w:left w:val="single" w:sz="6" w:space="0" w:color="00000A"/>
              <w:bottom w:val="single" w:sz="6" w:space="0" w:color="00000A"/>
              <w:right w:val="single" w:sz="6" w:space="0" w:color="00000A"/>
            </w:tcBorders>
            <w:shd w:fill="auto" w:val="clear"/>
            <w:vAlign w:val="center"/>
          </w:tcPr>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pPr>
              <w:pStyle w:val="Normal"/>
              <w:widowControl w:val="false"/>
              <w:spacing w:lineRule="auto" w:line="240" w:before="0" w:after="0"/>
              <w:rPr>
                <w:rFonts w:ascii="Times New Roman" w:hAnsi="Times New Roman" w:eastAsia="Times New Roman" w:cs="Times New Roman"/>
                <w:color w:val="000000"/>
                <w:sz w:val="24"/>
                <w:szCs w:val="24"/>
                <w:lang w:eastAsia="pl-PL"/>
              </w:rPr>
            </w:pPr>
            <w:r>
              <w:rPr>
                <w:rFonts w:eastAsia="Times New Roman" w:cs="Times New Roman" w:ascii="Times New Roman" w:hAnsi="Times New Roman"/>
                <w:color w:val="000000"/>
                <w:sz w:val="16"/>
                <w:szCs w:val="16"/>
                <w:lang w:eastAsia="pl-PL"/>
              </w:rPr>
              <w:t>w odniesieniu do Pani/Pana danych osobowych decyzje nie będą podejmowane w sposób zautomatyzowany, stosowanie do art. 22 RODO;</w:t>
            </w:r>
          </w:p>
        </w:tc>
      </w:tr>
    </w:tbl>
    <w:p>
      <w:pPr>
        <w:pStyle w:val="ListParagraph"/>
        <w:spacing w:lineRule="auto" w:line="240" w:before="0" w:after="0"/>
        <w:ind w:hanging="0" w:left="360"/>
        <w:contextualSpacing/>
        <w:jc w:val="both"/>
        <w:rPr/>
      </w:pPr>
      <w:r>
        <w:rPr/>
      </w:r>
    </w:p>
    <w:p>
      <w:pPr>
        <w:pStyle w:val="Normal"/>
        <w:spacing w:before="0" w:after="200"/>
        <w:rPr/>
      </w:pPr>
      <w:r>
        <w:rPr/>
      </w:r>
    </w:p>
    <w:sectPr>
      <w:headerReference w:type="even" r:id="rId28"/>
      <w:headerReference w:type="default" r:id="rId29"/>
      <w:headerReference w:type="first" r:id="rId30"/>
      <w:footerReference w:type="even" r:id="rId31"/>
      <w:footerReference w:type="default" r:id="rId32"/>
      <w:footerReference w:type="first" r:id="rId33"/>
      <w:footnotePr>
        <w:numFmt w:val="decimal"/>
      </w:footnotePr>
      <w:type w:val="nextPage"/>
      <w:pgSz w:w="11906" w:h="16838"/>
      <w:pgMar w:left="1080" w:right="1080" w:gutter="0" w:header="708" w:top="1440" w:footer="708"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mbria">
    <w:charset w:val="ee"/>
    <w:family w:val="roman"/>
    <w:pitch w:val="variable"/>
  </w:font>
  <w:font w:name="Tahoma">
    <w:charset w:val="ee"/>
    <w:family w:val="roman"/>
    <w:pitch w:val="variable"/>
  </w:font>
  <w:font w:name="OpenSymbol">
    <w:altName w:val="Arial Unicode MS"/>
    <w:charset w:val="ee"/>
    <w:family w:val="roman"/>
    <w:pitch w:val="variable"/>
  </w:font>
  <w:font w:name="Times New Roman">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Liberation Sans">
    <w:altName w:val="Arial"/>
    <w:charset w:val="ee"/>
    <w:family w:val="roman"/>
    <w:pitch w:val="variable"/>
  </w:font>
  <w:font w:name="TimesNewRomanPSMT">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538644568"/>
    </w:sdtPr>
    <w:sdtContent>
      <w:p>
        <w:pPr>
          <w:pStyle w:val="Normal"/>
          <w:tabs>
            <w:tab w:val="clear" w:pos="720"/>
            <w:tab w:val="center" w:pos="4536" w:leader="none"/>
            <w:tab w:val="right" w:pos="9072" w:leader="none"/>
          </w:tabs>
          <w:spacing w:lineRule="auto" w:line="240" w:before="0" w:after="0"/>
          <w:jc w:val="center"/>
          <w:rPr>
            <w:rFonts w:ascii="Calibri" w:hAnsi="Calibri" w:eastAsia="Calibri" w:cs="Times New Roman"/>
            <w:sz w:val="16"/>
            <w:szCs w:val="16"/>
          </w:rPr>
        </w:pPr>
        <w:r>
          <w:rPr>
            <w:sz w:val="16"/>
            <w:szCs w:val="16"/>
          </w:rPr>
          <w:t xml:space="preserve"> </w:t>
        </w:r>
      </w:p>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20</w:t>
        </w:r>
        <w:r>
          <w:rPr>
            <w:sz w:val="18"/>
            <w:b/>
            <w:szCs w:val="18"/>
            <w:bCs/>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538644568"/>
    </w:sdtPr>
    <w:sdtContent>
      <w:p>
        <w:pPr>
          <w:pStyle w:val="Normal"/>
          <w:tabs>
            <w:tab w:val="clear" w:pos="720"/>
            <w:tab w:val="center" w:pos="4536" w:leader="none"/>
            <w:tab w:val="right" w:pos="9072" w:leader="none"/>
          </w:tabs>
          <w:spacing w:lineRule="auto" w:line="240" w:before="0" w:after="0"/>
          <w:jc w:val="center"/>
          <w:rPr>
            <w:rFonts w:ascii="Calibri" w:hAnsi="Calibri" w:eastAsia="Calibri" w:cs="Times New Roman"/>
            <w:sz w:val="16"/>
            <w:szCs w:val="16"/>
          </w:rPr>
        </w:pPr>
        <w:r>
          <w:rPr>
            <w:sz w:val="16"/>
            <w:szCs w:val="16"/>
          </w:rPr>
          <w:t xml:space="preserve"> </w:t>
        </w:r>
      </w:p>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20</w:t>
        </w:r>
        <w:r>
          <w:rPr>
            <w:sz w:val="18"/>
            <w:b/>
            <w:szCs w:val="18"/>
            <w:bCs/>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bidi w:val="0"/>
        <w:spacing w:lineRule="auto" w:line="240" w:before="0" w:after="0"/>
        <w:ind w:hanging="170" w:left="170" w:right="0"/>
        <w:jc w:val="left"/>
        <w:rPr/>
      </w:pPr>
      <w:r>
        <w:rPr>
          <w:rStyle w:val="Znakiprzypiswdolnych"/>
        </w:rPr>
        <w:footnoteRef/>
      </w:r>
      <w:r>
        <w:rPr>
          <w:rFonts w:cs="Times New Roman" w:ascii="Times New Roman" w:hAnsi="Times New Roman"/>
          <w:b/>
          <w:i/>
        </w:rPr>
        <w:tab/>
        <w:t>Wyjaśnienie:</w:t>
      </w:r>
      <w:r>
        <w:rPr>
          <w:rFonts w:cs="Times New Roman" w:ascii="Times New Roman" w:hAnsi="Times New Roman"/>
          <w:i/>
        </w:rPr>
        <w:t xml:space="preserve"> informacja w tym zakresie jest wymagana, jeżeli w odniesieniu do danego administratora lub podmiotu przetwarzającego istnieje obowiązek wyznaczenia inspektora ochrony danych osobowych</w:t>
      </w:r>
    </w:p>
  </w:footnote>
  <w:footnote w:id="3">
    <w:p>
      <w:pPr>
        <w:pStyle w:val="FootnoteText"/>
        <w:widowControl w:val="false"/>
        <w:ind w:hanging="142" w:left="142"/>
        <w:rPr/>
      </w:pPr>
      <w:r>
        <w:rPr>
          <w:rStyle w:val="Znakiprzypiswdolnych"/>
        </w:rPr>
        <w:footnoteRef/>
      </w:r>
      <w:r>
        <w:rPr>
          <w:rFonts w:cs="Times New Roman" w:ascii="Times New Roman" w:hAnsi="Times New Roman"/>
          <w:b/>
          <w:i/>
        </w:rPr>
        <w:tab/>
        <w:t>Wyjaśnienie:</w:t>
      </w:r>
      <w:r>
        <w:rPr>
          <w:rFonts w:cs="Times New Roman" w:ascii="Times New Roman" w:hAnsi="Times New Roman"/>
          <w:i/>
        </w:rPr>
        <w:t xml:space="preserve"> skorzystanie z prawa do sprostowania nie może skutkować zmianą wyniku postępowania</w:t>
        <w:br/>
        <w:t>o udzielenie zamówienia publicznego ani zmianą postanowień umowy w zakresie niezgodnym z ustawą Pzp oraz nie może naruszać integralności protokołu oraz jego załączników</w:t>
      </w:r>
    </w:p>
  </w:footnote>
  <w:footnote w:id="4">
    <w:p>
      <w:pPr>
        <w:pStyle w:val="FootnoteText"/>
        <w:widowControl w:val="false"/>
        <w:ind w:hanging="142" w:left="142"/>
        <w:rPr/>
      </w:pPr>
      <w:r>
        <w:rPr>
          <w:rStyle w:val="Znakiprzypiswdolnych"/>
        </w:rPr>
        <w:footnoteRef/>
      </w:r>
      <w:r>
        <w:rPr>
          <w:rFonts w:cs="Times New Roman" w:ascii="Times New Roman" w:hAnsi="Times New Roman"/>
          <w:b/>
          <w:i/>
        </w:rPr>
        <w:tab/>
        <w:t>Wyjaśnienie:</w:t>
      </w:r>
      <w:r>
        <w:rPr>
          <w:rFonts w:cs="Times New Roman" w:ascii="Times New Roman" w:hAnsi="Times New Roman"/>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sz w:val="16"/>
        <w:szCs w:val="16"/>
      </w:rPr>
    </w:pPr>
    <w:r>
      <w:rPr>
        <w:sz w:val="16"/>
        <w:szCs w:val="16"/>
      </w:rPr>
      <w:t xml:space="preserve">                                                                                                                 </w:t>
    </w:r>
    <w:r>
      <w:drawing>
        <wp:anchor behindDoc="1" distT="0" distB="0" distL="0" distR="0" simplePos="0" locked="0" layoutInCell="1" allowOverlap="1" relativeHeight="21">
          <wp:simplePos x="0" y="0"/>
          <wp:positionH relativeFrom="column">
            <wp:posOffset>0</wp:posOffset>
          </wp:positionH>
          <wp:positionV relativeFrom="paragraph">
            <wp:posOffset>-635</wp:posOffset>
          </wp:positionV>
          <wp:extent cx="5760085" cy="539750"/>
          <wp:effectExtent l="0" t="0" r="0" b="0"/>
          <wp:wrapNone/>
          <wp:docPr id="1" name="Obraz 10"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0" descr="Ciąg czterech logotypów w kolejności od lewej: 1. Fundusze Europejskie dla Pomorza, 2. Rzeczpospolita Polska, 3. Dofinansowane przez Unię Europejską, 4. Urząd Marszałkowski Województwa Pomorskiego"/>
                  <pic:cNvPicPr>
                    <a:picLocks noChangeAspect="1" noChangeArrowheads="1"/>
                  </pic:cNvPicPr>
                </pic:nvPicPr>
                <pic:blipFill>
                  <a:blip r:embed="rId1"/>
                  <a:stretch>
                    <a:fillRect/>
                  </a:stretch>
                </pic:blipFill>
                <pic:spPr bwMode="auto">
                  <a:xfrm>
                    <a:off x="0" y="0"/>
                    <a:ext cx="5760085" cy="539750"/>
                  </a:xfrm>
                  <a:prstGeom prst="rect">
                    <a:avLst/>
                  </a:prstGeom>
                </pic:spPr>
              </pic:pic>
            </a:graphicData>
          </a:graphic>
        </wp:anchor>
      </w:drawing>
    </w:r>
    <w:r>
      <w:rPr>
        <w:sz w:val="16"/>
        <w:szCs w:val="16"/>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sz w:val="16"/>
        <w:szCs w:val="16"/>
      </w:rPr>
    </w:pPr>
    <w:r>
      <w:rPr>
        <w:sz w:val="16"/>
        <w:szCs w:val="16"/>
      </w:rPr>
      <w:t xml:space="preserve">                                                                                                                 </w:t>
    </w:r>
    <w:r>
      <w:drawing>
        <wp:anchor behindDoc="1" distT="0" distB="0" distL="0" distR="0" simplePos="0" locked="0" layoutInCell="1" allowOverlap="1" relativeHeight="21">
          <wp:simplePos x="0" y="0"/>
          <wp:positionH relativeFrom="column">
            <wp:posOffset>0</wp:posOffset>
          </wp:positionH>
          <wp:positionV relativeFrom="paragraph">
            <wp:posOffset>-635</wp:posOffset>
          </wp:positionV>
          <wp:extent cx="5760085" cy="539750"/>
          <wp:effectExtent l="0" t="0" r="0" b="0"/>
          <wp:wrapNone/>
          <wp:docPr id="2" name="Obraz 10"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0" descr="Ciąg czterech logotypów w kolejności od lewej: 1. Fundusze Europejskie dla Pomorza, 2. Rzeczpospolita Polska, 3. Dofinansowane przez Unię Europejską, 4. Urząd Marszałkowski Województwa Pomorskiego"/>
                  <pic:cNvPicPr>
                    <a:picLocks noChangeAspect="1" noChangeArrowheads="1"/>
                  </pic:cNvPicPr>
                </pic:nvPicPr>
                <pic:blipFill>
                  <a:blip r:embed="rId1"/>
                  <a:stretch>
                    <a:fillRect/>
                  </a:stretch>
                </pic:blipFill>
                <pic:spPr bwMode="auto">
                  <a:xfrm>
                    <a:off x="0" y="0"/>
                    <a:ext cx="5760085" cy="539750"/>
                  </a:xfrm>
                  <a:prstGeom prst="rect">
                    <a:avLst/>
                  </a:prstGeom>
                </pic:spPr>
              </pic:pic>
            </a:graphicData>
          </a:graphic>
        </wp:anchor>
      </w:drawing>
    </w:r>
    <w:r>
      <w:rPr>
        <w:sz w:val="16"/>
        <w:szCs w:val="16"/>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360" w:hanging="360"/>
      </w:pPr>
      <w:rPr>
        <w:b/>
        <w:rFonts w:ascii="Times New Roman" w:hAnsi="Times New Roman" w:cs="Times New Roman"/>
      </w:rPr>
    </w:lvl>
    <w:lvl w:ilvl="1">
      <w:start w:val="1"/>
      <w:numFmt w:val="decimal"/>
      <w:lvlText w:val="%1.%2."/>
      <w:lvlJc w:val="left"/>
      <w:pPr>
        <w:tabs>
          <w:tab w:val="num" w:pos="0"/>
        </w:tabs>
        <w:ind w:left="792" w:hanging="432"/>
      </w:pPr>
      <w:rPr>
        <w:i w:val="false"/>
        <w:b w:val="false"/>
        <w:iCs w:val="false"/>
        <w:bCs w:val="false"/>
        <w:rFonts w:ascii="Times New Roman" w:hAnsi="Times New Roman"/>
        <w:color w:val="auto"/>
      </w:rPr>
    </w:lvl>
    <w:lvl w:ilvl="2">
      <w:start w:val="1"/>
      <w:numFmt w:val="decimal"/>
      <w:lvlText w:val="%3)"/>
      <w:lvlJc w:val="left"/>
      <w:pPr>
        <w:tabs>
          <w:tab w:val="num" w:pos="0"/>
        </w:tabs>
        <w:ind w:left="1224" w:hanging="504"/>
      </w:pPr>
      <w:rPr>
        <w:i w:val="false"/>
        <w:b w:val="false"/>
        <w:bCs w:val="false"/>
        <w:rFonts w:ascii="Times New Roman" w:hAnsi="Times New Roman"/>
      </w:rPr>
    </w:lvl>
    <w:lvl w:ilvl="3">
      <w:start w:val="1"/>
      <w:numFmt w:val="lowerLetter"/>
      <w:lvlText w:val="%4)"/>
      <w:lvlJc w:val="left"/>
      <w:pPr>
        <w:tabs>
          <w:tab w:val="num" w:pos="0"/>
        </w:tabs>
        <w:ind w:left="1728" w:hanging="648"/>
      </w:pPr>
      <w:rPr>
        <w:b w:val="false"/>
        <w:rFonts w:ascii="Times New Roman" w:hAnsi="Times New Roman"/>
        <w:color w:val="auto"/>
      </w:rPr>
    </w:lvl>
    <w:lvl w:ilvl="4">
      <w:start w:val="1"/>
      <w:numFmt w:val="bullet"/>
      <w:lvlText w:val=""/>
      <w:lvlJc w:val="left"/>
      <w:pPr>
        <w:tabs>
          <w:tab w:val="num" w:pos="0"/>
        </w:tabs>
        <w:ind w:left="2232" w:hanging="792"/>
      </w:pPr>
      <w:rPr>
        <w:rFonts w:ascii="Symbol" w:hAnsi="Symbol" w:cs="Symbol" w:hint="default"/>
      </w:rPr>
    </w:lvl>
    <w:lvl w:ilvl="5">
      <w:start w:val="1"/>
      <w:numFmt w:val="bullet"/>
      <w:lvlText w:val=""/>
      <w:lvlJc w:val="left"/>
      <w:pPr>
        <w:tabs>
          <w:tab w:val="num" w:pos="0"/>
        </w:tabs>
        <w:ind w:left="2736" w:hanging="936"/>
      </w:pPr>
      <w:rPr>
        <w:rFonts w:ascii="Symbol" w:hAnsi="Symbol" w:cs="Symbol" w:hint="default"/>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1152" w:hanging="360"/>
      </w:pPr>
      <w:rPr/>
    </w:lvl>
    <w:lvl w:ilvl="1">
      <w:start w:val="1"/>
      <w:numFmt w:val="lowerLetter"/>
      <w:lvlText w:val="%2."/>
      <w:lvlJc w:val="left"/>
      <w:pPr>
        <w:tabs>
          <w:tab w:val="num" w:pos="0"/>
        </w:tabs>
        <w:ind w:left="1872" w:hanging="360"/>
      </w:pPr>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1152" w:hanging="360"/>
      </w:pPr>
      <w:rPr/>
    </w:lvl>
    <w:lvl w:ilvl="1">
      <w:start w:val="1"/>
      <w:numFmt w:val="lowerLetter"/>
      <w:lvlText w:val="%2."/>
      <w:lvlJc w:val="left"/>
      <w:pPr>
        <w:tabs>
          <w:tab w:val="num" w:pos="0"/>
        </w:tabs>
        <w:ind w:left="1872" w:hanging="360"/>
      </w:pPr>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6">
    <w:lvl w:ilvl="0">
      <w:start w:val="1"/>
      <w:numFmt w:val="decimal"/>
      <w:lvlText w:val="%1)"/>
      <w:lvlJc w:val="left"/>
      <w:pPr>
        <w:tabs>
          <w:tab w:val="num" w:pos="0"/>
        </w:tabs>
        <w:ind w:left="1152" w:hanging="360"/>
      </w:pPr>
      <w:rPr/>
    </w:lvl>
    <w:lvl w:ilvl="1">
      <w:start w:val="1"/>
      <w:numFmt w:val="lowerLetter"/>
      <w:lvlText w:val="%2)"/>
      <w:lvlJc w:val="left"/>
      <w:pPr>
        <w:tabs>
          <w:tab w:val="num" w:pos="0"/>
        </w:tabs>
        <w:ind w:left="1872" w:hanging="360"/>
      </w:pPr>
      <w:rPr/>
    </w:lvl>
    <w:lvl w:ilvl="2">
      <w:start w:val="1"/>
      <w:numFmt w:val="bullet"/>
      <w:lvlText w:val=""/>
      <w:lvlJc w:val="left"/>
      <w:pPr>
        <w:tabs>
          <w:tab w:val="num" w:pos="0"/>
        </w:tabs>
        <w:ind w:left="2592" w:hanging="180"/>
      </w:pPr>
      <w:rPr>
        <w:rFonts w:ascii="Symbol" w:hAnsi="Symbol" w:cs="Symbol" w:hint="default"/>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7">
    <w:lvl w:ilvl="0">
      <w:start w:val="1"/>
      <w:numFmt w:val="decimal"/>
      <w:lvlText w:val="%1)"/>
      <w:lvlJc w:val="left"/>
      <w:pPr>
        <w:tabs>
          <w:tab w:val="num" w:pos="0"/>
        </w:tabs>
        <w:ind w:left="1152" w:hanging="360"/>
      </w:pPr>
      <w:rPr/>
    </w:lvl>
    <w:lvl w:ilvl="1">
      <w:start w:val="1"/>
      <w:numFmt w:val="lowerLetter"/>
      <w:lvlText w:val="%2."/>
      <w:lvlJc w:val="left"/>
      <w:pPr>
        <w:tabs>
          <w:tab w:val="num" w:pos="0"/>
        </w:tabs>
        <w:ind w:left="1872" w:hanging="360"/>
      </w:pPr>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8">
    <w:lvl w:ilvl="0">
      <w:start w:val="1"/>
      <w:numFmt w:val="decimal"/>
      <w:lvlText w:val="%1)"/>
      <w:lvlJc w:val="left"/>
      <w:pPr>
        <w:tabs>
          <w:tab w:val="num" w:pos="0"/>
        </w:tabs>
        <w:ind w:left="1152" w:hanging="360"/>
      </w:pPr>
      <w:rPr/>
    </w:lvl>
    <w:lvl w:ilvl="1">
      <w:start w:val="1"/>
      <w:numFmt w:val="lowerLetter"/>
      <w:lvlText w:val="%2."/>
      <w:lvlJc w:val="left"/>
      <w:pPr>
        <w:tabs>
          <w:tab w:val="num" w:pos="0"/>
        </w:tabs>
        <w:ind w:left="1872" w:hanging="360"/>
      </w:pPr>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9">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lvl w:ilvl="0">
      <w:start w:val="1"/>
      <w:numFmt w:val="decimal"/>
      <w:lvlText w:val="%1)"/>
      <w:lvlJc w:val="left"/>
      <w:pPr>
        <w:tabs>
          <w:tab w:val="num" w:pos="0"/>
        </w:tabs>
        <w:ind w:left="1152" w:hanging="360"/>
      </w:pPr>
      <w:rPr/>
    </w:lvl>
    <w:lvl w:ilvl="1">
      <w:start w:val="1"/>
      <w:numFmt w:val="lowerLetter"/>
      <w:lvlText w:val="%2."/>
      <w:lvlJc w:val="left"/>
      <w:pPr>
        <w:tabs>
          <w:tab w:val="num" w:pos="0"/>
        </w:tabs>
        <w:ind w:left="1872" w:hanging="360"/>
      </w:pPr>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12">
    <w:lvl w:ilvl="0">
      <w:start w:val="8"/>
      <w:numFmt w:val="decimal"/>
      <w:lvlText w:val="%1."/>
      <w:lvlJc w:val="left"/>
      <w:pPr>
        <w:tabs>
          <w:tab w:val="num" w:pos="0"/>
        </w:tabs>
        <w:ind w:left="360" w:hanging="360"/>
      </w:pPr>
      <w:rPr>
        <w:b/>
        <w:rFonts w:ascii="Times New Roman" w:hAnsi="Times New Roman"/>
      </w:rPr>
    </w:lvl>
    <w:lvl w:ilvl="1">
      <w:start w:val="1"/>
      <w:numFmt w:val="decimal"/>
      <w:lvlText w:val="%1.%2."/>
      <w:lvlJc w:val="left"/>
      <w:pPr>
        <w:tabs>
          <w:tab w:val="num" w:pos="0"/>
        </w:tabs>
        <w:ind w:left="792" w:hanging="432"/>
      </w:pPr>
      <w:rPr>
        <w:b w:val="false"/>
        <w:bCs w:val="false"/>
        <w:rFonts w:ascii="Times New Roman" w:hAnsi="Times New Roman" w:cs="Times New Roman"/>
        <w:color w:val="auto"/>
      </w:rPr>
    </w:lvl>
    <w:lvl w:ilvl="2">
      <w:start w:val="1"/>
      <w:numFmt w:val="decimal"/>
      <w:lvlText w:val="%3)"/>
      <w:lvlJc w:val="left"/>
      <w:pPr>
        <w:tabs>
          <w:tab w:val="num" w:pos="0"/>
        </w:tabs>
        <w:ind w:left="1224" w:hanging="504"/>
      </w:pPr>
      <w:rPr>
        <w:i w:val="false"/>
        <w:b w:val="false"/>
        <w:rFonts w:ascii="Times New Roman" w:hAnsi="Times New Roman"/>
      </w:rPr>
    </w:lvl>
    <w:lvl w:ilvl="3">
      <w:start w:val="1"/>
      <w:numFmt w:val="decimal"/>
      <w:lvlText w:val="%4)"/>
      <w:lvlJc w:val="left"/>
      <w:pPr>
        <w:tabs>
          <w:tab w:val="num" w:pos="0"/>
        </w:tabs>
        <w:ind w:left="1728" w:hanging="648"/>
      </w:pPr>
      <w:rPr>
        <w:color w:val="auto"/>
      </w:rPr>
    </w:lvl>
    <w:lvl w:ilvl="4">
      <w:start w:val="1"/>
      <w:numFmt w:val="lowerLetter"/>
      <w:lvlText w:val="%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14">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15">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16">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17">
    <w:lvl w:ilvl="0">
      <w:start w:val="1"/>
      <w:numFmt w:val="decimal"/>
      <w:lvlText w:val="%1)"/>
      <w:lvlJc w:val="left"/>
      <w:pPr>
        <w:tabs>
          <w:tab w:val="num" w:pos="0"/>
        </w:tabs>
        <w:ind w:left="1152" w:hanging="360"/>
      </w:pPr>
      <w:rPr/>
    </w:lvl>
    <w:lvl w:ilvl="1">
      <w:start w:val="1"/>
      <w:numFmt w:val="bullet"/>
      <w:lvlText w:val=""/>
      <w:lvlJc w:val="left"/>
      <w:pPr>
        <w:tabs>
          <w:tab w:val="num" w:pos="0"/>
        </w:tabs>
        <w:ind w:left="1872" w:hanging="360"/>
      </w:pPr>
      <w:rPr>
        <w:rFonts w:ascii="Symbol" w:hAnsi="Symbol" w:cs="Symbol" w:hint="default"/>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18">
    <w:lvl w:ilvl="0">
      <w:start w:val="1"/>
      <w:numFmt w:val="decimal"/>
      <w:lvlText w:val="%1)"/>
      <w:lvlJc w:val="left"/>
      <w:pPr>
        <w:tabs>
          <w:tab w:val="num" w:pos="0"/>
        </w:tabs>
        <w:ind w:left="1152" w:hanging="360"/>
      </w:pPr>
      <w:rPr/>
    </w:lvl>
    <w:lvl w:ilvl="1">
      <w:start w:val="1"/>
      <w:numFmt w:val="bullet"/>
      <w:lvlText w:val=""/>
      <w:lvlJc w:val="left"/>
      <w:pPr>
        <w:tabs>
          <w:tab w:val="num" w:pos="0"/>
        </w:tabs>
        <w:ind w:left="1872" w:hanging="360"/>
      </w:pPr>
      <w:rPr>
        <w:rFonts w:ascii="Symbol" w:hAnsi="Symbol" w:cs="Symbol" w:hint="default"/>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19">
    <w:lvl w:ilvl="0">
      <w:start w:val="1"/>
      <w:numFmt w:val="decimal"/>
      <w:lvlText w:val="%1)"/>
      <w:lvlJc w:val="left"/>
      <w:pPr>
        <w:tabs>
          <w:tab w:val="num" w:pos="0"/>
        </w:tabs>
        <w:ind w:left="1152" w:hanging="360"/>
      </w:pPr>
      <w:rPr/>
    </w:lvl>
    <w:lvl w:ilvl="1">
      <w:start w:val="1"/>
      <w:numFmt w:val="bullet"/>
      <w:lvlText w:val=""/>
      <w:lvlJc w:val="left"/>
      <w:pPr>
        <w:tabs>
          <w:tab w:val="num" w:pos="0"/>
        </w:tabs>
        <w:ind w:left="1872" w:hanging="360"/>
      </w:pPr>
      <w:rPr>
        <w:rFonts w:ascii="Symbol" w:hAnsi="Symbol" w:cs="Symbol" w:hint="default"/>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20">
    <w:lvl w:ilvl="0">
      <w:start w:val="1"/>
      <w:numFmt w:val="decimal"/>
      <w:lvlText w:val="%1)"/>
      <w:lvlJc w:val="left"/>
      <w:pPr>
        <w:tabs>
          <w:tab w:val="num" w:pos="0"/>
        </w:tabs>
        <w:ind w:left="1152" w:hanging="360"/>
      </w:pPr>
      <w:rPr/>
    </w:lvl>
    <w:lvl w:ilvl="1">
      <w:start w:val="1"/>
      <w:numFmt w:val="bullet"/>
      <w:lvlText w:val=""/>
      <w:lvlJc w:val="left"/>
      <w:pPr>
        <w:tabs>
          <w:tab w:val="num" w:pos="0"/>
        </w:tabs>
        <w:ind w:left="1872" w:hanging="360"/>
      </w:pPr>
      <w:rPr>
        <w:rFonts w:ascii="Symbol" w:hAnsi="Symbol" w:cs="Symbol" w:hint="default"/>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21">
    <w:lvl w:ilvl="0">
      <w:start w:val="1"/>
      <w:numFmt w:val="decimal"/>
      <w:lvlText w:val="%1)"/>
      <w:lvlJc w:val="left"/>
      <w:pPr>
        <w:tabs>
          <w:tab w:val="num" w:pos="0"/>
        </w:tabs>
        <w:ind w:left="1152" w:hanging="360"/>
      </w:pPr>
      <w:rPr/>
    </w:lvl>
    <w:lvl w:ilvl="1">
      <w:start w:val="1"/>
      <w:numFmt w:val="bullet"/>
      <w:lvlText w:val=""/>
      <w:lvlJc w:val="left"/>
      <w:pPr>
        <w:tabs>
          <w:tab w:val="num" w:pos="0"/>
        </w:tabs>
        <w:ind w:left="1872" w:hanging="360"/>
      </w:pPr>
      <w:rPr>
        <w:rFonts w:ascii="Symbol" w:hAnsi="Symbol" w:cs="Symbol" w:hint="default"/>
      </w:rPr>
    </w:lvl>
    <w:lvl w:ilvl="2">
      <w:start w:val="1"/>
      <w:numFmt w:val="lowerRoman"/>
      <w:lvlText w:val="%3."/>
      <w:lvlJc w:val="right"/>
      <w:pPr>
        <w:tabs>
          <w:tab w:val="num" w:pos="0"/>
        </w:tabs>
        <w:ind w:left="2592" w:hanging="180"/>
      </w:pPr>
      <w:rPr/>
    </w:lvl>
    <w:lvl w:ilvl="3">
      <w:start w:val="1"/>
      <w:numFmt w:val="decimal"/>
      <w:lvlText w:val="%4."/>
      <w:lvlJc w:val="left"/>
      <w:pPr>
        <w:tabs>
          <w:tab w:val="num" w:pos="0"/>
        </w:tabs>
        <w:ind w:left="3312" w:hanging="360"/>
      </w:pPr>
      <w:rPr/>
    </w:lvl>
    <w:lvl w:ilvl="4">
      <w:start w:val="1"/>
      <w:numFmt w:val="lowerLetter"/>
      <w:lvlText w:val="%5."/>
      <w:lvlJc w:val="left"/>
      <w:pPr>
        <w:tabs>
          <w:tab w:val="num" w:pos="0"/>
        </w:tabs>
        <w:ind w:left="4032" w:hanging="360"/>
      </w:pPr>
      <w:rPr/>
    </w:lvl>
    <w:lvl w:ilvl="5">
      <w:start w:val="1"/>
      <w:numFmt w:val="lowerRoman"/>
      <w:lvlText w:val="%6."/>
      <w:lvlJc w:val="right"/>
      <w:pPr>
        <w:tabs>
          <w:tab w:val="num" w:pos="0"/>
        </w:tabs>
        <w:ind w:left="4752" w:hanging="180"/>
      </w:pPr>
      <w:rPr/>
    </w:lvl>
    <w:lvl w:ilvl="6">
      <w:start w:val="1"/>
      <w:numFmt w:val="decimal"/>
      <w:lvlText w:val="%7."/>
      <w:lvlJc w:val="left"/>
      <w:pPr>
        <w:tabs>
          <w:tab w:val="num" w:pos="0"/>
        </w:tabs>
        <w:ind w:left="5472" w:hanging="360"/>
      </w:pPr>
      <w:rPr/>
    </w:lvl>
    <w:lvl w:ilvl="7">
      <w:start w:val="1"/>
      <w:numFmt w:val="lowerLetter"/>
      <w:lvlText w:val="%8."/>
      <w:lvlJc w:val="left"/>
      <w:pPr>
        <w:tabs>
          <w:tab w:val="num" w:pos="0"/>
        </w:tabs>
        <w:ind w:left="6192" w:hanging="360"/>
      </w:pPr>
      <w:rPr/>
    </w:lvl>
    <w:lvl w:ilvl="8">
      <w:start w:val="1"/>
      <w:numFmt w:val="lowerRoman"/>
      <w:lvlText w:val="%9."/>
      <w:lvlJc w:val="right"/>
      <w:pPr>
        <w:tabs>
          <w:tab w:val="num" w:pos="0"/>
        </w:tabs>
        <w:ind w:left="6912" w:hanging="180"/>
      </w:pPr>
      <w:r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17"/>
    <w:lvlOverride w:ilvl="0">
      <w:startOverride w:val="1"/>
    </w:lvlOverride>
  </w:num>
  <w:num w:numId="24">
    <w:abstractNumId w:val="17"/>
  </w:num>
  <w:num w:numId="25">
    <w:abstractNumId w:val="17"/>
  </w:num>
  <w:num w:numId="26">
    <w:abstractNumId w:val="17"/>
  </w:num>
  <w:num w:numId="27">
    <w:abstractNumId w:val="17"/>
  </w:num>
</w:numbering>
</file>

<file path=word/settings.xml><?xml version="1.0" encoding="utf-8"?>
<w:settings xmlns:w="http://schemas.openxmlformats.org/wordprocessingml/2006/main">
  <w:zoom w:percent="120"/>
  <w:defaultTabStop w:val="720"/>
  <w:autoHyphenation w:val="true"/>
  <w:hyphenationZone w:val="360"/>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612a9"/>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Heading2">
    <w:name w:val="Heading 2"/>
    <w:basedOn w:val="Normal"/>
    <w:next w:val="Normal"/>
    <w:qFormat/>
    <w:pPr>
      <w:keepNext w:val="true"/>
      <w:keepLines/>
      <w:numPr>
        <w:ilvl w:val="1"/>
        <w:numId w:val="1"/>
      </w:numPr>
      <w:spacing w:before="120" w:after="120"/>
      <w:outlineLvl w:val="1"/>
    </w:pPr>
    <w:rPr>
      <w:rFonts w:eastAsia="NSimSun"/>
      <w:b/>
      <w:bCs/>
      <w:szCs w:val="26"/>
    </w:rPr>
  </w:style>
  <w:style w:type="paragraph" w:styleId="Heading3">
    <w:name w:val="Heading 3"/>
    <w:basedOn w:val="Normal"/>
    <w:link w:val="Nagwek3Znak"/>
    <w:uiPriority w:val="9"/>
    <w:semiHidden/>
    <w:unhideWhenUsed/>
    <w:qFormat/>
    <w:rsid w:val="0057195e"/>
    <w:pPr>
      <w:keepNext w:val="true"/>
      <w:keepLines/>
      <w:spacing w:before="200" w:after="0"/>
      <w:outlineLvl w:val="2"/>
    </w:pPr>
    <w:rPr>
      <w:rFonts w:ascii="Cambria" w:hAnsi="Cambria" w:eastAsia="" w:cs="" w:asciiTheme="majorHAnsi" w:cstheme="majorBidi" w:eastAsiaTheme="majorEastAsia" w:hAnsiTheme="majorHAnsi"/>
      <w:b/>
      <w:bCs/>
      <w:color w:themeColor="accent1" w:val="4F81BD"/>
    </w:rPr>
  </w:style>
  <w:style w:type="character" w:styleId="DefaultParagraphFont" w:default="1">
    <w:name w:val="Default Paragraph Font"/>
    <w:uiPriority w:val="1"/>
    <w:semiHidden/>
    <w:unhideWhenUsed/>
    <w:qFormat/>
    <w:rPr/>
  </w:style>
  <w:style w:type="character" w:styleId="Hyperlink" w:customStyle="1">
    <w:name w:val="Hyperlink"/>
    <w:basedOn w:val="DefaultParagraphFont"/>
    <w:uiPriority w:val="99"/>
    <w:unhideWhenUsed/>
    <w:rsid w:val="00c46061"/>
    <w:rPr>
      <w:color w:themeColor="hyperlink" w:val="0000FF"/>
      <w:u w:val="single"/>
    </w:rPr>
  </w:style>
  <w:style w:type="character" w:styleId="NagwekZnak" w:customStyle="1">
    <w:name w:val="Nagłówek Znak"/>
    <w:basedOn w:val="DefaultParagraphFont"/>
    <w:link w:val="Nagwek"/>
    <w:uiPriority w:val="99"/>
    <w:qFormat/>
    <w:rsid w:val="00597e0f"/>
    <w:rPr/>
  </w:style>
  <w:style w:type="character" w:styleId="StopkaZnak" w:customStyle="1">
    <w:name w:val="Stopka Znak"/>
    <w:basedOn w:val="DefaultParagraphFont"/>
    <w:uiPriority w:val="99"/>
    <w:qFormat/>
    <w:rsid w:val="00597e0f"/>
    <w:rPr/>
  </w:style>
  <w:style w:type="character" w:styleId="TekstdymkaZnak" w:customStyle="1">
    <w:name w:val="Tekst dymka Znak"/>
    <w:basedOn w:val="DefaultParagraphFont"/>
    <w:uiPriority w:val="99"/>
    <w:semiHidden/>
    <w:qFormat/>
    <w:rsid w:val="00597e0f"/>
    <w:rPr>
      <w:rFonts w:ascii="Tahoma" w:hAnsi="Tahoma" w:cs="Tahoma"/>
      <w:sz w:val="16"/>
      <w:szCs w:val="16"/>
    </w:rPr>
  </w:style>
  <w:style w:type="character" w:styleId="TekstprzypisukocowegoZnak" w:customStyle="1">
    <w:name w:val="Tekst przypisu końcowego Znak"/>
    <w:basedOn w:val="DefaultParagraphFont"/>
    <w:uiPriority w:val="99"/>
    <w:semiHidden/>
    <w:qFormat/>
    <w:rsid w:val="003b7ffb"/>
    <w:rPr>
      <w:sz w:val="20"/>
      <w:szCs w:val="20"/>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EndnoteCharacters" w:customStyle="1">
    <w:name w:val="Endnote Characters"/>
    <w:basedOn w:val="DefaultParagraphFont"/>
    <w:uiPriority w:val="99"/>
    <w:semiHidden/>
    <w:unhideWhenUsed/>
    <w:qFormat/>
    <w:rsid w:val="003b7ffb"/>
    <w:rPr>
      <w:vertAlign w:val="superscript"/>
    </w:rPr>
  </w:style>
  <w:style w:type="character" w:styleId="TekstprzypisudolnegoZnak" w:customStyle="1">
    <w:name w:val="Tekst przypisu dolnego Znak"/>
    <w:basedOn w:val="DefaultParagraphFont"/>
    <w:uiPriority w:val="99"/>
    <w:semiHidden/>
    <w:qFormat/>
    <w:rsid w:val="00924bc9"/>
    <w:rPr>
      <w:sz w:val="20"/>
      <w:szCs w:val="20"/>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FootnoteCharacters" w:customStyle="1">
    <w:name w:val="Footnote Characters"/>
    <w:basedOn w:val="DefaultParagraphFont"/>
    <w:uiPriority w:val="99"/>
    <w:unhideWhenUsed/>
    <w:qFormat/>
    <w:rsid w:val="00924bc9"/>
    <w:rPr>
      <w:vertAlign w:val="superscript"/>
    </w:rPr>
  </w:style>
  <w:style w:type="character" w:styleId="WW8Num1zfalse" w:customStyle="1">
    <w:name w:val="WW8Num1zfalse"/>
    <w:qFormat/>
    <w:rsid w:val="00e17c2a"/>
    <w:rPr/>
  </w:style>
  <w:style w:type="character" w:styleId="Nagwek3Znak" w:customStyle="1">
    <w:name w:val="Nagłówek 3 Znak"/>
    <w:basedOn w:val="DefaultParagraphFont"/>
    <w:uiPriority w:val="9"/>
    <w:semiHidden/>
    <w:qFormat/>
    <w:rsid w:val="0057195e"/>
    <w:rPr>
      <w:rFonts w:ascii="Cambria" w:hAnsi="Cambria" w:eastAsia="" w:cs="" w:asciiTheme="majorHAnsi" w:cstheme="majorBidi" w:eastAsiaTheme="majorEastAsia" w:hAnsiTheme="majorHAnsi"/>
      <w:b/>
      <w:bCs/>
      <w:color w:themeColor="accent1" w:val="4F81BD"/>
    </w:rPr>
  </w:style>
  <w:style w:type="character" w:styleId="FollowedHyperlink">
    <w:name w:val="FollowedHyperlink"/>
    <w:basedOn w:val="DefaultParagraphFont"/>
    <w:uiPriority w:val="99"/>
    <w:semiHidden/>
    <w:unhideWhenUsed/>
    <w:qFormat/>
    <w:rsid w:val="00616f1a"/>
    <w:rPr>
      <w:color w:themeColor="followedHyperlink" w:val="800080"/>
      <w:u w:val="single"/>
    </w:rPr>
  </w:style>
  <w:style w:type="character" w:styleId="Annotationreference">
    <w:name w:val="annotation reference"/>
    <w:basedOn w:val="DefaultParagraphFont"/>
    <w:uiPriority w:val="99"/>
    <w:semiHidden/>
    <w:unhideWhenUsed/>
    <w:qFormat/>
    <w:rsid w:val="003d57e8"/>
    <w:rPr>
      <w:sz w:val="16"/>
      <w:szCs w:val="16"/>
    </w:rPr>
  </w:style>
  <w:style w:type="character" w:styleId="TekstkomentarzaZnak" w:customStyle="1">
    <w:name w:val="Tekst komentarza Znak"/>
    <w:basedOn w:val="DefaultParagraphFont"/>
    <w:uiPriority w:val="99"/>
    <w:semiHidden/>
    <w:qFormat/>
    <w:rsid w:val="003d57e8"/>
    <w:rPr>
      <w:sz w:val="20"/>
      <w:szCs w:val="20"/>
    </w:rPr>
  </w:style>
  <w:style w:type="character" w:styleId="TematkomentarzaZnak" w:customStyle="1">
    <w:name w:val="Temat komentarza Znak"/>
    <w:basedOn w:val="TekstkomentarzaZnak"/>
    <w:uiPriority w:val="99"/>
    <w:semiHidden/>
    <w:qFormat/>
    <w:rsid w:val="003d57e8"/>
    <w:rPr>
      <w:b/>
      <w:bCs/>
      <w:sz w:val="20"/>
      <w:szCs w:val="20"/>
    </w:rPr>
  </w:style>
  <w:style w:type="character" w:styleId="UnresolvedMention">
    <w:name w:val="Unresolved Mention"/>
    <w:basedOn w:val="DefaultParagraphFont"/>
    <w:uiPriority w:val="99"/>
    <w:semiHidden/>
    <w:unhideWhenUsed/>
    <w:qFormat/>
    <w:rsid w:val="009870cd"/>
    <w:rPr>
      <w:color w:val="605E5C"/>
      <w:shd w:fill="E1DFDD" w:val="clear"/>
    </w:rPr>
  </w:style>
  <w:style w:type="character" w:styleId="PlaceholderText">
    <w:name w:val="Placeholder Text"/>
    <w:basedOn w:val="DefaultParagraphFont"/>
    <w:uiPriority w:val="99"/>
    <w:semiHidden/>
    <w:qFormat/>
    <w:rsid w:val="009530a1"/>
    <w:rPr>
      <w:color w:val="808080"/>
    </w:rPr>
  </w:style>
  <w:style w:type="character" w:styleId="Znakiwypunktowania">
    <w:name w:val="Znaki wypunktowania"/>
    <w:qFormat/>
    <w:rPr>
      <w:rFonts w:ascii="OpenSymbol" w:hAnsi="OpenSymbol" w:eastAsia="OpenSymbol" w:cs="OpenSymbol"/>
    </w:rPr>
  </w:style>
  <w:style w:type="character" w:styleId="Czeindeksu">
    <w:name w:val="Łącze indeksu"/>
    <w:qFormat/>
    <w:rPr/>
  </w:style>
  <w:style w:type="character" w:styleId="Znakinumeracji">
    <w:name w:val="Znaki numeracji"/>
    <w:qFormat/>
    <w:rPr/>
  </w:style>
  <w:style w:type="character" w:styleId="Domylnaczcionkaakapitu">
    <w:name w:val="Domyślna czcionka akapitu"/>
    <w:qFormat/>
    <w:rPr/>
  </w:style>
  <w:style w:type="character" w:styleId="WW8Num5z0">
    <w:name w:val="WW8Num5z0"/>
    <w:qFormat/>
    <w:rPr>
      <w:rFonts w:ascii="Times New Roman" w:hAnsi="Times New Roman" w:eastAsia="Calibri" w:cs="Calibri"/>
      <w:b/>
      <w:bCs/>
      <w:sz w:val="22"/>
      <w:szCs w:val="22"/>
      <w:lang w:eastAsia="en-US"/>
    </w:rPr>
  </w:style>
  <w:style w:type="character" w:styleId="WW8Num5z1">
    <w:name w:val="WW8Num5z1"/>
    <w:qFormat/>
    <w:rPr>
      <w:rFonts w:ascii="Times New Roman" w:hAnsi="Times New Roman" w:eastAsia="Calibri" w:cs="Calibri"/>
      <w:b w:val="false"/>
      <w:color w:val="000000"/>
      <w:sz w:val="22"/>
      <w:szCs w:val="22"/>
      <w:lang w:eastAsia="en-US"/>
    </w:rPr>
  </w:style>
  <w:style w:type="character" w:styleId="WW8Num5z2">
    <w:name w:val="WW8Num5z2"/>
    <w:qFormat/>
    <w:rPr>
      <w:b w:val="false"/>
      <w:i w:val="false"/>
    </w:rPr>
  </w:style>
  <w:style w:type="character" w:styleId="WW8Num5z3">
    <w:name w:val="WW8Num5z3"/>
    <w:qFormat/>
    <w:rPr>
      <w:color w:val="000000"/>
    </w:rPr>
  </w:style>
  <w:style w:type="character" w:styleId="Domylnaczcionkaakapitu3">
    <w:name w:val="Domyślna czcionka akapitu3"/>
    <w:qFormat/>
    <w:rPr/>
  </w:style>
  <w:style w:type="character" w:styleId="WW8Num3z0">
    <w:name w:val="WW8Num3z0"/>
    <w:qFormat/>
    <w:rPr>
      <w:rFonts w:ascii="Symbol" w:hAnsi="Symbol" w:cs="Symbol"/>
    </w:rPr>
  </w:style>
  <w:style w:type="character" w:styleId="WW8Num7z0">
    <w:name w:val="WW8Num7z0"/>
    <w:qFormat/>
    <w:rPr>
      <w:rFonts w:ascii="Times New Roman" w:hAnsi="Times New Roman" w:cs="Times New Roman"/>
    </w:rPr>
  </w:style>
  <w:style w:type="character" w:styleId="WW8Num9z0">
    <w:name w:val="WW8Num9z0"/>
    <w:qFormat/>
    <w:rPr>
      <w:rFonts w:ascii="Times New Roman" w:hAnsi="Times New Roman" w:cs="Times New Roman"/>
      <w:b w:val="false"/>
      <w:i w:val="false"/>
    </w:rPr>
  </w:style>
  <w:style w:type="character" w:styleId="WW8Num9z1">
    <w:name w:val="WW8Num9z1"/>
    <w:qFormat/>
    <w:rPr>
      <w:rFonts w:ascii="Courier New" w:hAnsi="Courier New" w:cs="Courier New"/>
      <w:color w:val="auto"/>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9z4">
    <w:name w:val="WW8Num9z4"/>
    <w:qFormat/>
    <w:rPr>
      <w:rFonts w:ascii="Courier New" w:hAnsi="Courier New" w:cs="Courier New"/>
    </w:rPr>
  </w:style>
  <w:style w:type="character" w:styleId="WW8Num16z0">
    <w:name w:val="WW8Num16z0"/>
    <w:qFormat/>
    <w:rPr>
      <w:rFonts w:ascii="Symbol" w:hAnsi="Symbol" w:cs="Symbol"/>
    </w:rPr>
  </w:style>
  <w:style w:type="character" w:styleId="WW8Num16z1">
    <w:name w:val="WW8Num16z1"/>
    <w:qFormat/>
    <w:rPr>
      <w:rFonts w:ascii="Symbol" w:hAnsi="Symbol" w:cs="Symbol"/>
    </w:rPr>
  </w:style>
  <w:style w:type="character" w:styleId="WW8Num15z0">
    <w:name w:val="WW8Num15z0"/>
    <w:qFormat/>
    <w:rPr>
      <w:rFonts w:ascii="Symbol" w:hAnsi="Symbol" w:cs="Symbo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rFonts w:ascii="Times New Roman" w:hAnsi="Times New Roman" w:cs="Times New Roman"/>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2z3">
    <w:name w:val="WW8Num12z3"/>
    <w:qFormat/>
    <w:rPr>
      <w:rFonts w:ascii="Symbol" w:hAnsi="Symbol" w:cs="Symbol"/>
    </w:rPr>
  </w:style>
  <w:style w:type="character" w:styleId="Strong">
    <w:name w:val="Strong"/>
    <w:qFormat/>
    <w:rPr>
      <w:b/>
      <w:bCs/>
    </w:rPr>
  </w:style>
  <w:style w:type="character" w:styleId="Hipercze1">
    <w:name w:val="Hiperłącze1"/>
    <w:basedOn w:val="DefaultParagraphFont"/>
    <w:qFormat/>
    <w:rPr>
      <w:color w:themeColor="hyperlink" w:val="0000FF"/>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Caption11">
    <w:name w:val="caption11"/>
    <w:basedOn w:val="Normal"/>
    <w:qFormat/>
    <w:pPr>
      <w:suppressLineNumbers/>
      <w:spacing w:before="120" w:after="120"/>
    </w:pPr>
    <w:rPr>
      <w:rFonts w:cs="Lucida Sans"/>
      <w:i/>
      <w:iCs/>
      <w:sz w:val="24"/>
      <w:szCs w:val="24"/>
    </w:rPr>
  </w:style>
  <w:style w:type="paragraph" w:styleId="Gwkaistopka">
    <w:name w:val="Główka i stopka"/>
    <w:basedOn w:val="Normal"/>
    <w:qFormat/>
    <w:pPr/>
    <w:rPr/>
  </w:style>
  <w:style w:type="paragraph" w:styleId="Header">
    <w:name w:val="Header"/>
    <w:basedOn w:val="Normal"/>
    <w:link w:val="NagwekZnak"/>
    <w:uiPriority w:val="99"/>
    <w:unhideWhenUsed/>
    <w:rsid w:val="00597e0f"/>
    <w:pPr>
      <w:tabs>
        <w:tab w:val="clear" w:pos="720"/>
        <w:tab w:val="center" w:pos="4536" w:leader="none"/>
        <w:tab w:val="right" w:pos="9072" w:leader="none"/>
      </w:tabs>
      <w:spacing w:lineRule="auto" w:line="240" w:before="0" w:after="0"/>
    </w:pPr>
    <w:rPr/>
  </w:style>
  <w:style w:type="paragraph" w:styleId="Caption111">
    <w:name w:val="caption111"/>
    <w:basedOn w:val="Normal"/>
    <w:qFormat/>
    <w:pPr>
      <w:suppressLineNumbers/>
      <w:spacing w:before="120" w:after="120"/>
    </w:pPr>
    <w:rPr>
      <w:rFonts w:cs="Lucida Sans"/>
      <w:i/>
      <w:iCs/>
      <w:sz w:val="24"/>
      <w:szCs w:val="24"/>
    </w:rPr>
  </w:style>
  <w:style w:type="paragraph" w:styleId="ListParagraph">
    <w:name w:val="List Paragraph"/>
    <w:basedOn w:val="Normal"/>
    <w:uiPriority w:val="34"/>
    <w:qFormat/>
    <w:rsid w:val="00c46061"/>
    <w:pPr>
      <w:spacing w:before="0" w:after="200"/>
      <w:ind w:hanging="0" w:left="720"/>
      <w:contextualSpacing/>
    </w:pPr>
    <w:rPr/>
  </w:style>
  <w:style w:type="paragraph" w:styleId="Footer">
    <w:name w:val="Footer"/>
    <w:basedOn w:val="Normal"/>
    <w:link w:val="StopkaZnak"/>
    <w:uiPriority w:val="99"/>
    <w:unhideWhenUsed/>
    <w:rsid w:val="00597e0f"/>
    <w:pPr>
      <w:tabs>
        <w:tab w:val="clear" w:pos="720"/>
        <w:tab w:val="center" w:pos="4536" w:leader="none"/>
        <w:tab w:val="right" w:pos="9072" w:leader="none"/>
      </w:tabs>
      <w:spacing w:lineRule="auto" w:line="240" w:before="0" w:after="0"/>
    </w:pPr>
    <w:rPr/>
  </w:style>
  <w:style w:type="paragraph" w:styleId="BalloonText">
    <w:name w:val="Balloon Text"/>
    <w:basedOn w:val="Normal"/>
    <w:link w:val="TekstdymkaZnak"/>
    <w:uiPriority w:val="99"/>
    <w:semiHidden/>
    <w:unhideWhenUsed/>
    <w:qFormat/>
    <w:rsid w:val="00597e0f"/>
    <w:pPr>
      <w:spacing w:lineRule="auto" w:line="240" w:before="0" w:after="0"/>
    </w:pPr>
    <w:rPr>
      <w:rFonts w:ascii="Tahoma" w:hAnsi="Tahoma" w:cs="Tahoma"/>
      <w:sz w:val="16"/>
      <w:szCs w:val="16"/>
    </w:rPr>
  </w:style>
  <w:style w:type="paragraph" w:styleId="EndnoteText">
    <w:name w:val="Endnote Text"/>
    <w:basedOn w:val="Normal"/>
    <w:link w:val="TekstprzypisukocowegoZnak"/>
    <w:uiPriority w:val="99"/>
    <w:semiHidden/>
    <w:unhideWhenUsed/>
    <w:rsid w:val="003b7ffb"/>
    <w:pPr>
      <w:spacing w:lineRule="auto" w:line="240" w:before="0" w:after="0"/>
    </w:pPr>
    <w:rPr>
      <w:sz w:val="20"/>
      <w:szCs w:val="20"/>
    </w:rPr>
  </w:style>
  <w:style w:type="paragraph" w:styleId="FootnoteText">
    <w:name w:val="Footnote Text"/>
    <w:basedOn w:val="Normal"/>
    <w:link w:val="TekstprzypisudolnegoZnak"/>
    <w:uiPriority w:val="99"/>
    <w:semiHidden/>
    <w:unhideWhenUsed/>
    <w:rsid w:val="00924bc9"/>
    <w:pPr>
      <w:spacing w:lineRule="auto" w:line="240" w:before="0" w:after="0"/>
    </w:pPr>
    <w:rPr>
      <w:sz w:val="20"/>
      <w:szCs w:val="20"/>
    </w:rPr>
  </w:style>
  <w:style w:type="paragraph" w:styleId="ListBullet2">
    <w:name w:val="List Bullet 2"/>
    <w:basedOn w:val="Normal"/>
    <w:qFormat/>
    <w:rsid w:val="00515b8f"/>
    <w:pPr>
      <w:suppressAutoHyphens w:val="true"/>
      <w:spacing w:lineRule="auto" w:line="240" w:before="0" w:after="0"/>
      <w:ind w:hanging="283" w:left="566"/>
    </w:pPr>
    <w:rPr>
      <w:rFonts w:ascii="Times New Roman" w:hAnsi="Times New Roman" w:eastAsia="SimSun" w:cs="Mangal"/>
      <w:kern w:val="2"/>
      <w:sz w:val="24"/>
      <w:szCs w:val="24"/>
      <w:lang w:eastAsia="zh-CN" w:bidi="hi-IN"/>
    </w:rPr>
  </w:style>
  <w:style w:type="paragraph" w:styleId="Normalny1" w:customStyle="1">
    <w:name w:val="Normalny1"/>
    <w:basedOn w:val="Normal"/>
    <w:qFormat/>
    <w:rsid w:val="00515b8f"/>
    <w:pPr>
      <w:suppressAutoHyphens w:val="true"/>
      <w:spacing w:lineRule="auto" w:line="240" w:before="0" w:after="0"/>
    </w:pPr>
    <w:rPr>
      <w:rFonts w:ascii="Times New Roman" w:hAnsi="Times New Roman" w:eastAsia="SimSun" w:cs="Mangal"/>
      <w:kern w:val="2"/>
      <w:sz w:val="24"/>
      <w:szCs w:val="24"/>
      <w:lang w:eastAsia="zh-CN" w:bidi="hi-IN"/>
    </w:rPr>
  </w:style>
  <w:style w:type="paragraph" w:styleId="Annotationtext">
    <w:name w:val="annotation text"/>
    <w:basedOn w:val="Normal"/>
    <w:link w:val="TekstkomentarzaZnak"/>
    <w:uiPriority w:val="99"/>
    <w:semiHidden/>
    <w:unhideWhenUsed/>
    <w:qFormat/>
    <w:rsid w:val="003d57e8"/>
    <w:pPr>
      <w:spacing w:lineRule="auto" w:line="240"/>
    </w:pPr>
    <w:rPr>
      <w:sz w:val="20"/>
      <w:szCs w:val="20"/>
    </w:rPr>
  </w:style>
  <w:style w:type="paragraph" w:styleId="Annotationsubject">
    <w:name w:val="annotation subject"/>
    <w:basedOn w:val="Annotationtext"/>
    <w:link w:val="TematkomentarzaZnak"/>
    <w:uiPriority w:val="99"/>
    <w:semiHidden/>
    <w:unhideWhenUsed/>
    <w:qFormat/>
    <w:rsid w:val="003d57e8"/>
    <w:pPr/>
    <w:rPr>
      <w:b/>
      <w:bCs/>
    </w:rPr>
  </w:style>
  <w:style w:type="paragraph" w:styleId="Standard" w:customStyle="1">
    <w:name w:val="Standard"/>
    <w:qFormat/>
    <w:rsid w:val="009870cd"/>
    <w:pPr>
      <w:widowControl/>
      <w:suppressAutoHyphens w:val="true"/>
      <w:bidi w:val="0"/>
      <w:spacing w:before="0" w:after="0"/>
      <w:jc w:val="left"/>
      <w:textAlignment w:val="baseline"/>
    </w:pPr>
    <w:rPr>
      <w:rFonts w:ascii="Liberation Serif" w:hAnsi="Liberation Serif" w:eastAsia="WenQuanYi Micro Hei" w:cs="Lohit Devanagari"/>
      <w:color w:val="auto"/>
      <w:kern w:val="2"/>
      <w:sz w:val="24"/>
      <w:szCs w:val="24"/>
      <w:lang w:val="pl-PL" w:eastAsia="zh-CN" w:bidi="hi-IN"/>
    </w:rPr>
  </w:style>
  <w:style w:type="paragraph" w:styleId="TOAHeading">
    <w:name w:val="TOA Heading"/>
    <w:basedOn w:val="Nagwek"/>
    <w:qFormat/>
    <w:pPr>
      <w:suppressLineNumbers/>
      <w:ind w:hanging="0" w:left="0"/>
    </w:pPr>
    <w:rPr>
      <w:b/>
      <w:bCs/>
      <w:sz w:val="32"/>
      <w:szCs w:val="32"/>
    </w:rPr>
  </w:style>
  <w:style w:type="paragraph" w:styleId="TOC1">
    <w:name w:val="TOC 1"/>
    <w:basedOn w:val="Indeks"/>
    <w:pPr>
      <w:tabs>
        <w:tab w:val="clear" w:pos="720"/>
        <w:tab w:val="right" w:pos="9746" w:leader="dot"/>
      </w:tabs>
      <w:spacing w:before="0" w:after="57"/>
      <w:ind w:hanging="0" w:left="0"/>
    </w:pPr>
    <w:rPr>
      <w:rFonts w:ascii="Times New Roman" w:hAnsi="Times New Roman"/>
    </w:rPr>
  </w:style>
  <w:style w:type="paragraph" w:styleId="TOC5">
    <w:name w:val="TOC 5"/>
    <w:basedOn w:val="Indeks"/>
    <w:autoRedefine/>
    <w:pPr>
      <w:tabs>
        <w:tab w:val="clear" w:pos="720"/>
        <w:tab w:val="right" w:pos="8614" w:leader="dot"/>
      </w:tabs>
      <w:ind w:hanging="0" w:left="1132"/>
    </w:pPr>
    <w:rPr/>
  </w:style>
  <w:style w:type="paragraph" w:styleId="TOC6">
    <w:name w:val="TOC 6"/>
    <w:basedOn w:val="Indeks"/>
    <w:pPr>
      <w:tabs>
        <w:tab w:val="clear" w:pos="720"/>
        <w:tab w:val="right" w:pos="8331" w:leader="dot"/>
      </w:tabs>
      <w:ind w:hanging="0" w:left="1415"/>
    </w:pPr>
    <w:rPr/>
  </w:style>
  <w:style w:type="paragraph" w:styleId="TOC7">
    <w:name w:val="TOC 7"/>
    <w:basedOn w:val="Indeks"/>
    <w:pPr>
      <w:tabs>
        <w:tab w:val="clear" w:pos="720"/>
        <w:tab w:val="right" w:pos="8048" w:leader="dot"/>
      </w:tabs>
      <w:ind w:hanging="0" w:left="1698"/>
    </w:pPr>
    <w:rPr/>
  </w:style>
  <w:style w:type="paragraph" w:styleId="TOC2">
    <w:name w:val="TOC 2"/>
    <w:basedOn w:val="Indeks"/>
    <w:pPr>
      <w:tabs>
        <w:tab w:val="clear" w:pos="720"/>
        <w:tab w:val="right" w:pos="9463" w:leader="dot"/>
      </w:tabs>
      <w:ind w:hanging="0" w:left="283"/>
    </w:pPr>
    <w:rPr/>
  </w:style>
  <w:style w:type="paragraph" w:styleId="TOC9">
    <w:name w:val="TOC 9"/>
    <w:basedOn w:val="Indeks"/>
    <w:pPr>
      <w:tabs>
        <w:tab w:val="clear" w:pos="720"/>
        <w:tab w:val="right" w:pos="7482" w:leader="dot"/>
      </w:tabs>
      <w:ind w:hanging="0" w:left="2264"/>
    </w:pPr>
    <w:rPr/>
  </w:style>
  <w:style w:type="paragraph" w:styleId="TOC4">
    <w:name w:val="TOC 4"/>
    <w:basedOn w:val="Indeks"/>
    <w:pPr>
      <w:tabs>
        <w:tab w:val="clear" w:pos="720"/>
        <w:tab w:val="right" w:pos="8897" w:leader="dot"/>
      </w:tabs>
      <w:ind w:hanging="0" w:left="849"/>
    </w:pPr>
    <w:rPr/>
  </w:style>
  <w:style w:type="paragraph" w:styleId="Zawartotabeli">
    <w:name w:val="Zawartość tabeli"/>
    <w:basedOn w:val="Normal"/>
    <w:qFormat/>
    <w:pPr/>
    <w:rPr/>
  </w:style>
  <w:style w:type="paragraph" w:styleId="Default">
    <w:name w:val="Default"/>
    <w:qFormat/>
    <w:pPr>
      <w:widowControl/>
      <w:suppressAutoHyphens w:val="true"/>
      <w:bidi w:val="0"/>
      <w:spacing w:before="0" w:after="0"/>
      <w:jc w:val="left"/>
    </w:pPr>
    <w:rPr>
      <w:rFonts w:ascii="Times New Roman" w:hAnsi="Times New Roman" w:eastAsia="Calibri" w:cs="" w:cstheme="minorBidi" w:eastAsiaTheme="minorHAnsi"/>
      <w:color w:val="000000"/>
      <w:kern w:val="0"/>
      <w:sz w:val="24"/>
      <w:szCs w:val="22"/>
      <w:lang w:val="pl-PL" w:eastAsia="en-US" w:bidi="ar-SA"/>
    </w:rPr>
  </w:style>
  <w:style w:type="paragraph" w:styleId="StandardWW">
    <w:name w:val="Standard (WW)"/>
    <w:qFormat/>
    <w:pPr>
      <w:widowControl/>
      <w:suppressAutoHyphens w:val="true"/>
      <w:bidi w:val="0"/>
      <w:spacing w:before="0" w:after="0"/>
      <w:jc w:val="left"/>
      <w:textAlignment w:val="baseline"/>
    </w:pPr>
    <w:rPr>
      <w:rFonts w:ascii="Liberation Serif" w:hAnsi="Liberation Serif" w:eastAsia="NSimSun" w:cs="Arial"/>
      <w:color w:val="auto"/>
      <w:kern w:val="2"/>
      <w:sz w:val="24"/>
      <w:szCs w:val="24"/>
      <w:lang w:val="pl-PL" w:eastAsia="zh-CN" w:bidi="hi-IN"/>
    </w:rPr>
  </w:style>
  <w:style w:type="numbering" w:styleId="Bezlisty" w:default="1">
    <w:name w:val="Bez listy"/>
    <w:uiPriority w:val="99"/>
    <w:semiHidden/>
    <w:unhideWhenUsed/>
    <w:qFormat/>
  </w:style>
  <w:style w:type="numbering" w:styleId="WW8Num5">
    <w:name w:val="WW8Num5"/>
    <w:qFormat/>
  </w:style>
  <w:style w:type="numbering" w:styleId="WW8Num3">
    <w:name w:val="WW8Num3"/>
    <w:qFormat/>
  </w:style>
  <w:style w:type="numbering" w:styleId="WW8Num7">
    <w:name w:val="WW8Num7"/>
    <w:qFormat/>
  </w:style>
  <w:style w:type="numbering" w:styleId="WW8Num9">
    <w:name w:val="WW8Num9"/>
    <w:qFormat/>
  </w:style>
  <w:style w:type="numbering" w:styleId="WW8Num16">
    <w:name w:val="WW8Num16"/>
    <w:qFormat/>
  </w:style>
  <w:style w:type="numbering" w:styleId="WW8Num15">
    <w:name w:val="WW8Num15"/>
    <w:qFormat/>
  </w:style>
  <w:style w:type="numbering" w:styleId="WW8Num10">
    <w:name w:val="WW8Num10"/>
    <w:qFormat/>
  </w:style>
  <w:style w:type="numbering" w:styleId="WW8Num11">
    <w:name w:val="WW8Num11"/>
    <w:qFormat/>
  </w:style>
  <w:style w:type="numbering" w:styleId="WW8Num12">
    <w:name w:val="WW8Num12"/>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8f74a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1">
    <w:name w:val="Tabela - Siatka1"/>
    <w:basedOn w:val="Standardowy"/>
    <w:uiPriority w:val="59"/>
    <w:rsid w:val="00107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59"/>
    <w:rsid w:val="00107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minaslupsk.pl/" TargetMode="External"/><Relationship Id="rId3" Type="http://schemas.openxmlformats.org/officeDocument/2006/relationships/hyperlink" Target="mailto:info@gminaslupsk.pl" TargetMode="External"/><Relationship Id="rId4" Type="http://schemas.openxmlformats.org/officeDocument/2006/relationships/hyperlink" Target="http://www.gminaslupsk.pl/" TargetMode="External"/><Relationship Id="rId5" Type="http://schemas.openxmlformats.org/officeDocument/2006/relationships/hyperlink" Target="https://platformazakupowa.pl/pn/ug_slupsk" TargetMode="External"/><Relationship Id="rId6" Type="http://schemas.openxmlformats.org/officeDocument/2006/relationships/hyperlink" Target="http://platformazakupowa.pl/" TargetMode="External"/><Relationship Id="rId7" Type="http://schemas.openxmlformats.org/officeDocument/2006/relationships/hyperlink" Target="https://platformazakupowa.pl/pn/ug_slupsk" TargetMode="External"/><Relationship Id="rId8" Type="http://schemas.openxmlformats.org/officeDocument/2006/relationships/hyperlink" Target="http://platformazakupowa.pl/" TargetMode="External"/><Relationship Id="rId9" Type="http://schemas.openxmlformats.org/officeDocument/2006/relationships/hyperlink" Target="http://platformazakupowa.pl/" TargetMode="External"/><Relationship Id="rId10"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12" Type="http://schemas.openxmlformats.org/officeDocument/2006/relationships/hyperlink" Target="http://platformazakupowa.pl/" TargetMode="External"/><Relationship Id="rId13" Type="http://schemas.openxmlformats.org/officeDocument/2006/relationships/hyperlink" Target="http://platformazakupowa.pl/" TargetMode="External"/><Relationship Id="rId14" Type="http://schemas.openxmlformats.org/officeDocument/2006/relationships/hyperlink" Target="http://platformazakupowa.pl/" TargetMode="External"/><Relationship Id="rId15" Type="http://schemas.openxmlformats.org/officeDocument/2006/relationships/hyperlink" Target="https://drive.google.com/file/d/1Kd1DttbBeiNWt4q4slS4t76lZVKPbkyD/view" TargetMode="External"/><Relationship Id="rId16" Type="http://schemas.openxmlformats.org/officeDocument/2006/relationships/hyperlink" Target="http://platformazakupowa.pl/" TargetMode="External"/><Relationship Id="rId17"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19" Type="http://schemas.openxmlformats.org/officeDocument/2006/relationships/hyperlink" Target="https://platformazakupowa.pl/strona/45-instrukcje" TargetMode="External"/><Relationship Id="rId20" Type="http://schemas.openxmlformats.org/officeDocument/2006/relationships/hyperlink" Target="../AppData/Local/Temp/pid-8840/elektronicznym%20kwalifikowanym%20podpisem%20lub%20podpisem%20zaufanym%20lub%20podpisem%20osobistym.%20W%20procesie%20sk&#322;adania%20oferty,%20wniosku%20w%20tym%20przedmiotowych%20&#347;rodk&#243;w%20dowodowych%20na%20platformie,%20kwalifikowany%20podpis%20elektroniczny%20wykonawca%20mo&#380;e%20z&#322;o&#380;y&#263;%20bezpo&#347;rednio%20na%20dokumencie,%20kt&#243;ry%20nast&#281;pnie%20przesy&#322;a%20do%20systemu%20(opcja%20rekomendowana%20przez%20platformazakupowa.pl)%20oraz%20dodatkowo%20dla%20ca&#322;ego%20pakietu%20dokument&#243;w%20w%20kroku%202%20Formularza%20sk&#322;adania%20oferty%20lub%20wniosku%20(po%20klikni&#281;ciu%20w%20przycisk%20Przejd&#378;%20do%20podsumowania)." TargetMode="External"/><Relationship Id="rId21"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4" Type="http://schemas.openxmlformats.org/officeDocument/2006/relationships/hyperlink" Target="https://platformazakupowa.pl/pn/ug_slupsk" TargetMode="External"/><Relationship Id="rId25" Type="http://schemas.openxmlformats.org/officeDocument/2006/relationships/hyperlink" Target="http://platformazakupowa.pl/" TargetMode="External"/><Relationship Id="rId26" Type="http://schemas.openxmlformats.org/officeDocument/2006/relationships/hyperlink" Target="https://bip.gminaslupsk.pl/strony/17738.dhtml" TargetMode="External"/><Relationship Id="rId27" Type="http://schemas.openxmlformats.org/officeDocument/2006/relationships/hyperlink" Target="mailto:iod@gminaslupsk.pl" TargetMode="External"/><Relationship Id="rId28" Type="http://schemas.openxmlformats.org/officeDocument/2006/relationships/header" Target="header1.xml"/><Relationship Id="rId29" Type="http://schemas.openxmlformats.org/officeDocument/2006/relationships/header" Target="header2.xml"/><Relationship Id="rId30" Type="http://schemas.openxmlformats.org/officeDocument/2006/relationships/header" Target="header3.xml"/><Relationship Id="rId31" Type="http://schemas.openxmlformats.org/officeDocument/2006/relationships/footer" Target="footer1.xml"/><Relationship Id="rId32" Type="http://schemas.openxmlformats.org/officeDocument/2006/relationships/footer" Target="footer2.xml"/><Relationship Id="rId33" Type="http://schemas.openxmlformats.org/officeDocument/2006/relationships/footer" Target="footer3.xml"/><Relationship Id="rId34" Type="http://schemas.openxmlformats.org/officeDocument/2006/relationships/footnotes" Target="footnotes.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Relationship Id="rId39"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FE9A7-75B8-456D-ABE3-4DAC7B948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4672</TotalTime>
  <Application>LibreOffice/7.6.3.2$Windows_X86_64 LibreOffice_project/29d686fea9f6705b262d369fede658f824154cc0</Application>
  <AppVersion>15.0000</AppVersion>
  <Pages>20</Pages>
  <Words>9187</Words>
  <Characters>60694</Characters>
  <CharactersWithSpaces>69896</CharactersWithSpaces>
  <Paragraphs>415</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2018-02-19T11:29:00Z</dcterms:created>
  <dc:creator>Michał Maciejewski</dc:creator>
  <dc:description/>
  <dc:language>pl-PL</dc:language>
  <cp:lastModifiedBy/>
  <cp:lastPrinted>2026-04-20T10:50:58Z</cp:lastPrinted>
  <dcterms:modified xsi:type="dcterms:W3CDTF">2026-04-20T10:44:57Z</dcterms:modified>
  <cp:revision>445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