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EECA8" w14:textId="224A73F9" w:rsidR="00493E9C" w:rsidRPr="003A73B0" w:rsidRDefault="00493E9C" w:rsidP="00493E9C">
      <w:pPr>
        <w:tabs>
          <w:tab w:val="right" w:pos="10490"/>
        </w:tabs>
        <w:spacing w:after="0" w:line="300" w:lineRule="auto"/>
        <w:rPr>
          <w:rFonts w:cstheme="minorHAnsi"/>
          <w:bCs/>
          <w:noProof/>
          <w:color w:val="000000" w:themeColor="text1"/>
        </w:rPr>
      </w:pPr>
      <w:r w:rsidRPr="003A73B0">
        <w:rPr>
          <w:rFonts w:cstheme="minorHAnsi"/>
          <w:bCs/>
          <w:color w:val="000000" w:themeColor="text1"/>
          <w:kern w:val="36"/>
        </w:rPr>
        <w:t>Nr postępowania: 271.1.</w:t>
      </w:r>
      <w:r w:rsidR="0093125C">
        <w:rPr>
          <w:rFonts w:cstheme="minorHAnsi"/>
          <w:bCs/>
          <w:color w:val="000000" w:themeColor="text1"/>
          <w:kern w:val="36"/>
        </w:rPr>
        <w:t>8</w:t>
      </w:r>
      <w:r w:rsidRPr="003A73B0">
        <w:rPr>
          <w:rFonts w:cstheme="minorHAnsi"/>
          <w:bCs/>
          <w:color w:val="000000" w:themeColor="text1"/>
          <w:kern w:val="36"/>
        </w:rPr>
        <w:t>.2026</w:t>
      </w:r>
      <w:r w:rsidRPr="003A73B0">
        <w:rPr>
          <w:rFonts w:cstheme="minorHAnsi"/>
          <w:bCs/>
          <w:color w:val="000000" w:themeColor="text1"/>
          <w:kern w:val="36"/>
        </w:rPr>
        <w:tab/>
      </w:r>
      <w:r w:rsidR="00296246" w:rsidRPr="003A73B0">
        <w:rPr>
          <w:rFonts w:cstheme="minorHAnsi"/>
          <w:bCs/>
          <w:color w:val="000000" w:themeColor="text1"/>
          <w:kern w:val="36"/>
        </w:rPr>
        <w:t xml:space="preserve">załącznik nr </w:t>
      </w:r>
      <w:r w:rsidR="00296246">
        <w:rPr>
          <w:rFonts w:cstheme="minorHAnsi"/>
          <w:bCs/>
          <w:color w:val="000000" w:themeColor="text1"/>
          <w:kern w:val="36"/>
        </w:rPr>
        <w:t>5</w:t>
      </w:r>
      <w:r w:rsidR="00F271BC">
        <w:rPr>
          <w:rFonts w:cstheme="minorHAnsi"/>
          <w:bCs/>
          <w:color w:val="000000" w:themeColor="text1"/>
          <w:kern w:val="36"/>
        </w:rPr>
        <w:t>.3.</w:t>
      </w:r>
      <w:bookmarkStart w:id="0" w:name="_GoBack"/>
      <w:bookmarkEnd w:id="0"/>
      <w:r w:rsidR="00296246" w:rsidRPr="003A73B0">
        <w:rPr>
          <w:rFonts w:cstheme="minorHAnsi"/>
          <w:bCs/>
          <w:color w:val="000000" w:themeColor="text1"/>
          <w:kern w:val="36"/>
        </w:rPr>
        <w:t xml:space="preserve"> do SWZ</w:t>
      </w:r>
      <w:r w:rsidR="00296246">
        <w:rPr>
          <w:rFonts w:cstheme="minorHAnsi"/>
          <w:bCs/>
          <w:color w:val="000000" w:themeColor="text1"/>
          <w:kern w:val="36"/>
        </w:rPr>
        <w:t xml:space="preserve"> – Zadanie 3</w:t>
      </w:r>
    </w:p>
    <w:p w14:paraId="62C2A1A9" w14:textId="555FC99C" w:rsidR="007601A6" w:rsidRPr="00CC0B5B" w:rsidRDefault="007601A6" w:rsidP="00FB5469">
      <w:pPr>
        <w:spacing w:after="0"/>
        <w:rPr>
          <w:rFonts w:cstheme="minorHAnsi"/>
          <w:bCs/>
          <w:color w:val="000000" w:themeColor="text1"/>
          <w:kern w:val="36"/>
        </w:rPr>
      </w:pPr>
    </w:p>
    <w:p w14:paraId="58E07D04" w14:textId="77777777" w:rsidR="0007533F" w:rsidRPr="00CC0B5B" w:rsidRDefault="0007533F" w:rsidP="0007533F">
      <w:pPr>
        <w:jc w:val="center"/>
        <w:rPr>
          <w:rFonts w:cstheme="minorHAnsi"/>
          <w:color w:val="000000" w:themeColor="text1"/>
        </w:rPr>
      </w:pPr>
    </w:p>
    <w:p w14:paraId="4B45062F" w14:textId="5AECA5B5" w:rsidR="0007533F" w:rsidRPr="00CC0B5B" w:rsidRDefault="0007533F" w:rsidP="0007533F">
      <w:pPr>
        <w:jc w:val="center"/>
        <w:rPr>
          <w:rFonts w:cstheme="minorHAnsi"/>
          <w:color w:val="000000" w:themeColor="text1"/>
        </w:rPr>
      </w:pPr>
      <w:r w:rsidRPr="00CC0B5B">
        <w:rPr>
          <w:rFonts w:cstheme="minorHAnsi"/>
          <w:color w:val="000000" w:themeColor="text1"/>
        </w:rPr>
        <w:t>Opis Przedmiotu Zamówienia</w:t>
      </w:r>
    </w:p>
    <w:p w14:paraId="320B28F2" w14:textId="1263254C" w:rsidR="0007533F" w:rsidRPr="00CC0B5B" w:rsidRDefault="0007533F" w:rsidP="0007533F">
      <w:pPr>
        <w:jc w:val="center"/>
        <w:rPr>
          <w:rFonts w:cstheme="minorHAnsi"/>
          <w:color w:val="000000" w:themeColor="text1"/>
        </w:rPr>
      </w:pPr>
      <w:r w:rsidRPr="00CC0B5B">
        <w:rPr>
          <w:rFonts w:cstheme="minorHAnsi"/>
          <w:color w:val="000000" w:themeColor="text1"/>
        </w:rPr>
        <w:t>do zadania pn:</w:t>
      </w:r>
    </w:p>
    <w:p w14:paraId="43244882" w14:textId="77777777" w:rsidR="0007533F" w:rsidRPr="00CC0B5B" w:rsidRDefault="0007533F" w:rsidP="0007533F">
      <w:pPr>
        <w:jc w:val="center"/>
        <w:rPr>
          <w:rFonts w:eastAsia="Times New Roman" w:cstheme="minorHAnsi"/>
          <w:b/>
          <w:bCs/>
          <w:color w:val="000000" w:themeColor="text1"/>
        </w:rPr>
      </w:pPr>
      <w:r w:rsidRPr="00CC0B5B">
        <w:rPr>
          <w:rFonts w:eastAsia="Times New Roman" w:cstheme="minorHAnsi"/>
          <w:b/>
          <w:bCs/>
          <w:color w:val="000000" w:themeColor="text1"/>
        </w:rPr>
        <w:t xml:space="preserve">„Gmina Rydzyna cyberbezpiecznym samorządem” - Dostawa sprzętu informatycznego </w:t>
      </w:r>
      <w:r w:rsidRPr="00CC0B5B">
        <w:rPr>
          <w:rFonts w:eastAsia="Times New Roman" w:cstheme="minorHAnsi"/>
          <w:b/>
          <w:bCs/>
          <w:color w:val="000000" w:themeColor="text1"/>
        </w:rPr>
        <w:br/>
        <w:t>z oprogramowaniem wraz z jego konfiguracją i wdrożeniem</w:t>
      </w:r>
    </w:p>
    <w:p w14:paraId="0D5DD9A4" w14:textId="77777777" w:rsidR="00296246" w:rsidRDefault="00296246" w:rsidP="00B2558D">
      <w:pPr>
        <w:jc w:val="center"/>
        <w:rPr>
          <w:rFonts w:eastAsia="Times New Roman" w:cstheme="minorHAnsi"/>
          <w:b/>
          <w:bCs/>
          <w:color w:val="000000" w:themeColor="text1"/>
        </w:rPr>
      </w:pPr>
    </w:p>
    <w:p w14:paraId="12CAC567" w14:textId="63F371B3" w:rsidR="0007533F" w:rsidRPr="00CC0B5B" w:rsidRDefault="00296246" w:rsidP="00B2558D">
      <w:pPr>
        <w:jc w:val="center"/>
        <w:rPr>
          <w:rFonts w:eastAsia="Times New Roman" w:cstheme="minorHAnsi"/>
          <w:b/>
          <w:bCs/>
          <w:color w:val="000000" w:themeColor="text1"/>
        </w:rPr>
      </w:pPr>
      <w:r w:rsidRPr="00296246">
        <w:rPr>
          <w:rFonts w:eastAsia="Times New Roman" w:cstheme="minorHAnsi"/>
          <w:b/>
          <w:bCs/>
          <w:color w:val="000000" w:themeColor="text1"/>
        </w:rPr>
        <w:t>Oprogramowanie</w:t>
      </w:r>
    </w:p>
    <w:p w14:paraId="72124D80" w14:textId="77777777" w:rsidR="00B2558D" w:rsidRPr="00CC0B5B" w:rsidRDefault="00B2558D" w:rsidP="00B2558D">
      <w:pPr>
        <w:jc w:val="center"/>
        <w:rPr>
          <w:rFonts w:cstheme="minorHAnsi"/>
          <w:color w:val="000000" w:themeColor="text1"/>
        </w:rPr>
      </w:pPr>
    </w:p>
    <w:sdt>
      <w:sdtPr>
        <w:rPr>
          <w:rFonts w:asciiTheme="minorHAnsi" w:eastAsiaTheme="minorHAnsi" w:hAnsiTheme="minorHAnsi" w:cstheme="minorHAnsi"/>
          <w:color w:val="000000" w:themeColor="text1"/>
          <w:sz w:val="22"/>
          <w:szCs w:val="22"/>
          <w:lang w:eastAsia="en-US"/>
        </w:rPr>
        <w:id w:val="-629480626"/>
        <w:docPartObj>
          <w:docPartGallery w:val="Table of Contents"/>
          <w:docPartUnique/>
        </w:docPartObj>
      </w:sdtPr>
      <w:sdtEndPr>
        <w:rPr>
          <w:rFonts w:eastAsiaTheme="minorEastAsia"/>
          <w:b/>
          <w:bCs/>
          <w:lang w:eastAsia="pl-PL"/>
        </w:rPr>
      </w:sdtEndPr>
      <w:sdtContent>
        <w:p w14:paraId="6E60E566" w14:textId="77777777" w:rsidR="00AE1721" w:rsidRPr="00CC0B5B" w:rsidRDefault="00AE1721" w:rsidP="00FB5469">
          <w:pPr>
            <w:pStyle w:val="Nagwekspisutreci"/>
            <w:rPr>
              <w:rFonts w:asciiTheme="minorHAnsi" w:hAnsiTheme="minorHAnsi" w:cstheme="minorHAnsi"/>
              <w:color w:val="000000" w:themeColor="text1"/>
              <w:sz w:val="22"/>
              <w:szCs w:val="22"/>
            </w:rPr>
          </w:pPr>
          <w:r w:rsidRPr="00CC0B5B">
            <w:rPr>
              <w:rFonts w:asciiTheme="minorHAnsi" w:hAnsiTheme="minorHAnsi" w:cstheme="minorHAnsi"/>
              <w:color w:val="000000" w:themeColor="text1"/>
              <w:sz w:val="22"/>
              <w:szCs w:val="22"/>
            </w:rPr>
            <w:t>Spis treści</w:t>
          </w:r>
        </w:p>
        <w:p w14:paraId="08E58D15" w14:textId="15F1AC1B" w:rsidR="00CB3012" w:rsidRDefault="00AE1721">
          <w:pPr>
            <w:pStyle w:val="Spistreci2"/>
            <w:rPr>
              <w:rFonts w:eastAsiaTheme="minorEastAsia"/>
              <w:noProof/>
              <w:kern w:val="2"/>
              <w:sz w:val="24"/>
              <w:szCs w:val="24"/>
              <w:lang w:eastAsia="pl-PL"/>
              <w14:ligatures w14:val="standardContextual"/>
            </w:rPr>
          </w:pPr>
          <w:r w:rsidRPr="00CC0B5B">
            <w:rPr>
              <w:color w:val="000000" w:themeColor="text1"/>
            </w:rPr>
            <w:fldChar w:fldCharType="begin"/>
          </w:r>
          <w:r w:rsidRPr="00CC0B5B">
            <w:rPr>
              <w:color w:val="000000" w:themeColor="text1"/>
            </w:rPr>
            <w:instrText xml:space="preserve"> TOC \o "1-3" \h \z \u </w:instrText>
          </w:r>
          <w:r w:rsidRPr="00CC0B5B">
            <w:rPr>
              <w:color w:val="000000" w:themeColor="text1"/>
            </w:rPr>
            <w:fldChar w:fldCharType="separate"/>
          </w:r>
          <w:hyperlink w:anchor="_Toc226115318" w:history="1">
            <w:r w:rsidR="00CB3012" w:rsidRPr="001640A1">
              <w:rPr>
                <w:rStyle w:val="Hipercze"/>
                <w:rFonts w:cstheme="minorHAnsi"/>
                <w:bCs/>
                <w:noProof/>
              </w:rPr>
              <w:t>I.</w:t>
            </w:r>
            <w:r w:rsidR="00CB3012">
              <w:rPr>
                <w:rFonts w:eastAsiaTheme="minorEastAsia"/>
                <w:noProof/>
                <w:kern w:val="2"/>
                <w:sz w:val="24"/>
                <w:szCs w:val="24"/>
                <w:lang w:eastAsia="pl-PL"/>
                <w14:ligatures w14:val="standardContextual"/>
              </w:rPr>
              <w:tab/>
            </w:r>
            <w:r w:rsidR="00CB3012" w:rsidRPr="001640A1">
              <w:rPr>
                <w:rStyle w:val="Hipercze"/>
                <w:rFonts w:cstheme="minorHAnsi"/>
                <w:bCs/>
                <w:noProof/>
                <w:lang w:eastAsia="pl-PL"/>
              </w:rPr>
              <w:t>Oprogramowanie</w:t>
            </w:r>
            <w:r w:rsidR="00CB3012" w:rsidRPr="001640A1">
              <w:rPr>
                <w:rStyle w:val="Hipercze"/>
                <w:rFonts w:cstheme="minorHAnsi"/>
                <w:bCs/>
                <w:noProof/>
              </w:rPr>
              <w:t xml:space="preserve"> do wykonywania kopii zapasowych.</w:t>
            </w:r>
            <w:r w:rsidR="00CB3012">
              <w:rPr>
                <w:noProof/>
                <w:webHidden/>
              </w:rPr>
              <w:tab/>
            </w:r>
            <w:r w:rsidR="00CB3012">
              <w:rPr>
                <w:noProof/>
                <w:webHidden/>
              </w:rPr>
              <w:fldChar w:fldCharType="begin"/>
            </w:r>
            <w:r w:rsidR="00CB3012">
              <w:rPr>
                <w:noProof/>
                <w:webHidden/>
              </w:rPr>
              <w:instrText xml:space="preserve"> PAGEREF _Toc226115318 \h </w:instrText>
            </w:r>
            <w:r w:rsidR="00CB3012">
              <w:rPr>
                <w:noProof/>
                <w:webHidden/>
              </w:rPr>
            </w:r>
            <w:r w:rsidR="00CB3012">
              <w:rPr>
                <w:noProof/>
                <w:webHidden/>
              </w:rPr>
              <w:fldChar w:fldCharType="separate"/>
            </w:r>
            <w:r w:rsidR="00CB3012">
              <w:rPr>
                <w:noProof/>
                <w:webHidden/>
              </w:rPr>
              <w:t>2</w:t>
            </w:r>
            <w:r w:rsidR="00CB3012">
              <w:rPr>
                <w:noProof/>
                <w:webHidden/>
              </w:rPr>
              <w:fldChar w:fldCharType="end"/>
            </w:r>
          </w:hyperlink>
        </w:p>
        <w:p w14:paraId="69620A03" w14:textId="68378632" w:rsidR="00CB3012" w:rsidRDefault="006A668C">
          <w:pPr>
            <w:pStyle w:val="Spistreci2"/>
            <w:rPr>
              <w:rFonts w:eastAsiaTheme="minorEastAsia"/>
              <w:noProof/>
              <w:kern w:val="2"/>
              <w:sz w:val="24"/>
              <w:szCs w:val="24"/>
              <w:lang w:eastAsia="pl-PL"/>
              <w14:ligatures w14:val="standardContextual"/>
            </w:rPr>
          </w:pPr>
          <w:hyperlink w:anchor="_Toc226115319" w:history="1">
            <w:r w:rsidR="00CB3012" w:rsidRPr="001640A1">
              <w:rPr>
                <w:rStyle w:val="Hipercze"/>
                <w:rFonts w:cstheme="minorHAnsi"/>
                <w:bCs/>
                <w:noProof/>
              </w:rPr>
              <w:t>II.</w:t>
            </w:r>
            <w:r w:rsidR="00CB3012">
              <w:rPr>
                <w:rFonts w:eastAsiaTheme="minorEastAsia"/>
                <w:noProof/>
                <w:kern w:val="2"/>
                <w:sz w:val="24"/>
                <w:szCs w:val="24"/>
                <w:lang w:eastAsia="pl-PL"/>
                <w14:ligatures w14:val="standardContextual"/>
              </w:rPr>
              <w:tab/>
            </w:r>
            <w:r w:rsidR="00CB3012" w:rsidRPr="001640A1">
              <w:rPr>
                <w:rStyle w:val="Hipercze"/>
                <w:rFonts w:cstheme="minorHAnsi"/>
                <w:bCs/>
                <w:noProof/>
              </w:rPr>
              <w:t>Zapisy uzupełniające</w:t>
            </w:r>
            <w:r w:rsidR="00CB3012">
              <w:rPr>
                <w:noProof/>
                <w:webHidden/>
              </w:rPr>
              <w:tab/>
            </w:r>
            <w:r w:rsidR="00CB3012">
              <w:rPr>
                <w:noProof/>
                <w:webHidden/>
              </w:rPr>
              <w:fldChar w:fldCharType="begin"/>
            </w:r>
            <w:r w:rsidR="00CB3012">
              <w:rPr>
                <w:noProof/>
                <w:webHidden/>
              </w:rPr>
              <w:instrText xml:space="preserve"> PAGEREF _Toc226115319 \h </w:instrText>
            </w:r>
            <w:r w:rsidR="00CB3012">
              <w:rPr>
                <w:noProof/>
                <w:webHidden/>
              </w:rPr>
            </w:r>
            <w:r w:rsidR="00CB3012">
              <w:rPr>
                <w:noProof/>
                <w:webHidden/>
              </w:rPr>
              <w:fldChar w:fldCharType="separate"/>
            </w:r>
            <w:r w:rsidR="00CB3012">
              <w:rPr>
                <w:noProof/>
                <w:webHidden/>
              </w:rPr>
              <w:t>8</w:t>
            </w:r>
            <w:r w:rsidR="00CB3012">
              <w:rPr>
                <w:noProof/>
                <w:webHidden/>
              </w:rPr>
              <w:fldChar w:fldCharType="end"/>
            </w:r>
          </w:hyperlink>
        </w:p>
        <w:p w14:paraId="36921CD0" w14:textId="7126F572" w:rsidR="00AE1721" w:rsidRPr="00CC0B5B" w:rsidRDefault="00AE1721" w:rsidP="00FB5469">
          <w:pPr>
            <w:rPr>
              <w:rFonts w:cstheme="minorHAnsi"/>
              <w:color w:val="000000" w:themeColor="text1"/>
            </w:rPr>
          </w:pPr>
          <w:r w:rsidRPr="00CC0B5B">
            <w:rPr>
              <w:rFonts w:cstheme="minorHAnsi"/>
              <w:b/>
              <w:bCs/>
              <w:color w:val="000000" w:themeColor="text1"/>
            </w:rPr>
            <w:fldChar w:fldCharType="end"/>
          </w:r>
        </w:p>
      </w:sdtContent>
    </w:sdt>
    <w:p w14:paraId="1E681801" w14:textId="77777777" w:rsidR="00AE1721" w:rsidRPr="00CC0B5B" w:rsidRDefault="00AE1721" w:rsidP="00FB5469">
      <w:pPr>
        <w:rPr>
          <w:rFonts w:cstheme="minorHAnsi"/>
          <w:color w:val="000000" w:themeColor="text1"/>
        </w:rPr>
      </w:pPr>
    </w:p>
    <w:p w14:paraId="1A6D99EF" w14:textId="77777777" w:rsidR="00AE1721" w:rsidRPr="00CC0B5B" w:rsidRDefault="00AE1721" w:rsidP="00FB5469">
      <w:pPr>
        <w:rPr>
          <w:rFonts w:cstheme="minorHAnsi"/>
          <w:color w:val="000000" w:themeColor="text1"/>
        </w:rPr>
      </w:pPr>
      <w:r w:rsidRPr="00CC0B5B">
        <w:rPr>
          <w:rFonts w:cstheme="minorHAnsi"/>
          <w:color w:val="000000" w:themeColor="text1"/>
        </w:rPr>
        <w:br w:type="page"/>
      </w:r>
    </w:p>
    <w:p w14:paraId="79B728CF" w14:textId="77777777" w:rsidR="00AE1721" w:rsidRPr="00CC0B5B" w:rsidRDefault="00AE1721" w:rsidP="00FB5469">
      <w:pPr>
        <w:jc w:val="center"/>
        <w:rPr>
          <w:rFonts w:cstheme="minorHAnsi"/>
          <w:color w:val="000000" w:themeColor="text1"/>
        </w:rPr>
      </w:pPr>
    </w:p>
    <w:p w14:paraId="552C9374" w14:textId="77777777" w:rsidR="00413B5A" w:rsidRPr="00CC0B5B" w:rsidRDefault="00413B5A" w:rsidP="006A668C">
      <w:pPr>
        <w:pStyle w:val="Nagwek2"/>
        <w:numPr>
          <w:ilvl w:val="0"/>
          <w:numId w:val="4"/>
        </w:numPr>
        <w:spacing w:before="120" w:after="120" w:line="259" w:lineRule="auto"/>
        <w:ind w:left="426" w:hanging="426"/>
        <w:jc w:val="both"/>
        <w:rPr>
          <w:rFonts w:asciiTheme="minorHAnsi" w:hAnsiTheme="minorHAnsi" w:cstheme="minorHAnsi"/>
          <w:bCs/>
          <w:color w:val="000000" w:themeColor="text1"/>
          <w:sz w:val="22"/>
          <w:szCs w:val="22"/>
        </w:rPr>
      </w:pPr>
      <w:bookmarkStart w:id="1" w:name="_Toc226115318"/>
      <w:r w:rsidRPr="00CC0B5B">
        <w:rPr>
          <w:rFonts w:asciiTheme="minorHAnsi" w:hAnsiTheme="minorHAnsi" w:cstheme="minorHAnsi"/>
          <w:bCs/>
          <w:color w:val="000000" w:themeColor="text1"/>
          <w:sz w:val="22"/>
          <w:szCs w:val="22"/>
          <w:lang w:eastAsia="pl-PL"/>
        </w:rPr>
        <w:t>Oprogramowanie</w:t>
      </w:r>
      <w:r w:rsidRPr="00CC0B5B">
        <w:rPr>
          <w:rFonts w:asciiTheme="minorHAnsi" w:hAnsiTheme="minorHAnsi" w:cstheme="minorHAnsi"/>
          <w:bCs/>
          <w:color w:val="000000" w:themeColor="text1"/>
          <w:sz w:val="22"/>
          <w:szCs w:val="22"/>
        </w:rPr>
        <w:t xml:space="preserve"> do wykonywania kopii zapasowych.</w:t>
      </w:r>
      <w:bookmarkEnd w:id="1"/>
    </w:p>
    <w:p w14:paraId="68FDEF54" w14:textId="77777777" w:rsidR="00413B5A" w:rsidRPr="00CC0B5B" w:rsidRDefault="00413B5A"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Wymagania licencyjne</w:t>
      </w:r>
      <w:r w:rsidRPr="00CC0B5B">
        <w:rPr>
          <w:rFonts w:eastAsia="Times New Roman" w:cstheme="minorHAnsi"/>
          <w:color w:val="000000" w:themeColor="text1"/>
        </w:rPr>
        <w:t xml:space="preserve"> </w:t>
      </w:r>
    </w:p>
    <w:p w14:paraId="70D34694" w14:textId="77777777" w:rsidR="00413B5A" w:rsidRPr="00CC0B5B" w:rsidRDefault="00413B5A" w:rsidP="006A668C">
      <w:pPr>
        <w:pStyle w:val="Akapitzlist"/>
        <w:numPr>
          <w:ilvl w:val="0"/>
          <w:numId w:val="5"/>
        </w:numPr>
        <w:spacing w:after="0"/>
        <w:jc w:val="both"/>
        <w:rPr>
          <w:rFonts w:cstheme="minorHAnsi"/>
          <w:color w:val="000000" w:themeColor="text1"/>
        </w:rPr>
      </w:pPr>
      <w:r w:rsidRPr="00CC0B5B">
        <w:rPr>
          <w:rFonts w:eastAsia="Times New Roman" w:cstheme="minorHAnsi"/>
          <w:color w:val="000000" w:themeColor="text1"/>
        </w:rPr>
        <w:t>Oprogramowanie</w:t>
      </w:r>
      <w:r w:rsidRPr="00CC0B5B">
        <w:rPr>
          <w:rFonts w:cstheme="minorHAnsi"/>
          <w:color w:val="000000" w:themeColor="text1"/>
        </w:rPr>
        <w:t xml:space="preserve"> będzie dostarczony na licencji bezterminowej, która umożliwia na pełne wykorzystanie oprogramowania bez granicznej daty użytkownika.</w:t>
      </w:r>
    </w:p>
    <w:p w14:paraId="737FDC3D" w14:textId="19042C09" w:rsidR="006C5B1F" w:rsidRPr="00E20E01" w:rsidRDefault="00413B5A" w:rsidP="006A668C">
      <w:pPr>
        <w:pStyle w:val="Akapitzlist"/>
        <w:numPr>
          <w:ilvl w:val="0"/>
          <w:numId w:val="5"/>
        </w:numPr>
        <w:autoSpaceDE w:val="0"/>
        <w:autoSpaceDN w:val="0"/>
        <w:adjustRightInd w:val="0"/>
        <w:spacing w:after="0"/>
        <w:jc w:val="both"/>
        <w:rPr>
          <w:rFonts w:cstheme="minorHAnsi"/>
          <w:color w:val="000000" w:themeColor="text1"/>
        </w:rPr>
      </w:pPr>
      <w:r w:rsidRPr="00CC0B5B">
        <w:rPr>
          <w:rFonts w:eastAsia="Times New Roman" w:cstheme="minorHAnsi"/>
          <w:color w:val="000000" w:themeColor="text1"/>
        </w:rPr>
        <w:t xml:space="preserve">Oprogramowanie musi zapewniać możliwość wykonywania kopii zapasowych </w:t>
      </w:r>
      <w:r w:rsidR="001108A9" w:rsidRPr="00CC0B5B">
        <w:rPr>
          <w:rFonts w:eastAsia="Times New Roman" w:cstheme="minorHAnsi"/>
          <w:color w:val="000000" w:themeColor="text1"/>
        </w:rPr>
        <w:t xml:space="preserve">z </w:t>
      </w:r>
      <w:r w:rsidRPr="00CC0B5B">
        <w:rPr>
          <w:rFonts w:eastAsia="Times New Roman" w:cstheme="minorHAnsi"/>
          <w:color w:val="000000" w:themeColor="text1"/>
        </w:rPr>
        <w:t xml:space="preserve">min. </w:t>
      </w:r>
      <w:r w:rsidR="00AF2AF1" w:rsidRPr="00CC0B5B">
        <w:rPr>
          <w:rFonts w:eastAsia="Times New Roman" w:cstheme="minorHAnsi"/>
          <w:color w:val="000000" w:themeColor="text1"/>
        </w:rPr>
        <w:t>1</w:t>
      </w:r>
      <w:r w:rsidR="00440A06" w:rsidRPr="00CC0B5B">
        <w:rPr>
          <w:rFonts w:eastAsia="Times New Roman" w:cstheme="minorHAnsi"/>
          <w:color w:val="000000" w:themeColor="text1"/>
        </w:rPr>
        <w:t>5</w:t>
      </w:r>
      <w:r w:rsidRPr="00CC0B5B">
        <w:rPr>
          <w:rFonts w:eastAsia="Times New Roman" w:cstheme="minorHAnsi"/>
          <w:color w:val="000000" w:themeColor="text1"/>
        </w:rPr>
        <w:t xml:space="preserve"> maszyn wirtualnych oraz</w:t>
      </w:r>
      <w:r w:rsidR="004C4496" w:rsidRPr="00CC0B5B">
        <w:rPr>
          <w:rFonts w:eastAsia="Times New Roman" w:cstheme="minorHAnsi"/>
          <w:color w:val="000000" w:themeColor="text1"/>
        </w:rPr>
        <w:t xml:space="preserve"> </w:t>
      </w:r>
      <w:r w:rsidR="00AF2AF1" w:rsidRPr="00CC0B5B">
        <w:rPr>
          <w:rFonts w:eastAsia="Times New Roman" w:cstheme="minorHAnsi"/>
          <w:color w:val="000000" w:themeColor="text1"/>
        </w:rPr>
        <w:t>30</w:t>
      </w:r>
      <w:r w:rsidR="004C4496" w:rsidRPr="00CC0B5B">
        <w:rPr>
          <w:rFonts w:eastAsia="Times New Roman" w:cstheme="minorHAnsi"/>
          <w:color w:val="000000" w:themeColor="text1"/>
        </w:rPr>
        <w:t xml:space="preserve"> stacji roboczych</w:t>
      </w:r>
      <w:r w:rsidRPr="00CC0B5B">
        <w:rPr>
          <w:rFonts w:eastAsia="Times New Roman" w:cstheme="minorHAnsi"/>
          <w:color w:val="000000" w:themeColor="text1"/>
        </w:rPr>
        <w:t xml:space="preserve"> posiadać wsparcie producenta uprawniające do wykonywania aktualizacji i przejścia na nową wersję przez </w:t>
      </w:r>
      <w:r w:rsidRPr="00CC0B5B">
        <w:rPr>
          <w:rFonts w:eastAsia="Times New Roman" w:cstheme="minorHAnsi"/>
          <w:b/>
          <w:bCs/>
          <w:color w:val="000000" w:themeColor="text1"/>
        </w:rPr>
        <w:t>okres min. 12 miesięcy</w:t>
      </w:r>
      <w:r w:rsidR="00E02107">
        <w:rPr>
          <w:rFonts w:eastAsia="Times New Roman" w:cstheme="minorHAnsi"/>
          <w:b/>
          <w:bCs/>
          <w:color w:val="000000" w:themeColor="text1"/>
        </w:rPr>
        <w:t xml:space="preserve"> </w:t>
      </w:r>
      <w:r w:rsidR="00E02107" w:rsidRPr="00E02107">
        <w:rPr>
          <w:rFonts w:eastAsia="Times New Roman" w:cstheme="minorHAnsi"/>
          <w:b/>
          <w:bCs/>
          <w:color w:val="000000" w:themeColor="text1"/>
        </w:rPr>
        <w:t>z możliwością przedłużenia</w:t>
      </w:r>
    </w:p>
    <w:p w14:paraId="3FF8551A" w14:textId="77777777"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Wymagania ogólne</w:t>
      </w:r>
    </w:p>
    <w:p w14:paraId="0FE0E5CD" w14:textId="77777777" w:rsidR="006C5B1F" w:rsidRPr="00CC0B5B" w:rsidRDefault="006C5B1F" w:rsidP="006A668C">
      <w:pPr>
        <w:pStyle w:val="Bezodstpw"/>
        <w:numPr>
          <w:ilvl w:val="0"/>
          <w:numId w:val="6"/>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współpracować z infrastrukturą VMware w wersji 6.x, 7.x i 8.0 oraz Microsoft Hyper-V 2012, 2012R2, 2016, 2019, 2022 i 2025. Wszystkie funkcjonalności w specyfikacji muszą być dostępne na wszystkich wspieranych platformach wirtualizacyjnych, chyba, że wyszczególniono inaczej</w:t>
      </w:r>
    </w:p>
    <w:p w14:paraId="41DCAC62" w14:textId="77777777" w:rsidR="006C5B1F" w:rsidRPr="00CC0B5B" w:rsidRDefault="006C5B1F" w:rsidP="006A668C">
      <w:pPr>
        <w:pStyle w:val="Bezodstpw"/>
        <w:numPr>
          <w:ilvl w:val="0"/>
          <w:numId w:val="6"/>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Oprogramowanie musi współpracować z infrastrukturą Nutanix w wersji 6.5.x - 7.0, Red Hat Virtualization 4.4 SP1, Oracle Linux Virtualization 4.5.4 lub nowszy oraz Proxmox VE 8.2 lub nowszy. </w:t>
      </w:r>
    </w:p>
    <w:p w14:paraId="49CE0D4F" w14:textId="77777777" w:rsidR="006C5B1F" w:rsidRPr="00CC0B5B" w:rsidRDefault="006C5B1F" w:rsidP="006A668C">
      <w:pPr>
        <w:pStyle w:val="Bezodstpw"/>
        <w:numPr>
          <w:ilvl w:val="0"/>
          <w:numId w:val="6"/>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zapewniać tworzenie kopii zapasowych z sieciowych urządzeń plikowych NAS opartych o SMB, CIFS i/lub NFS, obiektowych pamięci masowych kompatybilnych z Microsoft Azure, Microsoft Azure Data Lake, AWS S3 i urządzeń kompatybilnych z protokołem S3 oraz bezpośrednio z serwerów plikowych opartych o Windows i Linux.</w:t>
      </w:r>
    </w:p>
    <w:p w14:paraId="67FE79AE" w14:textId="77777777"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Całkowite koszty posiadania</w:t>
      </w:r>
    </w:p>
    <w:p w14:paraId="61CBAE1D"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być niezależne sprzętowo i umożliwiać wykorzystanie dowolnej platformy serwerowej i dyskowej</w:t>
      </w:r>
    </w:p>
    <w:p w14:paraId="5DE38419"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tworzyć “samowystarczalne” archiwa do odzyskania których nie wymagana jest osobna baza danych z metadanymi deduplikowanych bloków</w:t>
      </w:r>
    </w:p>
    <w:p w14:paraId="7C4F9828"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mechanizmy deduplikacji i kompresji w celu zmniejszenia wielkości archiwów. Włączenie tych mechanizmów nie może skutkować utratą jakichkolwiek funkcjonalności wymienionych w tej specyfikacji</w:t>
      </w:r>
    </w:p>
    <w:p w14:paraId="148D3803"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14:paraId="08AA79C6"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zapewniać warstwę abstrakcji nad poszczególnymi urządzeniami pamięci masowej, pozwalając utworzyć jedną wirtualną pulę pamięci na kopie zapasowe. Wymagane jest wsparcie dla co najmniej trzech pamięci masowych dla takiej puli.</w:t>
      </w:r>
    </w:p>
    <w:p w14:paraId="0F0E5AA1"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pozwalać na przechowywanie kopii bezpieczeństwa w chmurze producenta.</w:t>
      </w:r>
    </w:p>
    <w:p w14:paraId="34B780B8"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bookmarkStart w:id="2" w:name="RANGE!B14"/>
      <w:r w:rsidRPr="00CC0B5B">
        <w:rPr>
          <w:rFonts w:asciiTheme="minorHAnsi" w:hAnsiTheme="minorHAnsi" w:cstheme="minorHAnsi"/>
          <w:color w:val="000000" w:themeColor="text1"/>
          <w:sz w:val="22"/>
          <w:szCs w:val="22"/>
          <w:lang w:val="pl-PL"/>
        </w:rPr>
        <w:t>Oprogramowanie musi pozwalać na tworzenie repozytorium kopii zapasowych bezpośrednio na zasobach Microsoft Azure Blob, Google Cloud Storage, Amazon S3, Wasabi Cloud Storage oraz na innych kompatybilnych z S3 przestrzeniach obiektowych. Dodatkowo, oprogramowanie musi wspierać archiwizowanie tych danych do Microsoft Azure Archive Blob Storage oraz Amazon S3 Glacier.</w:t>
      </w:r>
    </w:p>
    <w:bookmarkEnd w:id="2"/>
    <w:p w14:paraId="7ED1EF74"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Oprogramowanie musi wspierać niezmienność kopii zapasowych na potrzeby ochrony przed ransomware poprzez niedopuszczenie do usunięcia lub modyfikacji kopii zapasowej w zadanym czasie. </w:t>
      </w:r>
    </w:p>
    <w:p w14:paraId="56DC2276"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nie może instalować żadnych stałych agentów wymagających wdrożenia czy upgradowania wewnątrz maszyny wirtualnej dla jakichkolwiek funkcjonalności backupu lub odtwarzania</w:t>
      </w:r>
    </w:p>
    <w:p w14:paraId="5622E34E"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oferować portal samoobsługowy, umożliwiający odtwarzanie użytkownikom wirtualnych maszyn, obiektów MS Exchange i baz danych MS SQL, Oracle oraz PostgreSQL (w tym odtwarzanie point-in-time)</w:t>
      </w:r>
    </w:p>
    <w:p w14:paraId="13770A65"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zapewniać możliwość delegacji uprawnień do odtwarzania na portalu</w:t>
      </w:r>
    </w:p>
    <w:p w14:paraId="58D67D1C"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integracji z innymi systemami poprzez wbudowane RESTful API</w:t>
      </w:r>
    </w:p>
    <w:p w14:paraId="378A92C2"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lastRenderedPageBreak/>
        <w:t>Oprogramowanie musi mieć wbudowane mechanizmy backupu konfiguracji w celu prostego odtworzenia systemu po całkowitej reinstalacji</w:t>
      </w:r>
    </w:p>
    <w:p w14:paraId="5A2CF26B"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wbudowane mechanizmy szyfrowania zarówno plików z backupami jak i transmisji sieciowej. Włączenie szyfrowania nie może skutkować utratą jakiejkolwiek funkcjonalności wymienionej w tej specyfikacji</w:t>
      </w:r>
    </w:p>
    <w:p w14:paraId="095CD9D4"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mechanizmy chroniące przed utratą hasła szyfrowania</w:t>
      </w:r>
    </w:p>
    <w:p w14:paraId="4A1D3D28"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architekturę klient/serwer z możliwością instalacji wielu instancji konsoli administracyjnych.</w:t>
      </w:r>
    </w:p>
    <w:p w14:paraId="5EC008A3"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natywne mechanizmy uwierzytelniania wieloskładnikowego (MFA) w celu dostępu do konsoli administracyjnej</w:t>
      </w:r>
    </w:p>
    <w:p w14:paraId="08183EA5"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wymagać autoryzacji dwóch administratorów backupu do wykonania krytycznych operacji (np. skasowanie backupu, dodanie kolejnego administratora)</w:t>
      </w:r>
    </w:p>
    <w:p w14:paraId="2527E2DC"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integracje z systemami zarządzania kluczami szyfrującymi (KMS)</w:t>
      </w:r>
    </w:p>
    <w:p w14:paraId="0636DE21"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integracje z systemami typu SIEM</w:t>
      </w:r>
    </w:p>
    <w:p w14:paraId="01F4410E" w14:textId="77777777" w:rsidR="006C5B1F" w:rsidRPr="00CC0B5B" w:rsidRDefault="006C5B1F" w:rsidP="006A668C">
      <w:pPr>
        <w:pStyle w:val="Bezodstpw"/>
        <w:numPr>
          <w:ilvl w:val="0"/>
          <w:numId w:val="13"/>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asystenta produktu opartego o AI, pozwalającego na przeszukiwanie dokumentacji technicznej. Powinna istnieć możliwość wyłączenia tej opcji.</w:t>
      </w:r>
    </w:p>
    <w:p w14:paraId="76ADBDAC" w14:textId="77777777"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Wymagania RPO</w:t>
      </w:r>
    </w:p>
    <w:p w14:paraId="7AE82981"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wykorzystywać mechanizmy Change Block Tracking na wszystkich wspieranych platformach wirtualizacyjnych. Mechanizmy muszą być certyfikowane przez dostawcę platformy wirtualizacyjnej</w:t>
      </w:r>
    </w:p>
    <w:p w14:paraId="378D37BE"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wykorzystywać mechanizmy śledzenia zmienionych plików przy zabezpieczaniu udziałów plikowych.</w:t>
      </w:r>
    </w:p>
    <w:p w14:paraId="3FA053DB"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oferować możliwość sterowania obciążeniem storage'u produkcyjnego tak aby nie przekraczane były skonfigurowane przez administratora backupu poziomy latencji. Funkcjonalność ta musi być dostępna co najmniej dla platformy VMware i Hyper-V</w:t>
      </w:r>
    </w:p>
    <w:p w14:paraId="04BDDE9D"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zapewniać tworzenie kopii zapasowych z bezpośrednim wykorzystaniem snapshotów macierzowych. Musi też zapewniać odtwarzanie maszyn wirtualnych z takich snapshotów. Proces wykonania kopii zapasowej nie może wymagać użycia jakichkolwiek hostów tymczasowych. Opisana funkcjonalność powinna działać w środowisku VMware.</w:t>
      </w:r>
    </w:p>
    <w:p w14:paraId="0311EFA7"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wsparcie dla VMware vSAN potwierdzone odpowiednią certyfikacją VMware.</w:t>
      </w:r>
    </w:p>
    <w:p w14:paraId="62237923"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kopiowanie backupów oraz zasobów plikowych na taśmy (LTO oraz IBM 3592).</w:t>
      </w:r>
    </w:p>
    <w:p w14:paraId="05EB18A6"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tworzenia retencji GFS (Grandfather-Father-Son)</w:t>
      </w:r>
    </w:p>
    <w:p w14:paraId="271D561F"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Oprogramowanie musi wspierać bezpośrednią integrację z urządzeniami deduplikacyjnymi. Minimalnie wsparcie wymagane dla Dell DataDomain, HPE StoreOnce, ExaGrid, Fujitsu CS800, Quantum DXi oraz Infinidat InfiniGuard. </w:t>
      </w:r>
    </w:p>
    <w:p w14:paraId="2B7DB77C"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BlockClone API w przypadku użycia Windows Server 2016, 2019 lub 2022 z systemem pliku ReFS jako repozytorium backupu. Podobna funkcjonalność musi być zapewniona dla repozytoriów opartych o linuxowy system plików XFS.</w:t>
      </w:r>
    </w:p>
    <w:p w14:paraId="10F4C9D2"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kopiowania backupów oraz replikacji wirtualnych maszyn z wykorzystaniem wbudowanej akceleracji WAN.</w:t>
      </w:r>
    </w:p>
    <w:p w14:paraId="19EF327E"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replikacji asynchronicznej włączonych wirtualnych maszyn bezpośrednio z infrastruktury VMware vSphere pomiędzy hostami ESXi oraz pomiędzy hostami Hyper-V. Dodatkowo oprogramowanie musi mieć możliwość użycia plików kopii zapasowych jako źródła replikacji.</w:t>
      </w:r>
    </w:p>
    <w:p w14:paraId="0870BDE7"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Oprogramowanie musi mieć możliwość replikacji ciągłej, opartej o VMware VAIO, włączonych wirtualnych maszyn bezpośrednio z infrastruktury VMware vSphere. Dla replikacji ciągłej musi być możliwość </w:t>
      </w:r>
      <w:r w:rsidRPr="00CC0B5B">
        <w:rPr>
          <w:rFonts w:asciiTheme="minorHAnsi" w:hAnsiTheme="minorHAnsi" w:cstheme="minorHAnsi"/>
          <w:color w:val="000000" w:themeColor="text1"/>
          <w:sz w:val="22"/>
          <w:szCs w:val="22"/>
          <w:lang w:val="pl-PL"/>
        </w:rPr>
        <w:lastRenderedPageBreak/>
        <w:t>zdefiniowania dziennika pozwalającego na odzyskanie danych z dowolnego punku w ramach ustalonego parametru RPO.</w:t>
      </w:r>
    </w:p>
    <w:p w14:paraId="68320E3F"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przechowywanie punktów przywracania dla replik</w:t>
      </w:r>
    </w:p>
    <w:p w14:paraId="63598417"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wykorzystanie istniejących w infrastrukturze wirtualnych maszyn jako źródła do dalszej replikacji (replica seeding)</w:t>
      </w:r>
    </w:p>
    <w:p w14:paraId="7C2D5432" w14:textId="77777777" w:rsidR="006C5B1F" w:rsidRPr="00CC0B5B" w:rsidRDefault="006C5B1F" w:rsidP="006A668C">
      <w:pPr>
        <w:pStyle w:val="Bezodstpw"/>
        <w:numPr>
          <w:ilvl w:val="0"/>
          <w:numId w:val="12"/>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wykorzystywać wszystkie oferowane przez hypervisor tryby transportu (sieć, hot-add, LAN Free-SAN)</w:t>
      </w:r>
    </w:p>
    <w:p w14:paraId="2B99B41A" w14:textId="6A4DE14E"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Wymagania RTO</w:t>
      </w:r>
    </w:p>
    <w:p w14:paraId="207F4F04"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jednoczesne uruchomienie wielu maszyn wirtualnych bezpośrednio ze zdeduplikowanego i skompresowanego pliku backupu, z dowolnego punktu przywracania, bez potrzeby kopiowania jej na storage produkcyjny. Funkcjonalność musi być oferowana dla środowisk VMware, Hyper-V oraz Nutanix AHV niezależnie od rodzaju storage’u użytego do przechowywania kopii zapasowych.</w:t>
      </w:r>
    </w:p>
    <w:p w14:paraId="4F0712A9"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Dodatkowo dla środowiska vSphere, Hyper-V i Nutanix AHV powyższa funkcjonalność powinna umożliwiać uruchomianie backupu z innych platform (inne wirtualizatory, maszyny fizyczne oraz chmura publiczna).</w:t>
      </w:r>
    </w:p>
    <w:p w14:paraId="5D63BECD"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pozwalać na migrację on-line tak uruchomionych maszyn na storage produkcyjny. Migracja powinna odbywać się mechanizmami wbudowanymi w hypervisor. Jeżeli licencja na hypervisor nie posiada takich funkcjonalności - oprogramowanie musi realizować taką migrację swoimi mechanizmami.</w:t>
      </w:r>
    </w:p>
    <w:p w14:paraId="569B9D68"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pozwalać na zaprezentowanie pojedynczego dysku bezpośrednio z kopii zapasowej do wybranej działającej maszyny wirtualnej vSpehre.</w:t>
      </w:r>
    </w:p>
    <w:p w14:paraId="2AF27DF1"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pozwalać na uruchomienie zasobów plikowych SMB oraz baz danych MS SQL, Oracle i PostgreSQL bezpośrednio ze skompresowanego i skompresowanego pliku backupu. Dodatkowo wspierana musi być migracja on-line tak uruchomionych zasobów na środowisko produkcyjne.</w:t>
      </w:r>
    </w:p>
    <w:p w14:paraId="33D65441"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pełne odtworzenie wirtualnej maszyny, plików konfiguracji i dysków.</w:t>
      </w:r>
    </w:p>
    <w:p w14:paraId="406B02F3"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pełne odtworzenie wirtualnej maszyny bezpośrednio do Microsoft Azure, Microsoft Azure Stack, Amazon EC2 oraz Google Cloud Platform.</w:t>
      </w:r>
    </w:p>
    <w:p w14:paraId="645D0D1A"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60CC7CB4"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odtworzenia plików bezpośrednio do maszyny wirtualnej poprzez sieć, przy pomocy natywnego API dla platformy VMware i PowerShell Direct dla platformy Hyper-V.</w:t>
      </w:r>
    </w:p>
    <w:p w14:paraId="1FD8F290"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odtwarzanie pojedynczych plików z systemów Windows, Linux, BSD, Solaris, Mac, Novell</w:t>
      </w:r>
    </w:p>
    <w:p w14:paraId="60DE4ABD"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przywracanie plików z partycji Linux LVM</w:t>
      </w:r>
    </w:p>
    <w:p w14:paraId="4AE618FD"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szybkie granularne odtwarzanie obiektów aplikacji bez użycia jakiegokolwiek agenta zainstalowanego wewnątrz maszyny wirtualnej.</w:t>
      </w:r>
    </w:p>
    <w:p w14:paraId="78598410"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Oprogramowanie musi wspierać granularne odtwarzanie obiektów Active Directory takich jak konta komputerów, konta użytkowników, dowolnych atrybutów, rekordów DNS zintegrowanych z AD, Microsoft System Objects, certyfikatów CA, elementów AD Sites oraz pozwalać na odtworzenie haseł. </w:t>
      </w:r>
    </w:p>
    <w:p w14:paraId="1D2C5812"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pozwalać na backup i odtwarzanie usługi Entra ID. W szczególności użytkowników, grupy, role, jednostki administracyjne, enterprise applications oraz logi audytowe i sign-in.</w:t>
      </w:r>
    </w:p>
    <w:p w14:paraId="493B6090"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Microsoft Exchange 2013 SP1 i nowszych (dowolny obiekt w tym obiekty w folderze "Permanently Deleted Objects"). Odtwarzanie musi być możliwe bezpośrednio do środowiska produkcyjnego.</w:t>
      </w:r>
    </w:p>
    <w:p w14:paraId="05F44CBB"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Microsoft SQL 2008 i nowszych. Odtwarzanie musi być możliwe bezpośrednio do środowiska produkcyjnego dla odzysku point-in-time, całych baz lub pojedynczych tabeli, widoków oraz procedur.</w:t>
      </w:r>
    </w:p>
    <w:p w14:paraId="0830624D"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lastRenderedPageBreak/>
        <w:t>Oprogramowanie musi wspierać granularne odtwarzanie Microsoft Sharepoint 2013 i nowszych. Odtwarzanie musi być możliwe bezpośrednio do środowiska produkcyjnego dla odzysku całych witryn, bibliotek oraz pojedynczych dokumentów wraz z historią ich wersji.</w:t>
      </w:r>
    </w:p>
    <w:p w14:paraId="4337D893"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baz danych Oracle z opcją odtwarzanie point-in-time wraz z włączonym Oracle DataGuard. Funkcjonalność ta musi być dostępna dla baz uruchomionych w środowiskach Windows oraz Linux.</w:t>
      </w:r>
    </w:p>
    <w:p w14:paraId="507C4682"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baz danych PostgreSQL z opcją odtwarzanie point-in-time. Funkcjonalność ta musi być dostępna dla baz uruchomionych w środowiskach Linux.</w:t>
      </w:r>
    </w:p>
    <w:p w14:paraId="4AA9D187"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baz danych MongoDB. Funkcjonalność ta musi być dostępna dla baz uruchomionych w środowiskach Linux.</w:t>
      </w:r>
    </w:p>
    <w:p w14:paraId="6FD7FBE3"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granularne odtwarzanie baz danych SAP HANA do oryginalnej lub innej lokalizacji</w:t>
      </w:r>
    </w:p>
    <w:p w14:paraId="4BE7171E"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natywną integrację dla backupów wykonywanych poprzez Oracle RMAN</w:t>
      </w:r>
    </w:p>
    <w:p w14:paraId="7B6ECA36"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natywną integrację dla backupów wykonywanych poprzez SAP HANA, SAP Oracle</w:t>
      </w:r>
    </w:p>
    <w:p w14:paraId="64508488"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natywną integrację dla backupów wykonywanych poprzez MS SQL VDI</w:t>
      </w:r>
    </w:p>
    <w:p w14:paraId="7FF94C9D"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natywną integrację dla backupów wykonywanych poprzez IBM DB2</w:t>
      </w:r>
    </w:p>
    <w:p w14:paraId="19FD22DE" w14:textId="77777777" w:rsidR="006C5B1F" w:rsidRPr="00CC0B5B" w:rsidRDefault="006C5B1F" w:rsidP="006A668C">
      <w:pPr>
        <w:pStyle w:val="Bezodstpw"/>
        <w:numPr>
          <w:ilvl w:val="0"/>
          <w:numId w:val="11"/>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także specyficzne metody odtwarzania w tym "reverse CBT" oraz odtwarzanie z wykorzystaniem sieci SAN</w:t>
      </w:r>
    </w:p>
    <w:p w14:paraId="1F2F4DA1" w14:textId="6C68AE40"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Ograniczenie ryzyka</w:t>
      </w:r>
    </w:p>
    <w:p w14:paraId="74C1EF0E"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dawać możliwość stworzenia laboratorium (izolowane środowisko) dla vSphere i Hyper-V używając wirtualnych maszyn uruchamianych bezpośrednio z plików backupu. Powyższa funkcjonalność powinna umożliwiać uruchomianie backupu z innych platform (inne wirtualizatory, maszyny fizyczne oraz chmura publiczna).</w:t>
      </w:r>
    </w:p>
    <w:p w14:paraId="4EFCD68F"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Dla VMware’a oprogramowanie musi pozwalać na uruchomienie takiego środowiska dla replik maszyn wirtualnych.</w:t>
      </w:r>
    </w:p>
    <w:p w14:paraId="54C00A22"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6651A08D"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integrację z oprogramowaniem antywirusowym w celu wykonania skanu zawartości pliku backupowego przed odtworzeniem jakichkolwiek danych. Integracja musi być zapewniona minimalnie dla Windows Defender, Symantec Protection Engine oraz ESET NOD32.</w:t>
      </w:r>
    </w:p>
    <w:p w14:paraId="64893822"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swój wbudowany program antywirusowy zoptymalizowany do przeszukiwania kopii backpowych</w:t>
      </w:r>
    </w:p>
    <w:p w14:paraId="7F3B544D"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analizować indeksy systemów plików zabezpieczanych maszyn w poszukiwaniu rozszerzeń, notatek żądania okupu oraz innych oznak obecności ransomware/malware</w:t>
      </w:r>
    </w:p>
    <w:p w14:paraId="221E1A04"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skanowania plików backupu przy pomocy znanych sygnatur złośliwego oprogramowania</w:t>
      </w:r>
    </w:p>
    <w:p w14:paraId="77D8D1A8"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bazując na wyuczonym modelu maszynowym (machine learning) musi w locie wykrywać oznaki złośliwego oprogramowania (malware, ransomware) oraz cyberataków</w:t>
      </w:r>
    </w:p>
    <w:p w14:paraId="53F021CD"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posiadać mechanizm wykrywania oznak ataku hakerskiego tzw. Indicators of Compromise</w:t>
      </w:r>
    </w:p>
    <w:p w14:paraId="3E4D9468"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umożliwiać dwuetapowe, automatyczne, odtwarzanie maszyn wirtualnych z możliwością wstrzyknięcia dowolnego skryptu przed odtworzeniem danych do środowiska produkcyjnego.</w:t>
      </w:r>
    </w:p>
    <w:p w14:paraId="414338F1" w14:textId="77777777" w:rsidR="006C5B1F" w:rsidRPr="00CC0B5B" w:rsidRDefault="006C5B1F" w:rsidP="006A668C">
      <w:pPr>
        <w:pStyle w:val="Bezodstpw"/>
        <w:numPr>
          <w:ilvl w:val="0"/>
          <w:numId w:val="10"/>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mieć możliwość integracji z innymi systemami bezpieczeństwa – minimum Splunk, Palo Alto Networks XSOAR</w:t>
      </w:r>
    </w:p>
    <w:p w14:paraId="4AEC4340" w14:textId="70C52789"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lastRenderedPageBreak/>
        <w:t>Środowiska fizyczne</w:t>
      </w:r>
    </w:p>
    <w:p w14:paraId="64DCD5F3"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wykonywać kopię zapasową systemu Windows oraz Linux wykorzystując agenta znajdującego się wewnątrz systemu operacyjnego</w:t>
      </w:r>
    </w:p>
    <w:p w14:paraId="0708B41B"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systemy operacyjne Windows w wersjach klienckich oraz serwerowych</w:t>
      </w:r>
    </w:p>
    <w:p w14:paraId="73F227B4"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co najmniej następujące dystrybucje systemów Linux: Debian, Ubuntu, RHEL, CentOS, Oracle Linux, SLES, Fedora, openSUSE, Rocky Linux, AlmaLinux</w:t>
      </w:r>
    </w:p>
    <w:p w14:paraId="2BEA1190"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system operacyjny macOS</w:t>
      </w:r>
    </w:p>
    <w:p w14:paraId="4DB08DD0"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Oprogramowanie musi wspierać odtwarzanie pojedynczych plików z systemów Windows, Linux, MacOS, Unix</w:t>
      </w:r>
    </w:p>
    <w:p w14:paraId="093D4FDD"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mieć możliwość instalacji oraz zarządzania wykorzystując tryb niezależny (per agent) jak również zcentralizowany (poprzez centralną konsolę zarządzającą)</w:t>
      </w:r>
    </w:p>
    <w:p w14:paraId="102D88F6"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systemy oparte o Microsoft Failover Cluster</w:t>
      </w:r>
    </w:p>
    <w:p w14:paraId="3DEBF745"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zabezpieczanie do oraz odzyskiwanie z urządzeń blokowych pozwalając na odzysk całej maszyny (tzw. bare metal recovery) wybranych wolumenów, oraz wybranych plików i folderów</w:t>
      </w:r>
    </w:p>
    <w:p w14:paraId="2079EADC"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backup podłączonych dysków USB</w:t>
      </w:r>
    </w:p>
    <w:p w14:paraId="0033B6C5"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Kopia zapasowa całej maszyny oraz pojedynczych wolumenów musi być wykonywana na poziomie blokowym</w:t>
      </w:r>
    </w:p>
    <w:p w14:paraId="5AF7438F"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pozwalać na przechowywanie kopii zapasowych na zasobach lokalnych (wewnętrznych) dyskach zabezpieczanej maszyny, Direct Attached Storage (DAS), takich jak zewnętrzne dyski USB, eSATA lub Firewire, Network Attached Storage (NAS) pozwalającym na wystawienie swoich zasobów poprzez SMB (CIFS) lub NFS, bezpośrednio na zasobach obiektowych (w tym chmury)</w:t>
      </w:r>
    </w:p>
    <w:p w14:paraId="5AE7B44B"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Rozwiązanie musi wspierać deduplikację oraz kompresję na źródle. Dane wysyłane na repozytorium muszą być już odpowiednio przetworzone </w:t>
      </w:r>
    </w:p>
    <w:p w14:paraId="05FC8654"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kontrolę pasma sieciowego</w:t>
      </w:r>
    </w:p>
    <w:p w14:paraId="43B9F944"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ograniczenie wykonywania backupów dla konkretnych sieci bezprzewodowych</w:t>
      </w:r>
    </w:p>
    <w:p w14:paraId="509C7ABF"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ograniczenia wykonywania backupów dla połączeń VPN</w:t>
      </w:r>
    </w:p>
    <w:p w14:paraId="1E1DD172"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śledzenie zmienionych bloków podczas wykonywania kopii zapasowych. Dla systemów Windows technologia śledzenia bloków dla systemów serwerowych musi być certyfikowana przez Microsoft</w:t>
      </w:r>
    </w:p>
    <w:p w14:paraId="78F8D701"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technologię BitLocker</w:t>
      </w:r>
    </w:p>
    <w:p w14:paraId="7D5D4456"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uruchamianie z nośnika odtwarzania</w:t>
      </w:r>
    </w:p>
    <w:p w14:paraId="7E13848F"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odzysk pojedynczych elementów aplikacji z jednoprzebiegowej kopii zapasowej dla Microsoft Exchange 2013 SP1 i nowszych, Microsoft Active Directory 2008 i nowszych, Microsoft Sharepoint 2013 i nowszych, Microsoft SQL 2008 i nowszych, Oracle 11g i nowszych oraz PostgreSQL 12 i nowszych</w:t>
      </w:r>
    </w:p>
    <w:p w14:paraId="4DD162C0"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Rozwiązanie musi wspierać odzysk do konkretnego punktu w czasie (point-in-time) dla wspieranych systemów bazodanowych </w:t>
      </w:r>
    </w:p>
    <w:p w14:paraId="74C642E1"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 xml:space="preserve">Rozwiązanie musi umożliwiać natychmiastowe publikowanie baz MS SQL, Oracle i PostgreSQL poprzez bezpośrednie uruchomienie ich z pliku backupu. </w:t>
      </w:r>
    </w:p>
    <w:p w14:paraId="7500977D"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odzysk obrazów kopii zapasowych bezpośrednio do vSphere, Hyper-V, Nutanix AHV, Microsoft Azure, Microsoft Azure Stack, Amazon EC2 oraz Google Cloud Platform</w:t>
      </w:r>
    </w:p>
    <w:p w14:paraId="32C08A07"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szyfrowanie</w:t>
      </w:r>
    </w:p>
    <w:p w14:paraId="1F7BEC83"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wspierać możliwość wykonywania kopii zapasowych stacji klienckich, lokalnie do repozytorium tymczasowego (cache) gdy połączenie sieciowe do głównego repozytorium kopii zapasowych jest niedostępne</w:t>
      </w:r>
    </w:p>
    <w:p w14:paraId="702D1961"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posiadać funkcjonalność automatycznego zmniejszenia szybkości przetwarzania danych, aby nie dopuścić do obniżenia wydajności systemu zabezpieczanego</w:t>
      </w:r>
    </w:p>
    <w:p w14:paraId="0D339C7F"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Rozwiązanie musi posiadać ochronę przed ransomware poprzez automatyczne odmontowanie nośnika po wykonanym backupie stacji klienckiej</w:t>
      </w:r>
    </w:p>
    <w:p w14:paraId="10076A2A" w14:textId="77777777" w:rsidR="006C5B1F" w:rsidRPr="00CC0B5B" w:rsidRDefault="006C5B1F" w:rsidP="006A668C">
      <w:pPr>
        <w:pStyle w:val="Bezodstpw"/>
        <w:numPr>
          <w:ilvl w:val="0"/>
          <w:numId w:val="9"/>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lastRenderedPageBreak/>
        <w:t>Rozwiązanie musi wspierać tworzenie wielu zadań backupowych</w:t>
      </w:r>
    </w:p>
    <w:p w14:paraId="07807F50" w14:textId="3D0BE005" w:rsidR="006C5B1F" w:rsidRPr="00CC0B5B"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Monitoring</w:t>
      </w:r>
    </w:p>
    <w:p w14:paraId="67A0E06C"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zapewnić możliwość monitorowania środowiska wirtualizacyjnego opartego na VMware vSphere i Microsoft Hyper-V bez potrzeby korzystania z narzędzi firm trzecich.</w:t>
      </w:r>
    </w:p>
    <w:p w14:paraId="21CE9090"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monitorowanie środowiska wirtualizacyjnego VMware w wersji 6.x, 7.x oraz 8.0 – zarówno w bezpłatnej wersji ESXi jak i w pełnej wersji ESX/ESXi zarządzane przez konsole vCenter Server lub pracujące samodzielnie.</w:t>
      </w:r>
    </w:p>
    <w:p w14:paraId="0C8CAB6C"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monitorowanie środowiska wirtualizacyjnego Microsoft Hyper-V 2012, 2012R2, 2016, 2019, 2022 oraz 2025 zarówno w wersji darmowej jak i zawartej w płatnej licencji Microsoft Windows Server zarządzane poprzez System Center Virtual Machine Manager lub pracujące samodzielnie.</w:t>
      </w:r>
    </w:p>
    <w:p w14:paraId="0B99102D"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kategoryzacje obiektów infrastruktury wirtualnej niezależnie od hierarchii stworzonej w vCenter.</w:t>
      </w:r>
    </w:p>
    <w:p w14:paraId="0A0E3BD5"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tworzenie alarmów dla całych grup wirtualnych maszyn jak i pojedynczych wirtualnych maszyn.</w:t>
      </w:r>
    </w:p>
    <w:p w14:paraId="5F1A17AB"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dawać możliwość układania terminarza raportów i wysyłania tych raportów przy pomocy poczty elektronicznej w formacie HTML oraz Excel.</w:t>
      </w:r>
    </w:p>
    <w:p w14:paraId="070AEB4B"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dawać możliwość podłączenia się do kilku instancji vCenter Server i serwerów Hyper-V jednocześnie, w celu centralnego monitorowania wielu środowisk.</w:t>
      </w:r>
    </w:p>
    <w:p w14:paraId="48F14C80"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wbudowane predefiniowane zestawy alarmów wraz z możliwością tworzenia własnych alarmów i zdarzeń przez administratora.</w:t>
      </w:r>
    </w:p>
    <w:p w14:paraId="6C10A370"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wbudowane połączenie z bazą wiedzy opisującą problemy z predefiniowanych alarmów.</w:t>
      </w:r>
    </w:p>
    <w:p w14:paraId="555AF0D4"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centralną konsolę z sumarycznym podglądem wszystkich obiektów infrastruktury wirtualnej (ang. Dashboard).</w:t>
      </w:r>
    </w:p>
    <w:p w14:paraId="1CD5D9A6"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monitorowania platformy sprzętowej, na której jest zainstalowana infrastruktura wirtualna.</w:t>
      </w:r>
    </w:p>
    <w:p w14:paraId="530B669B"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zapewnić możliwość podłączenia się do wirtualnej maszyny (tryb konsoli) bezpośrednio z narzędzia monitorującego.</w:t>
      </w:r>
    </w:p>
    <w:p w14:paraId="776C3613"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integracji z oprogramowaniem do tworzenia kopii zapasowych tego samego producenta.</w:t>
      </w:r>
    </w:p>
    <w:p w14:paraId="0D637B14"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monitorowania obciążenia serwerów backupowych, ilości zabezpieczanych danych oraz statusu zadań kopii zapasowych, replikacji oraz weryfikacji odzyskiwalności maszyn wirtualnych.</w:t>
      </w:r>
    </w:p>
    <w:p w14:paraId="3C7571A0"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0094EC48" w14:textId="77777777" w:rsidR="006C5B1F" w:rsidRPr="00CC0B5B" w:rsidRDefault="006C5B1F" w:rsidP="006A668C">
      <w:pPr>
        <w:pStyle w:val="Bezodstpw"/>
        <w:numPr>
          <w:ilvl w:val="0"/>
          <w:numId w:val="8"/>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granularnego monitorowania infrastruktury, zależnego od uprawnień nadanym użytkownikom dla platformy Vmware.</w:t>
      </w:r>
    </w:p>
    <w:p w14:paraId="6C3941DF" w14:textId="03DACE4A" w:rsidR="006C5B1F" w:rsidRPr="00E02107" w:rsidRDefault="006C5B1F" w:rsidP="006A668C">
      <w:pPr>
        <w:pStyle w:val="Akapitzlist"/>
        <w:numPr>
          <w:ilvl w:val="0"/>
          <w:numId w:val="2"/>
        </w:numPr>
        <w:spacing w:after="0"/>
        <w:ind w:left="357" w:hanging="357"/>
        <w:jc w:val="both"/>
        <w:rPr>
          <w:rFonts w:cstheme="minorHAnsi"/>
          <w:i/>
          <w:color w:val="000000" w:themeColor="text1"/>
        </w:rPr>
      </w:pPr>
      <w:r w:rsidRPr="00CC0B5B">
        <w:rPr>
          <w:rFonts w:cstheme="minorHAnsi"/>
          <w:b/>
          <w:bCs/>
          <w:color w:val="000000" w:themeColor="text1"/>
        </w:rPr>
        <w:t>Raportowanie</w:t>
      </w:r>
    </w:p>
    <w:p w14:paraId="6BA0FF4C"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raportowanie środowiska wirtualizacyjnego VMware w wersji 6.x, 7.x oraz 8.0 – zarówno w bezpłatnej wersji ESXi jak i w pełnej wersji ESX/ESXi zarządzane przez konsole vCenter Server lub pracujące samodzielnie.</w:t>
      </w:r>
    </w:p>
    <w:p w14:paraId="1A6EF295"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umożliwiać raportowanie środowiska wirtualizacyjnego Microsoft Hyper-V 2012, 2012R2, 2016, 2019, 2022 oraz 2025 zarówno w wersji darmowej jak i zawartej w płatnej licencji Microsoft Windows Server zarządzane poprzez System Center Virtual Machine Manager lub pracujące samodzielnie.</w:t>
      </w:r>
    </w:p>
    <w:p w14:paraId="2D5D0E3B"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wspierać wiele instancji vCenter Server i Microsoft Hyper-V jednocześnie bez konieczności instalowania dodatkowych modułów.</w:t>
      </w:r>
    </w:p>
    <w:p w14:paraId="65F7A793"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lastRenderedPageBreak/>
        <w:t>System musi być systemem bezagentowym. Nie dopuszcza się możliwości instalowania przez system agentów na monitorowanych hostach ESXi i Hyper-V.</w:t>
      </w:r>
    </w:p>
    <w:p w14:paraId="68E4B0CE"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eksportowania raportów do formatów Microsoft Word, Microsoft Excel, Microsoft Visio, Adobe PDF.</w:t>
      </w:r>
    </w:p>
    <w:p w14:paraId="285FB916"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ustawienia harmonogramu kolekcji danych z monitorowanych systemów jak również możliwość tworzenia zadań kolekcjonowania danych ad-hoc.</w:t>
      </w:r>
    </w:p>
    <w:p w14:paraId="7B4C4A32"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ustawienia harmonogramu generowania raportów i dostarczania ich do odbiorców w określonych przez administratora interwałach.</w:t>
      </w:r>
    </w:p>
    <w:p w14:paraId="38C74BC3"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w raportach musi mieć możliwość uwzględniania informacji o zmianach konfiguracji monitorowanych systemów.</w:t>
      </w:r>
    </w:p>
    <w:p w14:paraId="50B24B62"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generowania raportów z dowolnego punktu w czasie zakładając, że informacje z tego czasu nie zostały usunięte z bazy danych.</w:t>
      </w:r>
    </w:p>
    <w:p w14:paraId="6302DCBF"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posiadać predefiniowane szablony z możliwością tworzenia nowych jak i modyfikacji wbudowanych.</w:t>
      </w:r>
    </w:p>
    <w:p w14:paraId="7FDB65AC"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analizowania „przeszacowanych” wirtualnych maszyn wraz z sugestią zmian w celu optymalnego wykorzystania fizycznej infrastruktury.</w:t>
      </w:r>
    </w:p>
    <w:p w14:paraId="1ED872F8"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generowania raportów na podstawie danych uzyskanych z oprogramowania do tworzenia kopii zapasowych tego samego producenta.</w:t>
      </w:r>
    </w:p>
    <w:p w14:paraId="70BF54C1"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generowania raportu dotyczącego zabezpieczanych maszyn, zdefiniowanych zadań tworzenia kopii zapasowych oraz replikacji jak również wykorzystania zasobów serwerów backupowych.</w:t>
      </w:r>
    </w:p>
    <w:p w14:paraId="772366F2" w14:textId="77777777" w:rsidR="006C5B1F" w:rsidRPr="00CC0B5B"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generowania raportu planowania pojemności (capacity planning) bazującego na scenariuszach ‘what-if’.</w:t>
      </w:r>
    </w:p>
    <w:p w14:paraId="3BD5C1AD" w14:textId="77777777" w:rsidR="00FB5952"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CC0B5B">
        <w:rPr>
          <w:rFonts w:asciiTheme="minorHAnsi" w:hAnsiTheme="minorHAnsi" w:cstheme="minorHAnsi"/>
          <w:color w:val="000000" w:themeColor="text1"/>
          <w:sz w:val="22"/>
          <w:szCs w:val="22"/>
          <w:lang w:val="pl-PL"/>
        </w:rPr>
        <w:t>System musi mieć możliwość granularnego raportowania infrastruktury, zależnego od uprawnień nadanym użytkownikom dla platformy Vmware.</w:t>
      </w:r>
    </w:p>
    <w:p w14:paraId="39E7CA21" w14:textId="77777777" w:rsidR="00FB5952"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FB5952">
        <w:rPr>
          <w:rFonts w:asciiTheme="minorHAnsi" w:hAnsiTheme="minorHAnsi" w:cstheme="minorHAnsi"/>
          <w:color w:val="000000" w:themeColor="text1"/>
          <w:sz w:val="22"/>
          <w:szCs w:val="22"/>
          <w:lang w:val="pl-PL"/>
        </w:rPr>
        <w:t>System musi mieć możliwość generowania raportów dotyczących tzw. migawek-sierot (orphaned snapshots).</w:t>
      </w:r>
    </w:p>
    <w:p w14:paraId="322A1347" w14:textId="2FB12511" w:rsidR="006C5B1F" w:rsidRPr="00FB5952" w:rsidRDefault="006C5B1F" w:rsidP="006A668C">
      <w:pPr>
        <w:pStyle w:val="Bezodstpw"/>
        <w:numPr>
          <w:ilvl w:val="0"/>
          <w:numId w:val="7"/>
        </w:numPr>
        <w:spacing w:line="259" w:lineRule="auto"/>
        <w:jc w:val="both"/>
        <w:rPr>
          <w:rFonts w:asciiTheme="minorHAnsi" w:hAnsiTheme="minorHAnsi" w:cstheme="minorHAnsi"/>
          <w:color w:val="000000" w:themeColor="text1"/>
          <w:sz w:val="22"/>
          <w:szCs w:val="22"/>
          <w:lang w:val="pl-PL"/>
        </w:rPr>
      </w:pPr>
      <w:r w:rsidRPr="00FB5952">
        <w:rPr>
          <w:rFonts w:asciiTheme="minorHAnsi" w:hAnsiTheme="minorHAnsi" w:cstheme="minorHAnsi"/>
          <w:color w:val="000000" w:themeColor="text1"/>
          <w:sz w:val="22"/>
          <w:szCs w:val="22"/>
          <w:lang w:val="pl-PL"/>
        </w:rPr>
        <w:t>System musi mieć możliwość generowania personalizowanych raportów zawierających informacje z dowolnych predefiniowanych raportów w pojedynczym dokumencie.</w:t>
      </w:r>
    </w:p>
    <w:p w14:paraId="72F91916" w14:textId="02AE4AD3" w:rsidR="00AE1721" w:rsidRPr="00CC0B5B" w:rsidRDefault="00AE1721" w:rsidP="006A668C">
      <w:pPr>
        <w:pStyle w:val="Nagwek2"/>
        <w:numPr>
          <w:ilvl w:val="0"/>
          <w:numId w:val="4"/>
        </w:numPr>
        <w:spacing w:before="120" w:after="120" w:line="259" w:lineRule="auto"/>
        <w:ind w:left="425" w:hanging="425"/>
        <w:jc w:val="both"/>
        <w:rPr>
          <w:rFonts w:asciiTheme="minorHAnsi" w:hAnsiTheme="minorHAnsi" w:cstheme="minorHAnsi"/>
          <w:bCs/>
          <w:color w:val="000000" w:themeColor="text1"/>
          <w:sz w:val="22"/>
          <w:szCs w:val="22"/>
        </w:rPr>
      </w:pPr>
      <w:bookmarkStart w:id="3" w:name="_Toc226115319"/>
      <w:bookmarkStart w:id="4" w:name="_Hlk216288070"/>
      <w:r w:rsidRPr="00CC0B5B">
        <w:rPr>
          <w:rFonts w:asciiTheme="minorHAnsi" w:hAnsiTheme="minorHAnsi" w:cstheme="minorHAnsi"/>
          <w:bCs/>
          <w:color w:val="000000" w:themeColor="text1"/>
          <w:sz w:val="22"/>
          <w:szCs w:val="22"/>
        </w:rPr>
        <w:t>Zapisy uzupełniające</w:t>
      </w:r>
      <w:bookmarkStart w:id="5" w:name="_Hlk113626721"/>
      <w:bookmarkEnd w:id="3"/>
    </w:p>
    <w:p w14:paraId="606D4FD1" w14:textId="2ECC2DA0" w:rsidR="00296246" w:rsidRPr="00E02107" w:rsidRDefault="00296246" w:rsidP="005E1C88">
      <w:pPr>
        <w:spacing w:after="0"/>
        <w:jc w:val="both"/>
        <w:rPr>
          <w:rFonts w:cstheme="minorHAnsi"/>
          <w:color w:val="000000" w:themeColor="text1"/>
        </w:rPr>
      </w:pPr>
      <w:r w:rsidRPr="00E02107">
        <w:rPr>
          <w:rFonts w:cstheme="minorHAnsi"/>
          <w:color w:val="000000" w:themeColor="text1"/>
        </w:rPr>
        <w:t>Zamawiający oczekuje realizacji uprawnień gwarancyjnych na następujących warunkach:</w:t>
      </w:r>
    </w:p>
    <w:p w14:paraId="5C9BEDAD" w14:textId="77777777" w:rsidR="00296246" w:rsidRPr="00296246" w:rsidRDefault="00296246" w:rsidP="006A668C">
      <w:pPr>
        <w:numPr>
          <w:ilvl w:val="0"/>
          <w:numId w:val="14"/>
        </w:numPr>
        <w:spacing w:after="0"/>
        <w:ind w:left="714" w:hanging="357"/>
        <w:jc w:val="both"/>
        <w:rPr>
          <w:rFonts w:cstheme="minorHAnsi"/>
          <w:color w:val="000000" w:themeColor="text1"/>
        </w:rPr>
      </w:pPr>
      <w:r w:rsidRPr="00296246">
        <w:rPr>
          <w:rFonts w:cstheme="minorHAnsi"/>
          <w:color w:val="000000" w:themeColor="text1"/>
        </w:rPr>
        <w:t>Gwarancja, w miarę możliwości, winna być realizowana w siedzibie Zamawiającego.</w:t>
      </w:r>
    </w:p>
    <w:p w14:paraId="64F9DD23" w14:textId="77777777" w:rsidR="00296246" w:rsidRPr="00296246" w:rsidRDefault="00296246" w:rsidP="006A668C">
      <w:pPr>
        <w:numPr>
          <w:ilvl w:val="0"/>
          <w:numId w:val="14"/>
        </w:numPr>
        <w:spacing w:after="0"/>
        <w:ind w:left="714" w:hanging="357"/>
        <w:jc w:val="both"/>
        <w:rPr>
          <w:rFonts w:cstheme="minorHAnsi"/>
          <w:color w:val="000000" w:themeColor="text1"/>
        </w:rPr>
      </w:pPr>
      <w:r w:rsidRPr="00296246">
        <w:rPr>
          <w:rFonts w:cstheme="minorHAnsi"/>
          <w:color w:val="000000" w:themeColor="text1"/>
        </w:rPr>
        <w:t>Czas reakcji na zgłoszony problem (rozumiany, jako podjęcie działań diagnostycznych i kontakt ze zgłaszającym) nie może przekroczyć jednego dnia roboczego.</w:t>
      </w:r>
    </w:p>
    <w:p w14:paraId="60A57901" w14:textId="77777777" w:rsidR="00296246" w:rsidRPr="00296246" w:rsidRDefault="00296246" w:rsidP="006A668C">
      <w:pPr>
        <w:numPr>
          <w:ilvl w:val="0"/>
          <w:numId w:val="14"/>
        </w:numPr>
        <w:spacing w:after="0"/>
        <w:ind w:left="714" w:hanging="357"/>
        <w:jc w:val="both"/>
        <w:rPr>
          <w:rFonts w:cstheme="minorHAnsi"/>
          <w:color w:val="000000" w:themeColor="text1"/>
        </w:rPr>
      </w:pPr>
      <w:r w:rsidRPr="00296246">
        <w:rPr>
          <w:rFonts w:cstheme="minorHAnsi"/>
          <w:color w:val="000000" w:themeColor="text1"/>
        </w:rPr>
        <w:t>Usunięcie usterki ma zostać wykonane do 21 dni roboczych od momentu zgłoszenia usterki.</w:t>
      </w:r>
    </w:p>
    <w:p w14:paraId="2BA75B2F" w14:textId="77777777" w:rsidR="00296246" w:rsidRPr="00296246" w:rsidRDefault="00296246" w:rsidP="006A668C">
      <w:pPr>
        <w:numPr>
          <w:ilvl w:val="0"/>
          <w:numId w:val="14"/>
        </w:numPr>
        <w:spacing w:after="0"/>
        <w:ind w:left="714" w:hanging="357"/>
        <w:jc w:val="both"/>
        <w:rPr>
          <w:rFonts w:cstheme="minorHAnsi"/>
          <w:color w:val="000000" w:themeColor="text1"/>
        </w:rPr>
      </w:pPr>
      <w:r w:rsidRPr="00296246">
        <w:rPr>
          <w:rFonts w:cstheme="minorHAnsi"/>
          <w:color w:val="000000" w:themeColor="text1"/>
        </w:rPr>
        <w:t>Wykonawca ma obowiązek przekazać Zamawiającemu dokumenty sporządzone w języku polskim, poświadczające zakres oraz okres obowiązywania gwarancji.</w:t>
      </w:r>
      <w:bookmarkEnd w:id="4"/>
      <w:bookmarkEnd w:id="5"/>
    </w:p>
    <w:sectPr w:rsidR="00296246" w:rsidRPr="00296246" w:rsidSect="00CE2C63">
      <w:headerReference w:type="even" r:id="rId8"/>
      <w:headerReference w:type="default" r:id="rId9"/>
      <w:footerReference w:type="even" r:id="rId10"/>
      <w:footerReference w:type="default" r:id="rId11"/>
      <w:headerReference w:type="first" r:id="rId12"/>
      <w:footerReference w:type="first" r:id="rId13"/>
      <w:pgSz w:w="11906" w:h="16838" w:code="9"/>
      <w:pgMar w:top="1418" w:right="720" w:bottom="851" w:left="720"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FBD95" w14:textId="77777777" w:rsidR="006A668C" w:rsidRPr="000E45D5" w:rsidRDefault="006A668C" w:rsidP="00E07F1C">
      <w:pPr>
        <w:spacing w:after="0" w:line="240" w:lineRule="auto"/>
      </w:pPr>
      <w:r w:rsidRPr="000E45D5">
        <w:separator/>
      </w:r>
    </w:p>
  </w:endnote>
  <w:endnote w:type="continuationSeparator" w:id="0">
    <w:p w14:paraId="2EC2004A" w14:textId="77777777" w:rsidR="006A668C" w:rsidRPr="000E45D5" w:rsidRDefault="006A668C" w:rsidP="00E07F1C">
      <w:pPr>
        <w:spacing w:after="0" w:line="240" w:lineRule="auto"/>
      </w:pPr>
      <w:r w:rsidRPr="000E45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93B4" w14:textId="77777777" w:rsidR="00F21EFD" w:rsidRDefault="00F21EF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C730" w14:textId="691716F6" w:rsidR="00E207F2" w:rsidRPr="000F42C6" w:rsidRDefault="00E207F2" w:rsidP="00E207F2">
    <w:pPr>
      <w:pStyle w:val="Stopka"/>
      <w:jc w:val="center"/>
      <w:rPr>
        <w:color w:val="000000" w:themeColor="text1"/>
        <w:sz w:val="18"/>
        <w:szCs w:val="18"/>
      </w:rPr>
    </w:pPr>
    <w:r w:rsidRPr="000E45D5">
      <w:rPr>
        <w:color w:val="000000" w:themeColor="text1"/>
        <w:sz w:val="18"/>
        <w:szCs w:val="18"/>
      </w:rPr>
      <w:t xml:space="preserve">Zadanie jest współfinansowane ze środków Unii Europejskiej w ramach programu Fundusze Europejskie </w:t>
    </w:r>
    <w:r w:rsidRPr="000E45D5">
      <w:rPr>
        <w:color w:val="000000" w:themeColor="text1"/>
        <w:sz w:val="18"/>
        <w:szCs w:val="18"/>
      </w:rPr>
      <w:br/>
      <w:t xml:space="preserve">na Rozwój Cyfrowy 2021-2027, </w:t>
    </w:r>
    <w:r w:rsidRPr="000F42C6">
      <w:rPr>
        <w:color w:val="000000" w:themeColor="text1"/>
        <w:sz w:val="18"/>
        <w:szCs w:val="18"/>
      </w:rPr>
      <w:t>projektu grantowego „Cyberbezpieczny Samorząd</w:t>
    </w:r>
    <w:r w:rsidR="00F21EFD">
      <w:rPr>
        <w:color w:val="000000" w:themeColor="text1"/>
        <w:sz w:val="18"/>
        <w:szCs w:val="18"/>
      </w:rPr>
      <w:t>”</w:t>
    </w:r>
  </w:p>
  <w:p w14:paraId="13632ABF" w14:textId="77777777" w:rsidR="00E207F2" w:rsidRPr="000F42C6" w:rsidRDefault="00E207F2" w:rsidP="00E207F2">
    <w:pPr>
      <w:pStyle w:val="Stopka"/>
      <w:jc w:val="center"/>
      <w:rPr>
        <w:sz w:val="8"/>
        <w:szCs w:val="8"/>
      </w:rPr>
    </w:pPr>
  </w:p>
  <w:sdt>
    <w:sdtPr>
      <w:rPr>
        <w:sz w:val="18"/>
        <w:szCs w:val="18"/>
      </w:rPr>
      <w:id w:val="340976774"/>
      <w:docPartObj>
        <w:docPartGallery w:val="Page Numbers (Bottom of Page)"/>
        <w:docPartUnique/>
      </w:docPartObj>
    </w:sdtPr>
    <w:sdtEndPr/>
    <w:sdtContent>
      <w:p w14:paraId="63DD86DA" w14:textId="79E0FE49" w:rsidR="00CE2C63" w:rsidRPr="00E207F2" w:rsidRDefault="00E207F2" w:rsidP="00E207F2">
        <w:pPr>
          <w:pStyle w:val="Stopka"/>
          <w:jc w:val="center"/>
          <w:rPr>
            <w:sz w:val="18"/>
            <w:szCs w:val="18"/>
          </w:rPr>
        </w:pPr>
        <w:r w:rsidRPr="000F42C6">
          <w:rPr>
            <w:sz w:val="18"/>
            <w:szCs w:val="18"/>
          </w:rPr>
          <w:fldChar w:fldCharType="begin"/>
        </w:r>
        <w:r w:rsidRPr="000F42C6">
          <w:rPr>
            <w:sz w:val="18"/>
            <w:szCs w:val="18"/>
          </w:rPr>
          <w:instrText>PAGE   \* MERGEFORMAT</w:instrText>
        </w:r>
        <w:r w:rsidRPr="000F42C6">
          <w:rPr>
            <w:sz w:val="18"/>
            <w:szCs w:val="18"/>
          </w:rPr>
          <w:fldChar w:fldCharType="separate"/>
        </w:r>
        <w:r>
          <w:rPr>
            <w:sz w:val="18"/>
            <w:szCs w:val="18"/>
          </w:rPr>
          <w:t>1</w:t>
        </w:r>
        <w:r w:rsidRPr="000F42C6">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0F02" w14:textId="77777777" w:rsidR="00F21EFD" w:rsidRDefault="00F21E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D34D5" w14:textId="77777777" w:rsidR="006A668C" w:rsidRPr="000E45D5" w:rsidRDefault="006A668C" w:rsidP="00E07F1C">
      <w:pPr>
        <w:spacing w:after="0" w:line="240" w:lineRule="auto"/>
      </w:pPr>
      <w:r w:rsidRPr="000E45D5">
        <w:separator/>
      </w:r>
    </w:p>
  </w:footnote>
  <w:footnote w:type="continuationSeparator" w:id="0">
    <w:p w14:paraId="54256420" w14:textId="77777777" w:rsidR="006A668C" w:rsidRPr="000E45D5" w:rsidRDefault="006A668C" w:rsidP="00E07F1C">
      <w:pPr>
        <w:spacing w:after="0" w:line="240" w:lineRule="auto"/>
      </w:pPr>
      <w:r w:rsidRPr="000E45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283DE" w14:textId="77777777" w:rsidR="00F21EFD" w:rsidRDefault="00F21EF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A5E9" w14:textId="6A8B6F0B" w:rsidR="00061821" w:rsidRPr="000E45D5" w:rsidRDefault="00F21EFD" w:rsidP="00061821">
    <w:pPr>
      <w:pStyle w:val="Nagwek"/>
      <w:jc w:val="center"/>
    </w:pPr>
    <w:r>
      <w:rPr>
        <w:noProof/>
      </w:rPr>
      <w:drawing>
        <wp:inline distT="0" distB="0" distL="0" distR="0" wp14:anchorId="022FE01A" wp14:editId="499F4020">
          <wp:extent cx="6120000" cy="601200"/>
          <wp:effectExtent l="0" t="0" r="0" b="8890"/>
          <wp:docPr id="1593699532" name="Obraz 159369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39709"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000" cy="601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5474" w14:textId="77777777" w:rsidR="00F21EFD" w:rsidRDefault="00F21E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7E441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10865444"/>
    <w:name w:val="WW8Num3"/>
    <w:lvl w:ilvl="0">
      <w:start w:val="1"/>
      <w:numFmt w:val="decimal"/>
      <w:pStyle w:val="Nagwek2"/>
      <w:lvlText w:val="%1)"/>
      <w:lvlJc w:val="left"/>
      <w:pPr>
        <w:tabs>
          <w:tab w:val="num" w:pos="0"/>
        </w:tabs>
        <w:ind w:left="720" w:hanging="360"/>
      </w:pPr>
      <w:rPr>
        <w:rFonts w:ascii="Times New Roman" w:hAnsi="Times New Roman" w:cs="Times New Roman" w:hint="default"/>
        <w:b w:val="0"/>
        <w:bCs w:val="0"/>
        <w:i w:val="0"/>
        <w:iCs w:val="0"/>
        <w:color w:val="auto"/>
        <w:sz w:val="24"/>
        <w:szCs w:val="24"/>
      </w:r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710"/>
        </w:tabs>
        <w:ind w:left="1862" w:hanging="432"/>
      </w:pPr>
      <w:rPr>
        <w:rFonts w:ascii="Arial" w:eastAsia="Times New Roman" w:hAnsi="Arial" w:cs="Arial"/>
        <w:b/>
        <w:bCs/>
        <w:color w:val="000000"/>
        <w:sz w:val="22"/>
        <w:szCs w:val="22"/>
      </w:rPr>
    </w:lvl>
    <w:lvl w:ilvl="1">
      <w:start w:val="1"/>
      <w:numFmt w:val="none"/>
      <w:suff w:val="nothing"/>
      <w:lvlText w:val=""/>
      <w:lvlJc w:val="left"/>
      <w:pPr>
        <w:tabs>
          <w:tab w:val="num" w:pos="710"/>
        </w:tabs>
        <w:ind w:left="2006" w:hanging="576"/>
      </w:pPr>
    </w:lvl>
    <w:lvl w:ilvl="2">
      <w:start w:val="1"/>
      <w:numFmt w:val="none"/>
      <w:suff w:val="nothing"/>
      <w:lvlText w:val=""/>
      <w:lvlJc w:val="left"/>
      <w:pPr>
        <w:tabs>
          <w:tab w:val="num" w:pos="710"/>
        </w:tabs>
        <w:ind w:left="2150" w:hanging="720"/>
      </w:pPr>
    </w:lvl>
    <w:lvl w:ilvl="3">
      <w:start w:val="1"/>
      <w:numFmt w:val="none"/>
      <w:suff w:val="nothing"/>
      <w:lvlText w:val=""/>
      <w:lvlJc w:val="left"/>
      <w:pPr>
        <w:tabs>
          <w:tab w:val="num" w:pos="710"/>
        </w:tabs>
        <w:ind w:left="2294" w:hanging="864"/>
      </w:pPr>
    </w:lvl>
    <w:lvl w:ilvl="4">
      <w:start w:val="1"/>
      <w:numFmt w:val="none"/>
      <w:suff w:val="nothing"/>
      <w:lvlText w:val=""/>
      <w:lvlJc w:val="left"/>
      <w:pPr>
        <w:tabs>
          <w:tab w:val="num" w:pos="710"/>
        </w:tabs>
        <w:ind w:left="2438" w:hanging="1008"/>
      </w:pPr>
    </w:lvl>
    <w:lvl w:ilvl="5">
      <w:start w:val="1"/>
      <w:numFmt w:val="none"/>
      <w:suff w:val="nothing"/>
      <w:lvlText w:val=""/>
      <w:lvlJc w:val="left"/>
      <w:pPr>
        <w:tabs>
          <w:tab w:val="num" w:pos="710"/>
        </w:tabs>
        <w:ind w:left="2582" w:hanging="1152"/>
      </w:pPr>
    </w:lvl>
    <w:lvl w:ilvl="6">
      <w:start w:val="1"/>
      <w:numFmt w:val="none"/>
      <w:suff w:val="nothing"/>
      <w:lvlText w:val=""/>
      <w:lvlJc w:val="left"/>
      <w:pPr>
        <w:tabs>
          <w:tab w:val="num" w:pos="710"/>
        </w:tabs>
        <w:ind w:left="2726" w:hanging="1296"/>
      </w:pPr>
    </w:lvl>
    <w:lvl w:ilvl="7">
      <w:start w:val="1"/>
      <w:numFmt w:val="none"/>
      <w:suff w:val="nothing"/>
      <w:lvlText w:val=""/>
      <w:lvlJc w:val="left"/>
      <w:pPr>
        <w:tabs>
          <w:tab w:val="num" w:pos="710"/>
        </w:tabs>
        <w:ind w:left="2870" w:hanging="1440"/>
      </w:pPr>
    </w:lvl>
    <w:lvl w:ilvl="8">
      <w:start w:val="1"/>
      <w:numFmt w:val="none"/>
      <w:suff w:val="nothing"/>
      <w:lvlText w:val=""/>
      <w:lvlJc w:val="left"/>
      <w:pPr>
        <w:tabs>
          <w:tab w:val="num" w:pos="710"/>
        </w:tabs>
        <w:ind w:left="3014" w:hanging="1584"/>
      </w:pPr>
    </w:lvl>
  </w:abstractNum>
  <w:abstractNum w:abstractNumId="3"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4" w15:restartNumberingAfterBreak="0">
    <w:nsid w:val="04B37F72"/>
    <w:multiLevelType w:val="hybridMultilevel"/>
    <w:tmpl w:val="6FBABFCA"/>
    <w:lvl w:ilvl="0" w:tplc="EA40481A">
      <w:start w:val="1"/>
      <w:numFmt w:val="upperRoman"/>
      <w:lvlText w:val="%1."/>
      <w:lvlJc w:val="left"/>
      <w:pPr>
        <w:ind w:left="1004"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A2964"/>
    <w:multiLevelType w:val="hybridMultilevel"/>
    <w:tmpl w:val="51AA4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25F33"/>
    <w:multiLevelType w:val="hybridMultilevel"/>
    <w:tmpl w:val="D9CE49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17417D3"/>
    <w:multiLevelType w:val="hybridMultilevel"/>
    <w:tmpl w:val="4D681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3F73CF"/>
    <w:multiLevelType w:val="hybridMultilevel"/>
    <w:tmpl w:val="720A598A"/>
    <w:lvl w:ilvl="0" w:tplc="04150001">
      <w:start w:val="1"/>
      <w:numFmt w:val="bullet"/>
      <w:lvlText w:val=""/>
      <w:lvlJc w:val="left"/>
      <w:pPr>
        <w:ind w:left="1980" w:hanging="360"/>
      </w:pPr>
      <w:rPr>
        <w:rFonts w:ascii="Symbol" w:hAnsi="Symbol"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9" w15:restartNumberingAfterBreak="0">
    <w:nsid w:val="34B4170A"/>
    <w:multiLevelType w:val="hybridMultilevel"/>
    <w:tmpl w:val="102CD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7C70141"/>
    <w:multiLevelType w:val="hybridMultilevel"/>
    <w:tmpl w:val="4E8EF4D8"/>
    <w:lvl w:ilvl="0" w:tplc="0415000F">
      <w:start w:val="1"/>
      <w:numFmt w:val="decimal"/>
      <w:lvlText w:val="%1."/>
      <w:lvlJc w:val="left"/>
      <w:pPr>
        <w:ind w:left="1080" w:hanging="720"/>
      </w:pPr>
      <w:rPr>
        <w:b/>
        <w:i w:val="0"/>
        <w:color w:val="000000" w:themeColor="text1"/>
        <w:sz w:val="16"/>
      </w:rPr>
    </w:lvl>
    <w:lvl w:ilvl="1" w:tplc="CDA480B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1756202"/>
    <w:multiLevelType w:val="hybridMultilevel"/>
    <w:tmpl w:val="5B122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9855E1E"/>
    <w:multiLevelType w:val="hybridMultilevel"/>
    <w:tmpl w:val="DA988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C65F59"/>
    <w:multiLevelType w:val="hybridMultilevel"/>
    <w:tmpl w:val="4622D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CB5068"/>
    <w:multiLevelType w:val="hybridMultilevel"/>
    <w:tmpl w:val="DC8A2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88109E"/>
    <w:multiLevelType w:val="hybridMultilevel"/>
    <w:tmpl w:val="0C78C31A"/>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1"/>
  </w:num>
  <w:num w:numId="2">
    <w:abstractNumId w:val="10"/>
  </w:num>
  <w:num w:numId="3">
    <w:abstractNumId w:val="0"/>
  </w:num>
  <w:num w:numId="4">
    <w:abstractNumId w:val="4"/>
  </w:num>
  <w:num w:numId="5">
    <w:abstractNumId w:val="15"/>
  </w:num>
  <w:num w:numId="6">
    <w:abstractNumId w:val="6"/>
  </w:num>
  <w:num w:numId="7">
    <w:abstractNumId w:val="13"/>
  </w:num>
  <w:num w:numId="8">
    <w:abstractNumId w:val="11"/>
  </w:num>
  <w:num w:numId="9">
    <w:abstractNumId w:val="7"/>
  </w:num>
  <w:num w:numId="10">
    <w:abstractNumId w:val="9"/>
  </w:num>
  <w:num w:numId="11">
    <w:abstractNumId w:val="5"/>
  </w:num>
  <w:num w:numId="12">
    <w:abstractNumId w:val="12"/>
  </w:num>
  <w:num w:numId="13">
    <w:abstractNumId w:val="14"/>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E48"/>
    <w:rsid w:val="00013C2E"/>
    <w:rsid w:val="000212DE"/>
    <w:rsid w:val="00023E50"/>
    <w:rsid w:val="000433F0"/>
    <w:rsid w:val="0005388A"/>
    <w:rsid w:val="000546AD"/>
    <w:rsid w:val="000611E1"/>
    <w:rsid w:val="00061821"/>
    <w:rsid w:val="00063F61"/>
    <w:rsid w:val="00074E42"/>
    <w:rsid w:val="0007533F"/>
    <w:rsid w:val="00076440"/>
    <w:rsid w:val="00082E48"/>
    <w:rsid w:val="00084BB2"/>
    <w:rsid w:val="000938D1"/>
    <w:rsid w:val="00096C12"/>
    <w:rsid w:val="000A7E0F"/>
    <w:rsid w:val="000B49FF"/>
    <w:rsid w:val="000C5B0B"/>
    <w:rsid w:val="000D5D34"/>
    <w:rsid w:val="000E45D5"/>
    <w:rsid w:val="001108A9"/>
    <w:rsid w:val="001146D0"/>
    <w:rsid w:val="00117E84"/>
    <w:rsid w:val="00122F75"/>
    <w:rsid w:val="00125E4F"/>
    <w:rsid w:val="001337D6"/>
    <w:rsid w:val="00154698"/>
    <w:rsid w:val="0015469B"/>
    <w:rsid w:val="00156AC6"/>
    <w:rsid w:val="00156E79"/>
    <w:rsid w:val="0016542D"/>
    <w:rsid w:val="0017089A"/>
    <w:rsid w:val="0018484E"/>
    <w:rsid w:val="001862B3"/>
    <w:rsid w:val="00186828"/>
    <w:rsid w:val="001B489A"/>
    <w:rsid w:val="001B6FAB"/>
    <w:rsid w:val="001C4573"/>
    <w:rsid w:val="001C77D5"/>
    <w:rsid w:val="001D1B4A"/>
    <w:rsid w:val="001D4AA5"/>
    <w:rsid w:val="001E2163"/>
    <w:rsid w:val="001F1252"/>
    <w:rsid w:val="00212779"/>
    <w:rsid w:val="00213F10"/>
    <w:rsid w:val="002238E9"/>
    <w:rsid w:val="002254A9"/>
    <w:rsid w:val="00225531"/>
    <w:rsid w:val="00232EC2"/>
    <w:rsid w:val="002355EA"/>
    <w:rsid w:val="002461A6"/>
    <w:rsid w:val="00246E4D"/>
    <w:rsid w:val="00250FC0"/>
    <w:rsid w:val="002569B2"/>
    <w:rsid w:val="00256DF2"/>
    <w:rsid w:val="0025701A"/>
    <w:rsid w:val="00257723"/>
    <w:rsid w:val="002900AD"/>
    <w:rsid w:val="00291750"/>
    <w:rsid w:val="00293F17"/>
    <w:rsid w:val="00296246"/>
    <w:rsid w:val="002A4BDC"/>
    <w:rsid w:val="002A54BF"/>
    <w:rsid w:val="002C6A91"/>
    <w:rsid w:val="002D4DF9"/>
    <w:rsid w:val="002E23BE"/>
    <w:rsid w:val="002E3A7C"/>
    <w:rsid w:val="002F4742"/>
    <w:rsid w:val="00300BDF"/>
    <w:rsid w:val="00305472"/>
    <w:rsid w:val="00306077"/>
    <w:rsid w:val="00307F46"/>
    <w:rsid w:val="00310B1C"/>
    <w:rsid w:val="00322500"/>
    <w:rsid w:val="00322E55"/>
    <w:rsid w:val="00326DEA"/>
    <w:rsid w:val="00336206"/>
    <w:rsid w:val="00362E65"/>
    <w:rsid w:val="00366155"/>
    <w:rsid w:val="00370264"/>
    <w:rsid w:val="00371DBE"/>
    <w:rsid w:val="00375F30"/>
    <w:rsid w:val="00376A0E"/>
    <w:rsid w:val="0038107F"/>
    <w:rsid w:val="00386332"/>
    <w:rsid w:val="00391736"/>
    <w:rsid w:val="00392110"/>
    <w:rsid w:val="003B13BE"/>
    <w:rsid w:val="003B25C3"/>
    <w:rsid w:val="003B7B58"/>
    <w:rsid w:val="003C2E6D"/>
    <w:rsid w:val="003C5F96"/>
    <w:rsid w:val="003D3AC5"/>
    <w:rsid w:val="003E75CF"/>
    <w:rsid w:val="003F1F3C"/>
    <w:rsid w:val="00404A17"/>
    <w:rsid w:val="00413B5A"/>
    <w:rsid w:val="00416667"/>
    <w:rsid w:val="004305A4"/>
    <w:rsid w:val="00440A06"/>
    <w:rsid w:val="0044677B"/>
    <w:rsid w:val="004631B9"/>
    <w:rsid w:val="00465BB7"/>
    <w:rsid w:val="004702CC"/>
    <w:rsid w:val="00471D95"/>
    <w:rsid w:val="00474FCF"/>
    <w:rsid w:val="0047563B"/>
    <w:rsid w:val="0048158B"/>
    <w:rsid w:val="0048601B"/>
    <w:rsid w:val="00490625"/>
    <w:rsid w:val="00493E9C"/>
    <w:rsid w:val="004A162D"/>
    <w:rsid w:val="004A2499"/>
    <w:rsid w:val="004A3E69"/>
    <w:rsid w:val="004A4EA0"/>
    <w:rsid w:val="004B78B8"/>
    <w:rsid w:val="004C4496"/>
    <w:rsid w:val="004F4C67"/>
    <w:rsid w:val="00531E5A"/>
    <w:rsid w:val="0053506D"/>
    <w:rsid w:val="00541EF5"/>
    <w:rsid w:val="00552737"/>
    <w:rsid w:val="00556739"/>
    <w:rsid w:val="0055787A"/>
    <w:rsid w:val="00561385"/>
    <w:rsid w:val="005874A2"/>
    <w:rsid w:val="005A3EA9"/>
    <w:rsid w:val="005B2C49"/>
    <w:rsid w:val="005C36FD"/>
    <w:rsid w:val="005D05DD"/>
    <w:rsid w:val="005D5CB2"/>
    <w:rsid w:val="005D763F"/>
    <w:rsid w:val="005E1C88"/>
    <w:rsid w:val="00600CB8"/>
    <w:rsid w:val="00601BA6"/>
    <w:rsid w:val="00610365"/>
    <w:rsid w:val="00614F33"/>
    <w:rsid w:val="00616AEE"/>
    <w:rsid w:val="00620D4D"/>
    <w:rsid w:val="0062529B"/>
    <w:rsid w:val="00650B8E"/>
    <w:rsid w:val="006518C1"/>
    <w:rsid w:val="0065419E"/>
    <w:rsid w:val="006659D8"/>
    <w:rsid w:val="0067262A"/>
    <w:rsid w:val="006845F1"/>
    <w:rsid w:val="00694B6F"/>
    <w:rsid w:val="00695B85"/>
    <w:rsid w:val="0069681F"/>
    <w:rsid w:val="006A03B3"/>
    <w:rsid w:val="006A668C"/>
    <w:rsid w:val="006B0734"/>
    <w:rsid w:val="006B20CC"/>
    <w:rsid w:val="006B3DD7"/>
    <w:rsid w:val="006C5B1F"/>
    <w:rsid w:val="006D0A4F"/>
    <w:rsid w:val="006D10A9"/>
    <w:rsid w:val="006D5CFB"/>
    <w:rsid w:val="006F431E"/>
    <w:rsid w:val="006F5012"/>
    <w:rsid w:val="00701898"/>
    <w:rsid w:val="00704777"/>
    <w:rsid w:val="007072A6"/>
    <w:rsid w:val="007100AC"/>
    <w:rsid w:val="007279FC"/>
    <w:rsid w:val="007406B6"/>
    <w:rsid w:val="00743BAF"/>
    <w:rsid w:val="00752550"/>
    <w:rsid w:val="007526F6"/>
    <w:rsid w:val="00752F2A"/>
    <w:rsid w:val="007601A6"/>
    <w:rsid w:val="007601E3"/>
    <w:rsid w:val="007611BC"/>
    <w:rsid w:val="007648FE"/>
    <w:rsid w:val="007763DB"/>
    <w:rsid w:val="007766C2"/>
    <w:rsid w:val="007861C9"/>
    <w:rsid w:val="00793A36"/>
    <w:rsid w:val="00793EE7"/>
    <w:rsid w:val="007A698D"/>
    <w:rsid w:val="007B0A35"/>
    <w:rsid w:val="007C5955"/>
    <w:rsid w:val="007C6A25"/>
    <w:rsid w:val="007D4407"/>
    <w:rsid w:val="007E654D"/>
    <w:rsid w:val="007E708E"/>
    <w:rsid w:val="007F4163"/>
    <w:rsid w:val="007F49E4"/>
    <w:rsid w:val="007F6B34"/>
    <w:rsid w:val="00801AB7"/>
    <w:rsid w:val="008025D9"/>
    <w:rsid w:val="008153AA"/>
    <w:rsid w:val="00832BBB"/>
    <w:rsid w:val="008456CD"/>
    <w:rsid w:val="0085794D"/>
    <w:rsid w:val="00864E61"/>
    <w:rsid w:val="00891FB2"/>
    <w:rsid w:val="008A23FB"/>
    <w:rsid w:val="008A7078"/>
    <w:rsid w:val="008A7564"/>
    <w:rsid w:val="008B20D6"/>
    <w:rsid w:val="008B6AB2"/>
    <w:rsid w:val="008B72D0"/>
    <w:rsid w:val="008F3F45"/>
    <w:rsid w:val="008F6115"/>
    <w:rsid w:val="00903FC2"/>
    <w:rsid w:val="009040B1"/>
    <w:rsid w:val="0093125C"/>
    <w:rsid w:val="00931D13"/>
    <w:rsid w:val="00953FF3"/>
    <w:rsid w:val="00955BD2"/>
    <w:rsid w:val="009779DB"/>
    <w:rsid w:val="009812EB"/>
    <w:rsid w:val="00994203"/>
    <w:rsid w:val="0099783C"/>
    <w:rsid w:val="009A49DD"/>
    <w:rsid w:val="009A4D07"/>
    <w:rsid w:val="009C7235"/>
    <w:rsid w:val="009C73A4"/>
    <w:rsid w:val="009E739A"/>
    <w:rsid w:val="009F38FF"/>
    <w:rsid w:val="009F66CF"/>
    <w:rsid w:val="00A0462C"/>
    <w:rsid w:val="00A07BBB"/>
    <w:rsid w:val="00A109B4"/>
    <w:rsid w:val="00A10D9F"/>
    <w:rsid w:val="00A13AAB"/>
    <w:rsid w:val="00A16114"/>
    <w:rsid w:val="00A358DF"/>
    <w:rsid w:val="00A45D21"/>
    <w:rsid w:val="00A511D9"/>
    <w:rsid w:val="00A52BE8"/>
    <w:rsid w:val="00A619C4"/>
    <w:rsid w:val="00A81A00"/>
    <w:rsid w:val="00A9382E"/>
    <w:rsid w:val="00A93DB6"/>
    <w:rsid w:val="00A942E8"/>
    <w:rsid w:val="00A94FA2"/>
    <w:rsid w:val="00A961FF"/>
    <w:rsid w:val="00AA1EA5"/>
    <w:rsid w:val="00AB0680"/>
    <w:rsid w:val="00AB3CEE"/>
    <w:rsid w:val="00AE1721"/>
    <w:rsid w:val="00AE4C1A"/>
    <w:rsid w:val="00AF2AF1"/>
    <w:rsid w:val="00B12E3A"/>
    <w:rsid w:val="00B24DED"/>
    <w:rsid w:val="00B2558D"/>
    <w:rsid w:val="00B3627D"/>
    <w:rsid w:val="00B4058B"/>
    <w:rsid w:val="00B4295E"/>
    <w:rsid w:val="00B42B9F"/>
    <w:rsid w:val="00B51313"/>
    <w:rsid w:val="00B526CC"/>
    <w:rsid w:val="00B55AE2"/>
    <w:rsid w:val="00B62306"/>
    <w:rsid w:val="00B64FDC"/>
    <w:rsid w:val="00B80890"/>
    <w:rsid w:val="00B8325C"/>
    <w:rsid w:val="00B8387B"/>
    <w:rsid w:val="00BC290A"/>
    <w:rsid w:val="00BC2FBD"/>
    <w:rsid w:val="00BD12BF"/>
    <w:rsid w:val="00BD594C"/>
    <w:rsid w:val="00BE19B2"/>
    <w:rsid w:val="00BE1C92"/>
    <w:rsid w:val="00C00178"/>
    <w:rsid w:val="00C36684"/>
    <w:rsid w:val="00C55351"/>
    <w:rsid w:val="00C64198"/>
    <w:rsid w:val="00C662E3"/>
    <w:rsid w:val="00C7358F"/>
    <w:rsid w:val="00C844E8"/>
    <w:rsid w:val="00C90AA9"/>
    <w:rsid w:val="00C97CA8"/>
    <w:rsid w:val="00CA37F1"/>
    <w:rsid w:val="00CA6C83"/>
    <w:rsid w:val="00CA7AAB"/>
    <w:rsid w:val="00CB3012"/>
    <w:rsid w:val="00CC0B5B"/>
    <w:rsid w:val="00CD100D"/>
    <w:rsid w:val="00CE08BD"/>
    <w:rsid w:val="00CE2C63"/>
    <w:rsid w:val="00CE3D7D"/>
    <w:rsid w:val="00CE76CF"/>
    <w:rsid w:val="00CF2B6C"/>
    <w:rsid w:val="00D038CF"/>
    <w:rsid w:val="00D0624C"/>
    <w:rsid w:val="00D617DA"/>
    <w:rsid w:val="00D702AF"/>
    <w:rsid w:val="00D76338"/>
    <w:rsid w:val="00D82836"/>
    <w:rsid w:val="00D85F87"/>
    <w:rsid w:val="00D87FDD"/>
    <w:rsid w:val="00D962BA"/>
    <w:rsid w:val="00DA075E"/>
    <w:rsid w:val="00DA3E4F"/>
    <w:rsid w:val="00DB332E"/>
    <w:rsid w:val="00DB7D20"/>
    <w:rsid w:val="00DD49C6"/>
    <w:rsid w:val="00DD79E8"/>
    <w:rsid w:val="00DE13ED"/>
    <w:rsid w:val="00E02107"/>
    <w:rsid w:val="00E07F1C"/>
    <w:rsid w:val="00E207F2"/>
    <w:rsid w:val="00E20E01"/>
    <w:rsid w:val="00E2771A"/>
    <w:rsid w:val="00E32CEE"/>
    <w:rsid w:val="00E34249"/>
    <w:rsid w:val="00E541F6"/>
    <w:rsid w:val="00E55D6B"/>
    <w:rsid w:val="00E5681B"/>
    <w:rsid w:val="00E60A2C"/>
    <w:rsid w:val="00E646AC"/>
    <w:rsid w:val="00E715AF"/>
    <w:rsid w:val="00E761C6"/>
    <w:rsid w:val="00E95E0B"/>
    <w:rsid w:val="00EA1E6D"/>
    <w:rsid w:val="00EA41A1"/>
    <w:rsid w:val="00EA56FE"/>
    <w:rsid w:val="00EB18C0"/>
    <w:rsid w:val="00EC109B"/>
    <w:rsid w:val="00ED4436"/>
    <w:rsid w:val="00ED5DDD"/>
    <w:rsid w:val="00EF1398"/>
    <w:rsid w:val="00EF1680"/>
    <w:rsid w:val="00EF319A"/>
    <w:rsid w:val="00EF66E4"/>
    <w:rsid w:val="00EF69FA"/>
    <w:rsid w:val="00F0765C"/>
    <w:rsid w:val="00F10F7B"/>
    <w:rsid w:val="00F150A7"/>
    <w:rsid w:val="00F203E4"/>
    <w:rsid w:val="00F21EFD"/>
    <w:rsid w:val="00F271BC"/>
    <w:rsid w:val="00F32A03"/>
    <w:rsid w:val="00F33004"/>
    <w:rsid w:val="00F425C5"/>
    <w:rsid w:val="00F465DF"/>
    <w:rsid w:val="00F5374F"/>
    <w:rsid w:val="00F60D9E"/>
    <w:rsid w:val="00F611A9"/>
    <w:rsid w:val="00F6493D"/>
    <w:rsid w:val="00F742B1"/>
    <w:rsid w:val="00F74DA1"/>
    <w:rsid w:val="00F7521F"/>
    <w:rsid w:val="00F7742E"/>
    <w:rsid w:val="00FA2AF9"/>
    <w:rsid w:val="00FB5469"/>
    <w:rsid w:val="00FB5952"/>
    <w:rsid w:val="00FD2C76"/>
    <w:rsid w:val="00FF20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019D"/>
  <w15:docId w15:val="{6588C515-43E3-4470-894C-A9CB5F86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623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ED5DDD"/>
    <w:pPr>
      <w:keepNext/>
      <w:numPr>
        <w:numId w:val="1"/>
      </w:numPr>
      <w:suppressAutoHyphens/>
      <w:spacing w:after="0" w:line="240" w:lineRule="auto"/>
      <w:jc w:val="center"/>
      <w:outlineLvl w:val="1"/>
    </w:pPr>
    <w:rPr>
      <w:rFonts w:ascii="Arial" w:eastAsia="Times New Roman" w:hAnsi="Arial" w:cs="Arial"/>
      <w:b/>
      <w:sz w:val="28"/>
      <w:szCs w:val="20"/>
      <w:lang w:eastAsia="ar-SA"/>
    </w:rPr>
  </w:style>
  <w:style w:type="paragraph" w:styleId="Nagwek3">
    <w:name w:val="heading 3"/>
    <w:basedOn w:val="Normalny"/>
    <w:next w:val="Normalny"/>
    <w:link w:val="Nagwek3Znak"/>
    <w:uiPriority w:val="9"/>
    <w:unhideWhenUsed/>
    <w:qFormat/>
    <w:rsid w:val="0055787A"/>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082E48"/>
    <w:pPr>
      <w:spacing w:before="100" w:beforeAutospacing="1" w:after="100" w:afterAutospacing="1" w:line="240" w:lineRule="auto"/>
    </w:pPr>
    <w:rPr>
      <w:rFonts w:ascii="Times New Roman" w:eastAsia="Times New Roman" w:hAnsi="Times New Roman" w:cs="Times New Roman"/>
      <w:sz w:val="24"/>
      <w:szCs w:val="24"/>
    </w:rPr>
  </w:style>
  <w:style w:type="paragraph" w:styleId="Bezodstpw">
    <w:name w:val="No Spacing"/>
    <w:uiPriority w:val="1"/>
    <w:qFormat/>
    <w:rsid w:val="00082E48"/>
    <w:pPr>
      <w:spacing w:after="0" w:line="240" w:lineRule="auto"/>
    </w:pPr>
    <w:rPr>
      <w:rFonts w:ascii="Times New Roman" w:eastAsia="Times New Roman" w:hAnsi="Times New Roman" w:cs="Times New Roman"/>
      <w:sz w:val="24"/>
      <w:szCs w:val="24"/>
      <w:lang w:val="en-US" w:eastAsia="en-US"/>
    </w:rPr>
  </w:style>
  <w:style w:type="table" w:styleId="Tabela-Siatka">
    <w:name w:val="Table Grid"/>
    <w:basedOn w:val="Standardowy"/>
    <w:uiPriority w:val="39"/>
    <w:rsid w:val="00082E4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082E48"/>
    <w:rPr>
      <w:color w:val="808080"/>
    </w:rPr>
  </w:style>
  <w:style w:type="paragraph" w:styleId="Nagwek">
    <w:name w:val="header"/>
    <w:aliases w:val="Nagłówek strony"/>
    <w:basedOn w:val="Normalny"/>
    <w:link w:val="NagwekZnak"/>
    <w:uiPriority w:val="99"/>
    <w:unhideWhenUsed/>
    <w:rsid w:val="00E07F1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07F1C"/>
  </w:style>
  <w:style w:type="paragraph" w:styleId="Stopka">
    <w:name w:val="footer"/>
    <w:basedOn w:val="Normalny"/>
    <w:link w:val="StopkaZnak"/>
    <w:uiPriority w:val="99"/>
    <w:unhideWhenUsed/>
    <w:rsid w:val="00E07F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07F1C"/>
  </w:style>
  <w:style w:type="character" w:styleId="Hipercze">
    <w:name w:val="Hyperlink"/>
    <w:basedOn w:val="Domylnaczcionkaakapitu"/>
    <w:uiPriority w:val="99"/>
    <w:unhideWhenUsed/>
    <w:rsid w:val="0055787A"/>
    <w:rPr>
      <w:color w:val="0563C1" w:themeColor="hyperlink"/>
      <w:u w:val="single"/>
    </w:rPr>
  </w:style>
  <w:style w:type="character" w:styleId="Nierozpoznanawzmianka">
    <w:name w:val="Unresolved Mention"/>
    <w:basedOn w:val="Domylnaczcionkaakapitu"/>
    <w:uiPriority w:val="99"/>
    <w:semiHidden/>
    <w:unhideWhenUsed/>
    <w:rsid w:val="0055787A"/>
    <w:rPr>
      <w:color w:val="605E5C"/>
      <w:shd w:val="clear" w:color="auto" w:fill="E1DFDD"/>
    </w:rPr>
  </w:style>
  <w:style w:type="character" w:customStyle="1" w:styleId="Nagwek3Znak">
    <w:name w:val="Nagłówek 3 Znak"/>
    <w:basedOn w:val="Domylnaczcionkaakapitu"/>
    <w:link w:val="Nagwek3"/>
    <w:uiPriority w:val="9"/>
    <w:rsid w:val="0055787A"/>
    <w:rPr>
      <w:rFonts w:ascii="Cambria" w:eastAsia="Times New Roman" w:hAnsi="Cambria" w:cs="Times New Roman"/>
      <w:b/>
      <w:bCs/>
      <w:sz w:val="26"/>
      <w:szCs w:val="26"/>
      <w:lang w:val="x-none" w:eastAsia="x-none"/>
    </w:rPr>
  </w:style>
  <w:style w:type="paragraph" w:styleId="Akapitzlist">
    <w:name w:val="List Paragraph"/>
    <w:aliases w:val="Numerowanie,List Paragraph,Akapit z listą BS,Kolorowa lista — akcent 11,Obiekt,List Paragraph1,Akapit z listą 1,Akapit z listą1,normalny tekst,Akapit z list¹,L1,Akapit z listą5,T_SZ_List Paragraph,Colorful List Accent 1,BulletC,Wyliczanie"/>
    <w:basedOn w:val="Normalny"/>
    <w:link w:val="AkapitzlistZnak"/>
    <w:uiPriority w:val="34"/>
    <w:qFormat/>
    <w:rsid w:val="0055787A"/>
    <w:pPr>
      <w:ind w:left="720"/>
      <w:contextualSpacing/>
    </w:pPr>
  </w:style>
  <w:style w:type="paragraph" w:customStyle="1" w:styleId="p">
    <w:name w:val="p"/>
    <w:rsid w:val="00A93DB6"/>
    <w:pPr>
      <w:spacing w:after="0" w:line="276" w:lineRule="auto"/>
    </w:pPr>
    <w:rPr>
      <w:rFonts w:ascii="Arial Narrow" w:eastAsia="Arial Narrow" w:hAnsi="Arial Narrow" w:cs="Arial Narrow"/>
    </w:rPr>
  </w:style>
  <w:style w:type="paragraph" w:customStyle="1" w:styleId="Default">
    <w:name w:val="Default"/>
    <w:rsid w:val="00A93D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Odwoaniedokomentarza">
    <w:name w:val="annotation reference"/>
    <w:basedOn w:val="Domylnaczcionkaakapitu"/>
    <w:uiPriority w:val="99"/>
    <w:semiHidden/>
    <w:unhideWhenUsed/>
    <w:rsid w:val="00A93DB6"/>
    <w:rPr>
      <w:sz w:val="16"/>
      <w:szCs w:val="16"/>
    </w:rPr>
  </w:style>
  <w:style w:type="paragraph" w:styleId="Tekstkomentarza">
    <w:name w:val="annotation text"/>
    <w:basedOn w:val="Normalny"/>
    <w:link w:val="TekstkomentarzaZnak"/>
    <w:uiPriority w:val="99"/>
    <w:unhideWhenUsed/>
    <w:rsid w:val="00A93DB6"/>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A93DB6"/>
    <w:rPr>
      <w:rFonts w:ascii="Times New Roman" w:eastAsia="Times New Roman" w:hAnsi="Times New Roman" w:cs="Times New Roman"/>
      <w:sz w:val="20"/>
      <w:szCs w:val="20"/>
    </w:rPr>
  </w:style>
  <w:style w:type="paragraph" w:customStyle="1" w:styleId="paragraph">
    <w:name w:val="paragraph"/>
    <w:basedOn w:val="Normalny"/>
    <w:rsid w:val="00A93D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omylnaczcionkaakapitu"/>
    <w:rsid w:val="00A93DB6"/>
  </w:style>
  <w:style w:type="character" w:customStyle="1" w:styleId="eop">
    <w:name w:val="eop"/>
    <w:basedOn w:val="Domylnaczcionkaakapitu"/>
    <w:rsid w:val="00A93DB6"/>
  </w:style>
  <w:style w:type="character" w:customStyle="1" w:styleId="spellingerror">
    <w:name w:val="spellingerror"/>
    <w:basedOn w:val="Domylnaczcionkaakapitu"/>
    <w:rsid w:val="00A93DB6"/>
  </w:style>
  <w:style w:type="character" w:customStyle="1" w:styleId="AkapitzlistZnak">
    <w:name w:val="Akapit z listą Znak"/>
    <w:aliases w:val="Numerowanie Znak,List Paragraph Znak,Akapit z listą BS Znak,Kolorowa lista — akcent 11 Znak,Obiekt Znak,List Paragraph1 Znak,Akapit z listą 1 Znak,Akapit z listą1 Znak,normalny tekst Znak,Akapit z list¹ Znak,L1 Znak,BulletC Znak"/>
    <w:link w:val="Akapitzlist"/>
    <w:uiPriority w:val="34"/>
    <w:qFormat/>
    <w:locked/>
    <w:rsid w:val="00A93DB6"/>
  </w:style>
  <w:style w:type="character" w:customStyle="1" w:styleId="scxw125860881">
    <w:name w:val="scxw125860881"/>
    <w:basedOn w:val="Domylnaczcionkaakapitu"/>
    <w:rsid w:val="00F74DA1"/>
  </w:style>
  <w:style w:type="character" w:customStyle="1" w:styleId="tabchar">
    <w:name w:val="tabchar"/>
    <w:basedOn w:val="Domylnaczcionkaakapitu"/>
    <w:rsid w:val="00E32CEE"/>
  </w:style>
  <w:style w:type="character" w:customStyle="1" w:styleId="normaltextrun1">
    <w:name w:val="normaltextrun1"/>
    <w:basedOn w:val="Domylnaczcionkaakapitu"/>
    <w:rsid w:val="007B0A35"/>
  </w:style>
  <w:style w:type="character" w:customStyle="1" w:styleId="scxw17894308">
    <w:name w:val="scxw17894308"/>
    <w:basedOn w:val="Domylnaczcionkaakapitu"/>
    <w:rsid w:val="007B0A35"/>
  </w:style>
  <w:style w:type="character" w:customStyle="1" w:styleId="ui-provider">
    <w:name w:val="ui-provider"/>
    <w:basedOn w:val="Domylnaczcionkaakapitu"/>
    <w:rsid w:val="00E95E0B"/>
  </w:style>
  <w:style w:type="character" w:customStyle="1" w:styleId="Nagwek1Znak">
    <w:name w:val="Nagłówek 1 Znak"/>
    <w:basedOn w:val="Domylnaczcionkaakapitu"/>
    <w:link w:val="Nagwek1"/>
    <w:uiPriority w:val="9"/>
    <w:rsid w:val="00B62306"/>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ED5DDD"/>
    <w:rPr>
      <w:rFonts w:ascii="Arial" w:eastAsia="Times New Roman" w:hAnsi="Arial" w:cs="Arial"/>
      <w:b/>
      <w:sz w:val="28"/>
      <w:szCs w:val="20"/>
      <w:lang w:eastAsia="ar-SA"/>
    </w:rPr>
  </w:style>
  <w:style w:type="paragraph" w:styleId="Tekstpodstawowywcity">
    <w:name w:val="Body Text Indent"/>
    <w:basedOn w:val="Normalny"/>
    <w:link w:val="TekstpodstawowywcityZnak"/>
    <w:rsid w:val="00ED5DDD"/>
    <w:pPr>
      <w:suppressAutoHyphens/>
      <w:spacing w:after="0" w:line="240" w:lineRule="auto"/>
      <w:ind w:left="900" w:hanging="900"/>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D5DDD"/>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semiHidden/>
    <w:unhideWhenUsed/>
    <w:rsid w:val="0065419E"/>
    <w:pPr>
      <w:spacing w:after="120" w:line="240" w:lineRule="auto"/>
    </w:pPr>
    <w:rPr>
      <w:rFonts w:eastAsiaTheme="minorHAnsi"/>
      <w:sz w:val="24"/>
      <w:szCs w:val="24"/>
      <w:lang w:eastAsia="en-US"/>
    </w:rPr>
  </w:style>
  <w:style w:type="character" w:customStyle="1" w:styleId="TekstpodstawowyZnak">
    <w:name w:val="Tekst podstawowy Znak"/>
    <w:basedOn w:val="Domylnaczcionkaakapitu"/>
    <w:link w:val="Tekstpodstawowy"/>
    <w:uiPriority w:val="99"/>
    <w:semiHidden/>
    <w:rsid w:val="0065419E"/>
    <w:rPr>
      <w:rFonts w:eastAsiaTheme="minorHAnsi"/>
      <w:sz w:val="24"/>
      <w:szCs w:val="24"/>
      <w:lang w:eastAsia="en-US"/>
    </w:rPr>
  </w:style>
  <w:style w:type="paragraph" w:styleId="Tekstprzypisudolnego">
    <w:name w:val="footnote text"/>
    <w:basedOn w:val="Normalny"/>
    <w:link w:val="TekstprzypisudolnegoZnak"/>
    <w:uiPriority w:val="99"/>
    <w:semiHidden/>
    <w:unhideWhenUsed/>
    <w:rsid w:val="00465BB7"/>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465BB7"/>
    <w:rPr>
      <w:rFonts w:ascii="Times New Roman" w:eastAsia="Times New Roman" w:hAnsi="Times New Roman" w:cs="Times New Roman"/>
      <w:sz w:val="20"/>
      <w:szCs w:val="20"/>
      <w:lang w:eastAsia="ar-SA"/>
    </w:rPr>
  </w:style>
  <w:style w:type="character" w:styleId="Odwoanieprzypisudolnego">
    <w:name w:val="footnote reference"/>
    <w:aliases w:val="Footnote symbol"/>
    <w:basedOn w:val="Domylnaczcionkaakapitu"/>
    <w:uiPriority w:val="99"/>
    <w:semiHidden/>
    <w:unhideWhenUsed/>
    <w:rsid w:val="00465BB7"/>
    <w:rPr>
      <w:vertAlign w:val="superscript"/>
    </w:rPr>
  </w:style>
  <w:style w:type="paragraph" w:customStyle="1" w:styleId="TableParagraph">
    <w:name w:val="Table Paragraph"/>
    <w:basedOn w:val="Normalny"/>
    <w:qFormat/>
    <w:rsid w:val="005A3EA9"/>
    <w:pPr>
      <w:widowControl w:val="0"/>
      <w:spacing w:after="0" w:line="240" w:lineRule="auto"/>
      <w:ind w:left="103" w:right="308"/>
    </w:pPr>
    <w:rPr>
      <w:rFonts w:ascii="Arial" w:eastAsia="Arial" w:hAnsi="Arial" w:cs="Arial"/>
      <w:lang w:val="en-US" w:eastAsia="en-US"/>
    </w:rPr>
  </w:style>
  <w:style w:type="paragraph" w:customStyle="1" w:styleId="gwpd1095a99msonormal">
    <w:name w:val="gwpd1095a99_msonormal"/>
    <w:basedOn w:val="Normalny"/>
    <w:rsid w:val="005A3E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5A3EA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name-wrapper">
    <w:name w:val="name-wrapper"/>
    <w:basedOn w:val="Domylnaczcionkaakapitu"/>
    <w:rsid w:val="005A3EA9"/>
  </w:style>
  <w:style w:type="character" w:customStyle="1" w:styleId="attribute-values">
    <w:name w:val="attribute-values"/>
    <w:basedOn w:val="Domylnaczcionkaakapitu"/>
    <w:rsid w:val="005A3EA9"/>
  </w:style>
  <w:style w:type="character" w:customStyle="1" w:styleId="attribute-name">
    <w:name w:val="attribute-name"/>
    <w:basedOn w:val="Domylnaczcionkaakapitu"/>
    <w:rsid w:val="005A3EA9"/>
  </w:style>
  <w:style w:type="character" w:styleId="Pogrubienie">
    <w:name w:val="Strong"/>
    <w:basedOn w:val="Domylnaczcionkaakapitu"/>
    <w:uiPriority w:val="22"/>
    <w:qFormat/>
    <w:rsid w:val="005A3EA9"/>
    <w:rPr>
      <w:b/>
      <w:bCs/>
    </w:rPr>
  </w:style>
  <w:style w:type="character" w:customStyle="1" w:styleId="addreadmore">
    <w:name w:val="addreadmore"/>
    <w:basedOn w:val="Domylnaczcionkaakapitu"/>
    <w:rsid w:val="005A3EA9"/>
  </w:style>
  <w:style w:type="paragraph" w:styleId="Tekstprzypisukocowego">
    <w:name w:val="endnote text"/>
    <w:basedOn w:val="Normalny"/>
    <w:link w:val="TekstprzypisukocowegoZnak"/>
    <w:uiPriority w:val="99"/>
    <w:semiHidden/>
    <w:unhideWhenUsed/>
    <w:rsid w:val="005A3EA9"/>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5A3EA9"/>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A3EA9"/>
    <w:rPr>
      <w:vertAlign w:val="superscript"/>
    </w:rPr>
  </w:style>
  <w:style w:type="paragraph" w:styleId="Tematkomentarza">
    <w:name w:val="annotation subject"/>
    <w:basedOn w:val="Tekstkomentarza"/>
    <w:next w:val="Tekstkomentarza"/>
    <w:link w:val="TematkomentarzaZnak"/>
    <w:uiPriority w:val="99"/>
    <w:semiHidden/>
    <w:unhideWhenUsed/>
    <w:rsid w:val="00AE1721"/>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E1721"/>
    <w:rPr>
      <w:rFonts w:ascii="Times New Roman" w:eastAsiaTheme="minorHAnsi" w:hAnsi="Times New Roman" w:cs="Times New Roman"/>
      <w:b/>
      <w:bCs/>
      <w:sz w:val="20"/>
      <w:szCs w:val="20"/>
      <w:lang w:eastAsia="en-US"/>
    </w:rPr>
  </w:style>
  <w:style w:type="character" w:styleId="UyteHipercze">
    <w:name w:val="FollowedHyperlink"/>
    <w:basedOn w:val="Domylnaczcionkaakapitu"/>
    <w:uiPriority w:val="99"/>
    <w:semiHidden/>
    <w:unhideWhenUsed/>
    <w:rsid w:val="00AE1721"/>
    <w:rPr>
      <w:color w:val="954F72" w:themeColor="followedHyperlink"/>
      <w:u w:val="single"/>
    </w:rPr>
  </w:style>
  <w:style w:type="paragraph" w:styleId="Tekstdymka">
    <w:name w:val="Balloon Text"/>
    <w:basedOn w:val="Normalny"/>
    <w:link w:val="TekstdymkaZnak"/>
    <w:uiPriority w:val="99"/>
    <w:semiHidden/>
    <w:unhideWhenUsed/>
    <w:rsid w:val="00AE1721"/>
    <w:pPr>
      <w:spacing w:after="0" w:line="240" w:lineRule="auto"/>
    </w:pPr>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AE1721"/>
    <w:rPr>
      <w:rFonts w:ascii="Segoe UI" w:eastAsiaTheme="minorHAnsi" w:hAnsi="Segoe UI" w:cs="Segoe UI"/>
      <w:sz w:val="18"/>
      <w:szCs w:val="18"/>
      <w:lang w:eastAsia="en-US"/>
    </w:rPr>
  </w:style>
  <w:style w:type="paragraph" w:styleId="Nagwekspisutreci">
    <w:name w:val="TOC Heading"/>
    <w:basedOn w:val="Nagwek1"/>
    <w:next w:val="Normalny"/>
    <w:uiPriority w:val="39"/>
    <w:unhideWhenUsed/>
    <w:qFormat/>
    <w:rsid w:val="00AE1721"/>
    <w:pPr>
      <w:outlineLvl w:val="9"/>
    </w:pPr>
  </w:style>
  <w:style w:type="paragraph" w:styleId="Spistreci1">
    <w:name w:val="toc 1"/>
    <w:basedOn w:val="Normalny"/>
    <w:next w:val="Normalny"/>
    <w:autoRedefine/>
    <w:uiPriority w:val="39"/>
    <w:unhideWhenUsed/>
    <w:rsid w:val="009779DB"/>
    <w:pPr>
      <w:tabs>
        <w:tab w:val="left" w:pos="480"/>
        <w:tab w:val="right" w:leader="dot" w:pos="10466"/>
      </w:tabs>
      <w:spacing w:after="100"/>
    </w:pPr>
    <w:rPr>
      <w:rFonts w:eastAsiaTheme="minorHAnsi"/>
      <w:lang w:eastAsia="en-US"/>
    </w:rPr>
  </w:style>
  <w:style w:type="paragraph" w:styleId="Poprawka">
    <w:name w:val="Revision"/>
    <w:hidden/>
    <w:uiPriority w:val="99"/>
    <w:semiHidden/>
    <w:rsid w:val="00AE1721"/>
    <w:pPr>
      <w:spacing w:after="0" w:line="240" w:lineRule="auto"/>
    </w:pPr>
    <w:rPr>
      <w:rFonts w:eastAsiaTheme="minorHAnsi"/>
      <w:lang w:eastAsia="en-US"/>
    </w:rPr>
  </w:style>
  <w:style w:type="paragraph" w:styleId="Listapunktowana">
    <w:name w:val="List Bullet"/>
    <w:basedOn w:val="Normalny"/>
    <w:uiPriority w:val="99"/>
    <w:unhideWhenUsed/>
    <w:rsid w:val="00AE1721"/>
    <w:pPr>
      <w:numPr>
        <w:numId w:val="3"/>
      </w:numPr>
      <w:tabs>
        <w:tab w:val="clear" w:pos="360"/>
      </w:tabs>
      <w:spacing w:after="200" w:line="276" w:lineRule="auto"/>
      <w:ind w:left="0" w:firstLine="0"/>
      <w:contextualSpacing/>
    </w:pPr>
    <w:rPr>
      <w:lang w:val="en-US" w:eastAsia="en-US"/>
    </w:rPr>
  </w:style>
  <w:style w:type="paragraph" w:styleId="Spistreci2">
    <w:name w:val="toc 2"/>
    <w:basedOn w:val="Normalny"/>
    <w:next w:val="Normalny"/>
    <w:autoRedefine/>
    <w:uiPriority w:val="39"/>
    <w:unhideWhenUsed/>
    <w:rsid w:val="00EF1680"/>
    <w:pPr>
      <w:tabs>
        <w:tab w:val="left" w:pos="960"/>
        <w:tab w:val="left" w:pos="993"/>
        <w:tab w:val="right" w:leader="dot" w:pos="10456"/>
      </w:tabs>
      <w:spacing w:after="100"/>
      <w:ind w:left="958" w:hanging="737"/>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0739">
      <w:bodyDiv w:val="1"/>
      <w:marLeft w:val="0"/>
      <w:marRight w:val="0"/>
      <w:marTop w:val="0"/>
      <w:marBottom w:val="0"/>
      <w:divBdr>
        <w:top w:val="none" w:sz="0" w:space="0" w:color="auto"/>
        <w:left w:val="none" w:sz="0" w:space="0" w:color="auto"/>
        <w:bottom w:val="none" w:sz="0" w:space="0" w:color="auto"/>
        <w:right w:val="none" w:sz="0" w:space="0" w:color="auto"/>
      </w:divBdr>
    </w:div>
    <w:div w:id="545259697">
      <w:bodyDiv w:val="1"/>
      <w:marLeft w:val="0"/>
      <w:marRight w:val="0"/>
      <w:marTop w:val="0"/>
      <w:marBottom w:val="0"/>
      <w:divBdr>
        <w:top w:val="none" w:sz="0" w:space="0" w:color="auto"/>
        <w:left w:val="none" w:sz="0" w:space="0" w:color="auto"/>
        <w:bottom w:val="none" w:sz="0" w:space="0" w:color="auto"/>
        <w:right w:val="none" w:sz="0" w:space="0" w:color="auto"/>
      </w:divBdr>
    </w:div>
    <w:div w:id="550507158">
      <w:bodyDiv w:val="1"/>
      <w:marLeft w:val="0"/>
      <w:marRight w:val="0"/>
      <w:marTop w:val="0"/>
      <w:marBottom w:val="0"/>
      <w:divBdr>
        <w:top w:val="none" w:sz="0" w:space="0" w:color="auto"/>
        <w:left w:val="none" w:sz="0" w:space="0" w:color="auto"/>
        <w:bottom w:val="none" w:sz="0" w:space="0" w:color="auto"/>
        <w:right w:val="none" w:sz="0" w:space="0" w:color="auto"/>
      </w:divBdr>
    </w:div>
    <w:div w:id="585963149">
      <w:bodyDiv w:val="1"/>
      <w:marLeft w:val="0"/>
      <w:marRight w:val="0"/>
      <w:marTop w:val="0"/>
      <w:marBottom w:val="0"/>
      <w:divBdr>
        <w:top w:val="none" w:sz="0" w:space="0" w:color="auto"/>
        <w:left w:val="none" w:sz="0" w:space="0" w:color="auto"/>
        <w:bottom w:val="none" w:sz="0" w:space="0" w:color="auto"/>
        <w:right w:val="none" w:sz="0" w:space="0" w:color="auto"/>
      </w:divBdr>
    </w:div>
    <w:div w:id="637107543">
      <w:bodyDiv w:val="1"/>
      <w:marLeft w:val="0"/>
      <w:marRight w:val="0"/>
      <w:marTop w:val="0"/>
      <w:marBottom w:val="0"/>
      <w:divBdr>
        <w:top w:val="none" w:sz="0" w:space="0" w:color="auto"/>
        <w:left w:val="none" w:sz="0" w:space="0" w:color="auto"/>
        <w:bottom w:val="none" w:sz="0" w:space="0" w:color="auto"/>
        <w:right w:val="none" w:sz="0" w:space="0" w:color="auto"/>
      </w:divBdr>
      <w:divsChild>
        <w:div w:id="1559123381">
          <w:marLeft w:val="0"/>
          <w:marRight w:val="0"/>
          <w:marTop w:val="0"/>
          <w:marBottom w:val="0"/>
          <w:divBdr>
            <w:top w:val="none" w:sz="0" w:space="0" w:color="auto"/>
            <w:left w:val="none" w:sz="0" w:space="0" w:color="auto"/>
            <w:bottom w:val="none" w:sz="0" w:space="0" w:color="auto"/>
            <w:right w:val="none" w:sz="0" w:space="0" w:color="auto"/>
          </w:divBdr>
        </w:div>
        <w:div w:id="350955686">
          <w:marLeft w:val="0"/>
          <w:marRight w:val="0"/>
          <w:marTop w:val="0"/>
          <w:marBottom w:val="0"/>
          <w:divBdr>
            <w:top w:val="none" w:sz="0" w:space="0" w:color="auto"/>
            <w:left w:val="none" w:sz="0" w:space="0" w:color="auto"/>
            <w:bottom w:val="none" w:sz="0" w:space="0" w:color="auto"/>
            <w:right w:val="none" w:sz="0" w:space="0" w:color="auto"/>
          </w:divBdr>
        </w:div>
        <w:div w:id="1864321323">
          <w:marLeft w:val="0"/>
          <w:marRight w:val="0"/>
          <w:marTop w:val="0"/>
          <w:marBottom w:val="0"/>
          <w:divBdr>
            <w:top w:val="none" w:sz="0" w:space="0" w:color="auto"/>
            <w:left w:val="none" w:sz="0" w:space="0" w:color="auto"/>
            <w:bottom w:val="none" w:sz="0" w:space="0" w:color="auto"/>
            <w:right w:val="none" w:sz="0" w:space="0" w:color="auto"/>
          </w:divBdr>
        </w:div>
        <w:div w:id="518858125">
          <w:marLeft w:val="0"/>
          <w:marRight w:val="0"/>
          <w:marTop w:val="0"/>
          <w:marBottom w:val="0"/>
          <w:divBdr>
            <w:top w:val="none" w:sz="0" w:space="0" w:color="auto"/>
            <w:left w:val="none" w:sz="0" w:space="0" w:color="auto"/>
            <w:bottom w:val="none" w:sz="0" w:space="0" w:color="auto"/>
            <w:right w:val="none" w:sz="0" w:space="0" w:color="auto"/>
          </w:divBdr>
        </w:div>
        <w:div w:id="664935099">
          <w:marLeft w:val="0"/>
          <w:marRight w:val="0"/>
          <w:marTop w:val="0"/>
          <w:marBottom w:val="0"/>
          <w:divBdr>
            <w:top w:val="none" w:sz="0" w:space="0" w:color="auto"/>
            <w:left w:val="none" w:sz="0" w:space="0" w:color="auto"/>
            <w:bottom w:val="none" w:sz="0" w:space="0" w:color="auto"/>
            <w:right w:val="none" w:sz="0" w:space="0" w:color="auto"/>
          </w:divBdr>
        </w:div>
        <w:div w:id="368651352">
          <w:marLeft w:val="0"/>
          <w:marRight w:val="0"/>
          <w:marTop w:val="0"/>
          <w:marBottom w:val="0"/>
          <w:divBdr>
            <w:top w:val="none" w:sz="0" w:space="0" w:color="auto"/>
            <w:left w:val="none" w:sz="0" w:space="0" w:color="auto"/>
            <w:bottom w:val="none" w:sz="0" w:space="0" w:color="auto"/>
            <w:right w:val="none" w:sz="0" w:space="0" w:color="auto"/>
          </w:divBdr>
        </w:div>
        <w:div w:id="1380744488">
          <w:marLeft w:val="0"/>
          <w:marRight w:val="0"/>
          <w:marTop w:val="0"/>
          <w:marBottom w:val="0"/>
          <w:divBdr>
            <w:top w:val="none" w:sz="0" w:space="0" w:color="auto"/>
            <w:left w:val="none" w:sz="0" w:space="0" w:color="auto"/>
            <w:bottom w:val="none" w:sz="0" w:space="0" w:color="auto"/>
            <w:right w:val="none" w:sz="0" w:space="0" w:color="auto"/>
          </w:divBdr>
        </w:div>
        <w:div w:id="398869470">
          <w:marLeft w:val="0"/>
          <w:marRight w:val="0"/>
          <w:marTop w:val="0"/>
          <w:marBottom w:val="0"/>
          <w:divBdr>
            <w:top w:val="none" w:sz="0" w:space="0" w:color="auto"/>
            <w:left w:val="none" w:sz="0" w:space="0" w:color="auto"/>
            <w:bottom w:val="none" w:sz="0" w:space="0" w:color="auto"/>
            <w:right w:val="none" w:sz="0" w:space="0" w:color="auto"/>
          </w:divBdr>
        </w:div>
      </w:divsChild>
    </w:div>
    <w:div w:id="688599883">
      <w:bodyDiv w:val="1"/>
      <w:marLeft w:val="0"/>
      <w:marRight w:val="0"/>
      <w:marTop w:val="0"/>
      <w:marBottom w:val="0"/>
      <w:divBdr>
        <w:top w:val="none" w:sz="0" w:space="0" w:color="auto"/>
        <w:left w:val="none" w:sz="0" w:space="0" w:color="auto"/>
        <w:bottom w:val="none" w:sz="0" w:space="0" w:color="auto"/>
        <w:right w:val="none" w:sz="0" w:space="0" w:color="auto"/>
      </w:divBdr>
    </w:div>
    <w:div w:id="923684607">
      <w:bodyDiv w:val="1"/>
      <w:marLeft w:val="0"/>
      <w:marRight w:val="0"/>
      <w:marTop w:val="0"/>
      <w:marBottom w:val="0"/>
      <w:divBdr>
        <w:top w:val="none" w:sz="0" w:space="0" w:color="auto"/>
        <w:left w:val="none" w:sz="0" w:space="0" w:color="auto"/>
        <w:bottom w:val="none" w:sz="0" w:space="0" w:color="auto"/>
        <w:right w:val="none" w:sz="0" w:space="0" w:color="auto"/>
      </w:divBdr>
    </w:div>
    <w:div w:id="1000740957">
      <w:bodyDiv w:val="1"/>
      <w:marLeft w:val="0"/>
      <w:marRight w:val="0"/>
      <w:marTop w:val="0"/>
      <w:marBottom w:val="0"/>
      <w:divBdr>
        <w:top w:val="none" w:sz="0" w:space="0" w:color="auto"/>
        <w:left w:val="none" w:sz="0" w:space="0" w:color="auto"/>
        <w:bottom w:val="none" w:sz="0" w:space="0" w:color="auto"/>
        <w:right w:val="none" w:sz="0" w:space="0" w:color="auto"/>
      </w:divBdr>
      <w:divsChild>
        <w:div w:id="1492718477">
          <w:marLeft w:val="0"/>
          <w:marRight w:val="0"/>
          <w:marTop w:val="0"/>
          <w:marBottom w:val="0"/>
          <w:divBdr>
            <w:top w:val="none" w:sz="0" w:space="0" w:color="auto"/>
            <w:left w:val="none" w:sz="0" w:space="0" w:color="auto"/>
            <w:bottom w:val="none" w:sz="0" w:space="0" w:color="auto"/>
            <w:right w:val="none" w:sz="0" w:space="0" w:color="auto"/>
          </w:divBdr>
        </w:div>
        <w:div w:id="527334481">
          <w:marLeft w:val="0"/>
          <w:marRight w:val="0"/>
          <w:marTop w:val="0"/>
          <w:marBottom w:val="0"/>
          <w:divBdr>
            <w:top w:val="none" w:sz="0" w:space="0" w:color="auto"/>
            <w:left w:val="none" w:sz="0" w:space="0" w:color="auto"/>
            <w:bottom w:val="none" w:sz="0" w:space="0" w:color="auto"/>
            <w:right w:val="none" w:sz="0" w:space="0" w:color="auto"/>
          </w:divBdr>
        </w:div>
        <w:div w:id="1699163361">
          <w:marLeft w:val="0"/>
          <w:marRight w:val="0"/>
          <w:marTop w:val="0"/>
          <w:marBottom w:val="0"/>
          <w:divBdr>
            <w:top w:val="none" w:sz="0" w:space="0" w:color="auto"/>
            <w:left w:val="none" w:sz="0" w:space="0" w:color="auto"/>
            <w:bottom w:val="none" w:sz="0" w:space="0" w:color="auto"/>
            <w:right w:val="none" w:sz="0" w:space="0" w:color="auto"/>
          </w:divBdr>
        </w:div>
        <w:div w:id="1201700163">
          <w:marLeft w:val="0"/>
          <w:marRight w:val="0"/>
          <w:marTop w:val="0"/>
          <w:marBottom w:val="0"/>
          <w:divBdr>
            <w:top w:val="none" w:sz="0" w:space="0" w:color="auto"/>
            <w:left w:val="none" w:sz="0" w:space="0" w:color="auto"/>
            <w:bottom w:val="none" w:sz="0" w:space="0" w:color="auto"/>
            <w:right w:val="none" w:sz="0" w:space="0" w:color="auto"/>
          </w:divBdr>
        </w:div>
        <w:div w:id="823619364">
          <w:marLeft w:val="0"/>
          <w:marRight w:val="0"/>
          <w:marTop w:val="0"/>
          <w:marBottom w:val="0"/>
          <w:divBdr>
            <w:top w:val="none" w:sz="0" w:space="0" w:color="auto"/>
            <w:left w:val="none" w:sz="0" w:space="0" w:color="auto"/>
            <w:bottom w:val="none" w:sz="0" w:space="0" w:color="auto"/>
            <w:right w:val="none" w:sz="0" w:space="0" w:color="auto"/>
          </w:divBdr>
        </w:div>
        <w:div w:id="1741246279">
          <w:marLeft w:val="0"/>
          <w:marRight w:val="0"/>
          <w:marTop w:val="0"/>
          <w:marBottom w:val="0"/>
          <w:divBdr>
            <w:top w:val="none" w:sz="0" w:space="0" w:color="auto"/>
            <w:left w:val="none" w:sz="0" w:space="0" w:color="auto"/>
            <w:bottom w:val="none" w:sz="0" w:space="0" w:color="auto"/>
            <w:right w:val="none" w:sz="0" w:space="0" w:color="auto"/>
          </w:divBdr>
        </w:div>
        <w:div w:id="2087722995">
          <w:marLeft w:val="0"/>
          <w:marRight w:val="0"/>
          <w:marTop w:val="0"/>
          <w:marBottom w:val="0"/>
          <w:divBdr>
            <w:top w:val="none" w:sz="0" w:space="0" w:color="auto"/>
            <w:left w:val="none" w:sz="0" w:space="0" w:color="auto"/>
            <w:bottom w:val="none" w:sz="0" w:space="0" w:color="auto"/>
            <w:right w:val="none" w:sz="0" w:space="0" w:color="auto"/>
          </w:divBdr>
        </w:div>
      </w:divsChild>
    </w:div>
    <w:div w:id="1005354257">
      <w:bodyDiv w:val="1"/>
      <w:marLeft w:val="0"/>
      <w:marRight w:val="0"/>
      <w:marTop w:val="0"/>
      <w:marBottom w:val="0"/>
      <w:divBdr>
        <w:top w:val="none" w:sz="0" w:space="0" w:color="auto"/>
        <w:left w:val="none" w:sz="0" w:space="0" w:color="auto"/>
        <w:bottom w:val="none" w:sz="0" w:space="0" w:color="auto"/>
        <w:right w:val="none" w:sz="0" w:space="0" w:color="auto"/>
      </w:divBdr>
    </w:div>
    <w:div w:id="1055156791">
      <w:bodyDiv w:val="1"/>
      <w:marLeft w:val="0"/>
      <w:marRight w:val="0"/>
      <w:marTop w:val="0"/>
      <w:marBottom w:val="0"/>
      <w:divBdr>
        <w:top w:val="none" w:sz="0" w:space="0" w:color="auto"/>
        <w:left w:val="none" w:sz="0" w:space="0" w:color="auto"/>
        <w:bottom w:val="none" w:sz="0" w:space="0" w:color="auto"/>
        <w:right w:val="none" w:sz="0" w:space="0" w:color="auto"/>
      </w:divBdr>
      <w:divsChild>
        <w:div w:id="896816906">
          <w:marLeft w:val="0"/>
          <w:marRight w:val="0"/>
          <w:marTop w:val="0"/>
          <w:marBottom w:val="0"/>
          <w:divBdr>
            <w:top w:val="none" w:sz="0" w:space="0" w:color="auto"/>
            <w:left w:val="none" w:sz="0" w:space="0" w:color="auto"/>
            <w:bottom w:val="none" w:sz="0" w:space="0" w:color="auto"/>
            <w:right w:val="none" w:sz="0" w:space="0" w:color="auto"/>
          </w:divBdr>
        </w:div>
        <w:div w:id="1263732461">
          <w:marLeft w:val="0"/>
          <w:marRight w:val="0"/>
          <w:marTop w:val="0"/>
          <w:marBottom w:val="0"/>
          <w:divBdr>
            <w:top w:val="none" w:sz="0" w:space="0" w:color="auto"/>
            <w:left w:val="none" w:sz="0" w:space="0" w:color="auto"/>
            <w:bottom w:val="none" w:sz="0" w:space="0" w:color="auto"/>
            <w:right w:val="none" w:sz="0" w:space="0" w:color="auto"/>
          </w:divBdr>
        </w:div>
        <w:div w:id="967316924">
          <w:marLeft w:val="0"/>
          <w:marRight w:val="0"/>
          <w:marTop w:val="0"/>
          <w:marBottom w:val="0"/>
          <w:divBdr>
            <w:top w:val="none" w:sz="0" w:space="0" w:color="auto"/>
            <w:left w:val="none" w:sz="0" w:space="0" w:color="auto"/>
            <w:bottom w:val="none" w:sz="0" w:space="0" w:color="auto"/>
            <w:right w:val="none" w:sz="0" w:space="0" w:color="auto"/>
          </w:divBdr>
        </w:div>
        <w:div w:id="1490246186">
          <w:marLeft w:val="0"/>
          <w:marRight w:val="0"/>
          <w:marTop w:val="0"/>
          <w:marBottom w:val="0"/>
          <w:divBdr>
            <w:top w:val="none" w:sz="0" w:space="0" w:color="auto"/>
            <w:left w:val="none" w:sz="0" w:space="0" w:color="auto"/>
            <w:bottom w:val="none" w:sz="0" w:space="0" w:color="auto"/>
            <w:right w:val="none" w:sz="0" w:space="0" w:color="auto"/>
          </w:divBdr>
        </w:div>
        <w:div w:id="422535194">
          <w:marLeft w:val="0"/>
          <w:marRight w:val="0"/>
          <w:marTop w:val="0"/>
          <w:marBottom w:val="0"/>
          <w:divBdr>
            <w:top w:val="none" w:sz="0" w:space="0" w:color="auto"/>
            <w:left w:val="none" w:sz="0" w:space="0" w:color="auto"/>
            <w:bottom w:val="none" w:sz="0" w:space="0" w:color="auto"/>
            <w:right w:val="none" w:sz="0" w:space="0" w:color="auto"/>
          </w:divBdr>
        </w:div>
        <w:div w:id="1748453160">
          <w:marLeft w:val="0"/>
          <w:marRight w:val="0"/>
          <w:marTop w:val="0"/>
          <w:marBottom w:val="0"/>
          <w:divBdr>
            <w:top w:val="none" w:sz="0" w:space="0" w:color="auto"/>
            <w:left w:val="none" w:sz="0" w:space="0" w:color="auto"/>
            <w:bottom w:val="none" w:sz="0" w:space="0" w:color="auto"/>
            <w:right w:val="none" w:sz="0" w:space="0" w:color="auto"/>
          </w:divBdr>
        </w:div>
        <w:div w:id="1659000146">
          <w:marLeft w:val="0"/>
          <w:marRight w:val="0"/>
          <w:marTop w:val="0"/>
          <w:marBottom w:val="0"/>
          <w:divBdr>
            <w:top w:val="none" w:sz="0" w:space="0" w:color="auto"/>
            <w:left w:val="none" w:sz="0" w:space="0" w:color="auto"/>
            <w:bottom w:val="none" w:sz="0" w:space="0" w:color="auto"/>
            <w:right w:val="none" w:sz="0" w:space="0" w:color="auto"/>
          </w:divBdr>
        </w:div>
      </w:divsChild>
    </w:div>
    <w:div w:id="1060980662">
      <w:bodyDiv w:val="1"/>
      <w:marLeft w:val="0"/>
      <w:marRight w:val="0"/>
      <w:marTop w:val="0"/>
      <w:marBottom w:val="0"/>
      <w:divBdr>
        <w:top w:val="none" w:sz="0" w:space="0" w:color="auto"/>
        <w:left w:val="none" w:sz="0" w:space="0" w:color="auto"/>
        <w:bottom w:val="none" w:sz="0" w:space="0" w:color="auto"/>
        <w:right w:val="none" w:sz="0" w:space="0" w:color="auto"/>
      </w:divBdr>
    </w:div>
    <w:div w:id="1147934889">
      <w:bodyDiv w:val="1"/>
      <w:marLeft w:val="0"/>
      <w:marRight w:val="0"/>
      <w:marTop w:val="0"/>
      <w:marBottom w:val="0"/>
      <w:divBdr>
        <w:top w:val="none" w:sz="0" w:space="0" w:color="auto"/>
        <w:left w:val="none" w:sz="0" w:space="0" w:color="auto"/>
        <w:bottom w:val="none" w:sz="0" w:space="0" w:color="auto"/>
        <w:right w:val="none" w:sz="0" w:space="0" w:color="auto"/>
      </w:divBdr>
    </w:div>
    <w:div w:id="1260799094">
      <w:bodyDiv w:val="1"/>
      <w:marLeft w:val="0"/>
      <w:marRight w:val="0"/>
      <w:marTop w:val="0"/>
      <w:marBottom w:val="0"/>
      <w:divBdr>
        <w:top w:val="none" w:sz="0" w:space="0" w:color="auto"/>
        <w:left w:val="none" w:sz="0" w:space="0" w:color="auto"/>
        <w:bottom w:val="none" w:sz="0" w:space="0" w:color="auto"/>
        <w:right w:val="none" w:sz="0" w:space="0" w:color="auto"/>
      </w:divBdr>
    </w:div>
    <w:div w:id="1322853934">
      <w:bodyDiv w:val="1"/>
      <w:marLeft w:val="0"/>
      <w:marRight w:val="0"/>
      <w:marTop w:val="0"/>
      <w:marBottom w:val="0"/>
      <w:divBdr>
        <w:top w:val="none" w:sz="0" w:space="0" w:color="auto"/>
        <w:left w:val="none" w:sz="0" w:space="0" w:color="auto"/>
        <w:bottom w:val="none" w:sz="0" w:space="0" w:color="auto"/>
        <w:right w:val="none" w:sz="0" w:space="0" w:color="auto"/>
      </w:divBdr>
    </w:div>
    <w:div w:id="2052341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5A4A9-76ED-704A-AA11-ED1E692F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8</Pages>
  <Words>3475</Words>
  <Characters>20851</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Rydzyna</dc:creator>
  <cp:keywords/>
  <dc:description/>
  <cp:lastModifiedBy>Microsoft Office User</cp:lastModifiedBy>
  <cp:revision>18</cp:revision>
  <dcterms:created xsi:type="dcterms:W3CDTF">2026-03-27T10:49:00Z</dcterms:created>
  <dcterms:modified xsi:type="dcterms:W3CDTF">2026-04-16T09:37:00Z</dcterms:modified>
</cp:coreProperties>
</file>