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BAF0D" w14:textId="0574E3CA" w:rsidR="00A43870" w:rsidRPr="00C040AE" w:rsidRDefault="00A43870" w:rsidP="00C040AE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40AE">
        <w:rPr>
          <w:rFonts w:ascii="Times New Roman" w:hAnsi="Times New Roman" w:cs="Times New Roman"/>
          <w:b/>
          <w:bCs/>
          <w:sz w:val="28"/>
          <w:szCs w:val="28"/>
        </w:rPr>
        <w:t xml:space="preserve">Zadanie nr </w:t>
      </w:r>
      <w:r w:rsidR="00C040AE" w:rsidRPr="00C040A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C040AE">
        <w:rPr>
          <w:rFonts w:ascii="Times New Roman" w:hAnsi="Times New Roman" w:cs="Times New Roman"/>
          <w:b/>
          <w:bCs/>
          <w:sz w:val="28"/>
          <w:szCs w:val="28"/>
        </w:rPr>
        <w:t xml:space="preserve"> składające się z </w:t>
      </w:r>
      <w:r w:rsidR="00C040AE" w:rsidRPr="00C040AE"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 w:rsidRPr="00C040AE">
        <w:rPr>
          <w:rFonts w:ascii="Times New Roman" w:hAnsi="Times New Roman" w:cs="Times New Roman"/>
          <w:b/>
          <w:bCs/>
          <w:sz w:val="28"/>
          <w:szCs w:val="28"/>
        </w:rPr>
        <w:t>części:</w:t>
      </w:r>
    </w:p>
    <w:p w14:paraId="4A8422F8" w14:textId="77777777" w:rsidR="00A43870" w:rsidRPr="00C040AE" w:rsidRDefault="00A43870" w:rsidP="00C040AE">
      <w:pPr>
        <w:spacing w:after="0" w:line="240" w:lineRule="auto"/>
        <w:ind w:left="720" w:hanging="360"/>
        <w:rPr>
          <w:rFonts w:ascii="Times New Roman" w:hAnsi="Times New Roman" w:cs="Times New Roman"/>
          <w:b/>
          <w:bCs/>
          <w:sz w:val="20"/>
        </w:rPr>
      </w:pPr>
    </w:p>
    <w:p w14:paraId="0C49E0B5" w14:textId="2F5DC9C6" w:rsidR="002B5D43" w:rsidRPr="00C040AE" w:rsidRDefault="00C040AE" w:rsidP="00C040AE">
      <w:pPr>
        <w:pStyle w:val="Akapitzlist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 w:rsidRPr="00C040AE">
        <w:rPr>
          <w:rFonts w:ascii="Times New Roman" w:hAnsi="Times New Roman" w:cs="Times New Roman"/>
          <w:b/>
          <w:bCs/>
        </w:rPr>
        <w:t xml:space="preserve">Strzykawkowa pompa infuzyjna </w:t>
      </w:r>
      <w:r w:rsidR="002B5D43" w:rsidRPr="00C040AE">
        <w:rPr>
          <w:rFonts w:ascii="Times New Roman" w:hAnsi="Times New Roman" w:cs="Times New Roman"/>
          <w:b/>
          <w:bCs/>
        </w:rPr>
        <w:t xml:space="preserve">– sztuk </w:t>
      </w:r>
      <w:r w:rsidRPr="00C040AE">
        <w:rPr>
          <w:rFonts w:ascii="Times New Roman" w:hAnsi="Times New Roman" w:cs="Times New Roman"/>
          <w:b/>
          <w:bCs/>
        </w:rPr>
        <w:t>9</w:t>
      </w:r>
    </w:p>
    <w:tbl>
      <w:tblPr>
        <w:tblW w:w="524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2836"/>
      </w:tblGrid>
      <w:tr w:rsidR="002B5D43" w:rsidRPr="00C040AE" w14:paraId="24B68C86" w14:textId="77777777" w:rsidTr="007C50CC">
        <w:trPr>
          <w:trHeight w:val="680"/>
        </w:trPr>
        <w:tc>
          <w:tcPr>
            <w:tcW w:w="298" w:type="pct"/>
            <w:vAlign w:val="center"/>
          </w:tcPr>
          <w:p w14:paraId="68F9E8DD" w14:textId="56413FC4" w:rsidR="002B5D43" w:rsidRPr="00C040AE" w:rsidRDefault="002B5D43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209" w:type="pct"/>
            <w:vAlign w:val="center"/>
          </w:tcPr>
          <w:p w14:paraId="56675DCB" w14:textId="77777777" w:rsidR="002B5D43" w:rsidRPr="00C040AE" w:rsidRDefault="002B5D43" w:rsidP="00C0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Wymagane minimalne parametry techniczne i funkcjonalne</w:t>
            </w:r>
          </w:p>
        </w:tc>
        <w:tc>
          <w:tcPr>
            <w:tcW w:w="1493" w:type="pct"/>
            <w:vAlign w:val="center"/>
          </w:tcPr>
          <w:p w14:paraId="56862A15" w14:textId="77777777" w:rsidR="002B5D43" w:rsidRPr="00C040AE" w:rsidRDefault="002B5D43" w:rsidP="00C040A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40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Wpisać TAK</w:t>
            </w:r>
          </w:p>
          <w:p w14:paraId="740952B3" w14:textId="77777777" w:rsidR="002B5D43" w:rsidRPr="00C040AE" w:rsidRDefault="002B5D43" w:rsidP="00C0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 podać parametr oferowany -wypełnia Wykonawca</w:t>
            </w:r>
          </w:p>
        </w:tc>
      </w:tr>
      <w:tr w:rsidR="00C040AE" w:rsidRPr="00C040AE" w14:paraId="1971CD95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AEF3" w14:textId="39372C84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5194" w14:textId="40FF5C81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 xml:space="preserve">Stosowanie strzykawek </w:t>
            </w:r>
            <w:r w:rsidRPr="00C040AE">
              <w:rPr>
                <w:rFonts w:ascii="Times New Roman" w:hAnsi="Times New Roman" w:cs="Times New Roman"/>
                <w:bCs/>
                <w:sz w:val="20"/>
              </w:rPr>
              <w:t>2</w:t>
            </w:r>
            <w:r w:rsidRPr="00C040AE">
              <w:rPr>
                <w:rFonts w:ascii="Times New Roman" w:hAnsi="Times New Roman" w:cs="Times New Roman"/>
                <w:sz w:val="20"/>
              </w:rPr>
              <w:t xml:space="preserve">, 5, 6, 10, 12, 20, 30, 35, 50 ml.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8889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2F24419E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907D" w14:textId="2775772F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F091" w14:textId="1F8C8B7F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bCs/>
                <w:sz w:val="20"/>
              </w:rPr>
              <w:t>Strzykawki montowane od czoła.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A664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772DC2D1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0478" w14:textId="14B395A1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40AB" w14:textId="6DD03750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Ramię pompy niewychodzące poza gabaryt obudowy.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A820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2F1FFBE8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BB0C" w14:textId="487FF484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7D39" w14:textId="67E6F065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Klawiatura symboliczna i fizyczna (nie wyświetlana na ekranie) klawiatura alfanumeryczna umożliwiająca szybkie i intuicyjne programowanie infuzji oraz obsługę pompy.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C096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3E03B8BF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BCB5" w14:textId="6FD43A2D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6C41" w14:textId="21A1481B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 xml:space="preserve">Wysokość pompy 11,5 cm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E73B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47A6BE11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49F6" w14:textId="3BC8C277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1C49" w14:textId="4357FF7C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Szybkość dozowania w zakresie 0,1-2000 ml/h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0604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7266379F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5A41" w14:textId="4C664119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236C" w14:textId="77777777" w:rsidR="00C040AE" w:rsidRPr="00C040AE" w:rsidRDefault="00C040AE" w:rsidP="00C040A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Programowanie parametrów infuzji w jednostkach:</w:t>
            </w:r>
          </w:p>
          <w:p w14:paraId="3AE8A4E0" w14:textId="77777777" w:rsidR="00C040AE" w:rsidRPr="00C040AE" w:rsidRDefault="00C040AE" w:rsidP="00C040AE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383" w:hanging="28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ml, L,</w:t>
            </w:r>
          </w:p>
          <w:p w14:paraId="0A09F986" w14:textId="77777777" w:rsidR="00C040AE" w:rsidRPr="00C040AE" w:rsidRDefault="00C040AE" w:rsidP="00C040AE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383" w:hanging="28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ng, μg, mg, g,</w:t>
            </w:r>
          </w:p>
          <w:p w14:paraId="3BB63C7B" w14:textId="77777777" w:rsidR="00C040AE" w:rsidRPr="00C040AE" w:rsidRDefault="00C040AE" w:rsidP="00C040AE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383" w:hanging="28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μEq, mEq, Eq,</w:t>
            </w:r>
          </w:p>
          <w:p w14:paraId="593B1A5E" w14:textId="77777777" w:rsidR="00C040AE" w:rsidRPr="00C040AE" w:rsidRDefault="00C040AE" w:rsidP="00C040AE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383" w:hanging="28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mlU, IU, kIU,</w:t>
            </w:r>
          </w:p>
          <w:p w14:paraId="4B6F6044" w14:textId="77777777" w:rsidR="00C040AE" w:rsidRPr="00C040AE" w:rsidRDefault="00C040AE" w:rsidP="00C040AE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383" w:hanging="28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mIE, IE, kIE,</w:t>
            </w:r>
          </w:p>
          <w:p w14:paraId="0ACCDB8F" w14:textId="77777777" w:rsidR="00C040AE" w:rsidRPr="00C040AE" w:rsidRDefault="00C040AE" w:rsidP="00C040AE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383" w:hanging="28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cal, kcal,</w:t>
            </w:r>
          </w:p>
          <w:p w14:paraId="700FC208" w14:textId="77777777" w:rsidR="00C040AE" w:rsidRPr="00C040AE" w:rsidRDefault="00C040AE" w:rsidP="00C040AE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383" w:hanging="28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J, kJ,</w:t>
            </w:r>
          </w:p>
          <w:p w14:paraId="279398E1" w14:textId="77777777" w:rsidR="00C040AE" w:rsidRPr="00C040AE" w:rsidRDefault="00C040AE" w:rsidP="00C040AE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380" w:hanging="28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 xml:space="preserve">mmol, mol, </w:t>
            </w:r>
          </w:p>
          <w:p w14:paraId="645CBFD6" w14:textId="77777777" w:rsidR="00C040AE" w:rsidRPr="00C040AE" w:rsidRDefault="00C040AE" w:rsidP="00C040AE">
            <w:pPr>
              <w:spacing w:after="0" w:line="240" w:lineRule="auto"/>
              <w:ind w:left="99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z uwzględnieniem wagi pacjenta lub nie,</w:t>
            </w:r>
          </w:p>
          <w:p w14:paraId="55385540" w14:textId="77777777" w:rsidR="00C040AE" w:rsidRPr="00C040AE" w:rsidRDefault="00C040AE" w:rsidP="00C040AE">
            <w:pPr>
              <w:spacing w:after="0" w:line="240" w:lineRule="auto"/>
              <w:ind w:left="99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 xml:space="preserve">z uwzględnieniem powierzchni pacjenta lub nie, </w:t>
            </w:r>
          </w:p>
          <w:p w14:paraId="545165C6" w14:textId="6D2B504A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na min, godz., dobę.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47ED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25E602BE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B783" w14:textId="09DC27C3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F408" w14:textId="31B41122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bCs/>
                <w:sz w:val="20"/>
              </w:rPr>
              <w:t>Zabezpieczenie przed gwałtowną zmianą szybkości w trakcie trwania infuzji (miareczkowanie).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AFC5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7B8E740B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F544" w14:textId="5DEE28D9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0EB4" w14:textId="77777777" w:rsidR="00C040AE" w:rsidRPr="00C040AE" w:rsidRDefault="00C040AE" w:rsidP="00C040A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Tryby dozowania:</w:t>
            </w:r>
          </w:p>
          <w:p w14:paraId="3DFB08ED" w14:textId="77777777" w:rsidR="00C040AE" w:rsidRPr="00C040AE" w:rsidRDefault="00C040AE" w:rsidP="00C040AE">
            <w:pPr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Infuzja ciągła,</w:t>
            </w:r>
          </w:p>
          <w:p w14:paraId="62923766" w14:textId="77777777" w:rsidR="00C040AE" w:rsidRPr="00C040AE" w:rsidRDefault="00C040AE" w:rsidP="00C040AE">
            <w:pPr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Infuzja bolusowa (z przerwą),</w:t>
            </w:r>
          </w:p>
          <w:p w14:paraId="1E6432F3" w14:textId="77777777" w:rsidR="00C040AE" w:rsidRPr="00C040AE" w:rsidRDefault="00C040AE" w:rsidP="00C040AE">
            <w:pPr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Infuzja profilowa (24 kroki infuzji),</w:t>
            </w:r>
          </w:p>
          <w:p w14:paraId="26E4D4B2" w14:textId="0503678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Infuzja TPN (narastanie / utrzymanie / opadanie).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3D6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6573A7C1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B8E4" w14:textId="14A1F1D7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D613" w14:textId="6EA751F3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Dokładność infuzji ± 2%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692D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5B3F775A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9119" w14:textId="23C772E4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C20D" w14:textId="77777777" w:rsidR="00C040AE" w:rsidRPr="00C040AE" w:rsidRDefault="00C040AE" w:rsidP="00C040A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Programowanie parametrów podaży Bolus-a i dawki indukcyjnej:</w:t>
            </w:r>
          </w:p>
          <w:p w14:paraId="25C4406B" w14:textId="77777777" w:rsidR="00C040AE" w:rsidRPr="00C040AE" w:rsidRDefault="00C040AE" w:rsidP="00C040AE">
            <w:pPr>
              <w:numPr>
                <w:ilvl w:val="0"/>
                <w:numId w:val="36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objętość / dawka</w:t>
            </w:r>
          </w:p>
          <w:p w14:paraId="54863AD5" w14:textId="74E81E96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czas lub szybkość podaży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D38C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415C856F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B34" w14:textId="358F47A1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D5C3" w14:textId="07EA58E8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bCs/>
                <w:sz w:val="20"/>
              </w:rPr>
              <w:t>Automatyczne zmniejszenie szybkości podaży bolusa, w celu uniknięcia przerwania infuzji na skutek alarmu okluzji.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5256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0A8587BA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C526" w14:textId="54BBCB2C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6BDC" w14:textId="77777777" w:rsidR="00C040AE" w:rsidRPr="00C040AE" w:rsidRDefault="00C040AE" w:rsidP="00C040A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Możliwość wgrania do pompy biblioteki leków złożonej z procedur dozowania zawierających co najmniej:</w:t>
            </w:r>
          </w:p>
          <w:p w14:paraId="6873BDDF" w14:textId="77777777" w:rsidR="00C040AE" w:rsidRPr="00C040AE" w:rsidRDefault="00C040AE" w:rsidP="00C040AE">
            <w:pPr>
              <w:numPr>
                <w:ilvl w:val="0"/>
                <w:numId w:val="3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nazwy leku,</w:t>
            </w:r>
          </w:p>
          <w:p w14:paraId="3B4803E1" w14:textId="77777777" w:rsidR="00C040AE" w:rsidRPr="00C040AE" w:rsidRDefault="00C040AE" w:rsidP="00C040AE">
            <w:pPr>
              <w:numPr>
                <w:ilvl w:val="0"/>
                <w:numId w:val="3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10 koncentracji leku,</w:t>
            </w:r>
          </w:p>
          <w:p w14:paraId="54C9AFD8" w14:textId="77777777" w:rsidR="00C040AE" w:rsidRPr="00C040AE" w:rsidRDefault="00C040AE" w:rsidP="00C040AE">
            <w:pPr>
              <w:numPr>
                <w:ilvl w:val="0"/>
                <w:numId w:val="3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szybkości dozowania (dawkowanie),</w:t>
            </w:r>
          </w:p>
          <w:p w14:paraId="586BDAE4" w14:textId="77777777" w:rsidR="00C040AE" w:rsidRPr="00C040AE" w:rsidRDefault="00C040AE" w:rsidP="00C040AE">
            <w:pPr>
              <w:numPr>
                <w:ilvl w:val="0"/>
                <w:numId w:val="3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całkowitej objętości (dawki) infuzji,</w:t>
            </w:r>
          </w:p>
          <w:p w14:paraId="3CB94C79" w14:textId="77777777" w:rsidR="00C040AE" w:rsidRPr="00C040AE" w:rsidRDefault="00C040AE" w:rsidP="00C040AE">
            <w:pPr>
              <w:numPr>
                <w:ilvl w:val="0"/>
                <w:numId w:val="3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parametrów bolusa, oraz dawki indukcyjnej,</w:t>
            </w:r>
          </w:p>
          <w:p w14:paraId="2BB78A29" w14:textId="77777777" w:rsidR="00C040AE" w:rsidRPr="00C040AE" w:rsidRDefault="00C040AE" w:rsidP="00C040AE">
            <w:pPr>
              <w:numPr>
                <w:ilvl w:val="0"/>
                <w:numId w:val="3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limitów dla wymienionych parametrów infuzji:</w:t>
            </w:r>
          </w:p>
          <w:p w14:paraId="3B3C1652" w14:textId="77777777" w:rsidR="00C040AE" w:rsidRPr="00C040AE" w:rsidRDefault="00C040AE" w:rsidP="00C040AE">
            <w:pPr>
              <w:numPr>
                <w:ilvl w:val="1"/>
                <w:numId w:val="3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 xml:space="preserve">miękkich, ostrzegających o przekroczeniu zalecanych wartości parametrów, </w:t>
            </w:r>
          </w:p>
          <w:p w14:paraId="0B310FF3" w14:textId="77777777" w:rsidR="00C040AE" w:rsidRPr="00C040AE" w:rsidRDefault="00C040AE" w:rsidP="00C040AE">
            <w:pPr>
              <w:numPr>
                <w:ilvl w:val="1"/>
                <w:numId w:val="3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twardych – blokujących możliwość wprowadzenia wartości spoza ich zakresu.</w:t>
            </w:r>
          </w:p>
          <w:p w14:paraId="743D8DAE" w14:textId="77777777" w:rsidR="00C040AE" w:rsidRPr="00C040AE" w:rsidRDefault="00C040AE" w:rsidP="00C040AE">
            <w:pPr>
              <w:numPr>
                <w:ilvl w:val="0"/>
                <w:numId w:val="3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Notatki doradczej możliwej do odczytania przed rozpoczęciem infuzji.</w:t>
            </w:r>
          </w:p>
          <w:p w14:paraId="78713316" w14:textId="77777777" w:rsidR="00C040AE" w:rsidRPr="00C040AE" w:rsidRDefault="00C040AE" w:rsidP="00C040A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lastRenderedPageBreak/>
              <w:t>Podział biblioteki na osobne grupy dedykowane poszczególnym oddziałom szpitalnym, do 40 oddziałów. Wybór oddziału dostępny w pompie.</w:t>
            </w:r>
          </w:p>
          <w:p w14:paraId="29C1BBF8" w14:textId="77777777" w:rsidR="00C040AE" w:rsidRPr="00C040AE" w:rsidRDefault="00C040AE" w:rsidP="00C040A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Podział biblioteki dedykowanej oddziałom na 40 kategorii lekowych.</w:t>
            </w:r>
          </w:p>
          <w:p w14:paraId="2ED303C5" w14:textId="0854DF01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 xml:space="preserve">Pojemność biblioteki min. </w:t>
            </w: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4000</w:t>
            </w:r>
            <w:r w:rsidRPr="00C040AE">
              <w:rPr>
                <w:rFonts w:ascii="Times New Roman" w:hAnsi="Times New Roman" w:cs="Times New Roman"/>
                <w:sz w:val="20"/>
              </w:rPr>
              <w:t xml:space="preserve"> procedur dozowania leków.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628C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07D30149" w14:textId="77777777" w:rsidTr="005337E6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AF94" w14:textId="6A79F1E6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A5C6" w14:textId="3AFBEEE6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Dostępność polskojęzycznego oprogramowania komputerowego do tworzenia i przesyłania do pompy biblioteki leków.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4AB6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40C7A576" w14:textId="77777777" w:rsidTr="00C040AE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F388" w14:textId="4DD4495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04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Cechy pompy</w:t>
            </w:r>
          </w:p>
        </w:tc>
      </w:tr>
      <w:tr w:rsidR="00C040AE" w:rsidRPr="00C040AE" w14:paraId="5EDAE865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06D7" w14:textId="634207AD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8A86" w14:textId="77777777" w:rsidR="00C040AE" w:rsidRPr="00C040AE" w:rsidRDefault="00C040AE" w:rsidP="00C040A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Ekran infuzji umożliwiający wyświetlenie następujących informacji jednocześnie:</w:t>
            </w:r>
          </w:p>
          <w:p w14:paraId="75F61CCE" w14:textId="77777777" w:rsidR="00C040AE" w:rsidRPr="00C040AE" w:rsidRDefault="00C040AE" w:rsidP="00C040AE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nazwa leku,</w:t>
            </w:r>
          </w:p>
          <w:p w14:paraId="7DBBFAC6" w14:textId="77777777" w:rsidR="00C040AE" w:rsidRPr="00C040AE" w:rsidRDefault="00C040AE" w:rsidP="00C040AE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koncentracja leku,</w:t>
            </w:r>
          </w:p>
          <w:p w14:paraId="2F908C85" w14:textId="77777777" w:rsidR="00C040AE" w:rsidRPr="00C040AE" w:rsidRDefault="00C040AE" w:rsidP="00C040AE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szybkość infuzji,</w:t>
            </w:r>
          </w:p>
          <w:p w14:paraId="576B9744" w14:textId="77777777" w:rsidR="00C040AE" w:rsidRPr="00C040AE" w:rsidRDefault="00C040AE" w:rsidP="00C040AE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informacji, że wartość szybkości infuzji mieści się w zalecanym zakresie lub znajduje się w zakresie limitu miękkiego dolnego lub górnego,</w:t>
            </w:r>
          </w:p>
          <w:p w14:paraId="5596FA72" w14:textId="77777777" w:rsidR="00C040AE" w:rsidRPr="00C040AE" w:rsidRDefault="00C040AE" w:rsidP="00C040AE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podana dawka,</w:t>
            </w:r>
          </w:p>
          <w:p w14:paraId="1C12D317" w14:textId="77777777" w:rsidR="00C040AE" w:rsidRPr="00C040AE" w:rsidRDefault="00C040AE" w:rsidP="00C040AE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poziom limitów dla szybkości infuzji,</w:t>
            </w:r>
          </w:p>
          <w:p w14:paraId="1938CD82" w14:textId="77777777" w:rsidR="00C040AE" w:rsidRPr="00C040AE" w:rsidRDefault="00C040AE" w:rsidP="00C040AE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czas do końca dawki lub czas do końca strzykawki w formie graficznej,</w:t>
            </w:r>
          </w:p>
          <w:p w14:paraId="3330B7E3" w14:textId="77777777" w:rsidR="00C040AE" w:rsidRPr="00C040AE" w:rsidRDefault="00C040AE" w:rsidP="00C040AE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kategorii leku wyodrębnionej kolorem,</w:t>
            </w:r>
          </w:p>
          <w:p w14:paraId="6F0B5A20" w14:textId="77777777" w:rsidR="00C040AE" w:rsidRPr="00C040AE" w:rsidRDefault="00C040AE" w:rsidP="00C040AE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stan naładowania akumulatora,</w:t>
            </w:r>
          </w:p>
          <w:p w14:paraId="21443E39" w14:textId="218D7596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aktualne ciśnienie w linii pacjenta w formie graficznej.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DB8F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614EA353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56AB" w14:textId="30F12CC6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87C8" w14:textId="4AE4CDFD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Kolorowy ekran pompy.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DD32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3A673BF4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9107" w14:textId="2F4F6F0A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8645" w14:textId="46BF3C39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Ekran dotykowy, przyspieszający wybór funkcji pompy.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DEE8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03EFB1CA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D908" w14:textId="15639493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D621" w14:textId="31764454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bCs/>
                <w:sz w:val="20"/>
              </w:rPr>
              <w:t>Kolorystyczne wyróżnienie ekranu infuzji do żywienia dojelitowego względem innych realizowanych infuzji.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A21A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5AAFEC08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4CE7" w14:textId="284778E3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0E6F" w14:textId="21281A64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Napisy na wyświetlaczu w języku polskim.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B455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57BB2298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CFDD" w14:textId="58F559C1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2CC6" w14:textId="1A8939EF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Regulowane progi ciśnienia okluzji, 12 poziomów.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7973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3D1AC1C5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F7B0" w14:textId="57813148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E5F1" w14:textId="1D8043DE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bCs/>
                <w:sz w:val="20"/>
              </w:rPr>
              <w:t>Progi ciśnienia regulowane w zakresie 75-900 mmHg.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2192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35FB5160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736A" w14:textId="124C6DC7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82F8" w14:textId="5CB85E68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bCs/>
                <w:sz w:val="20"/>
              </w:rPr>
              <w:t>Zmiana progu ciśnienia okluzji bez przerywania infuzji.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5FA7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74CE4288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A333" w14:textId="191C1DDF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8E67" w14:textId="280AB5EB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Automatyczna redukcja bolusa okluzyjnego.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EC12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4B7ACE1B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4D00" w14:textId="66B2BECA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BA90" w14:textId="3DF1AEB2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Priorytetowy system alarmów, zapewniający zróżnicowany sygnał dźwiękowy i świetlny, zależnie od stopnia zagrożenia.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FDAD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708F6D66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D02E" w14:textId="724E2FDC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096" w14:textId="77777777" w:rsidR="00C040AE" w:rsidRPr="00C040AE" w:rsidRDefault="00C040AE" w:rsidP="00C040A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Możliwość instalacji pompy w stacji dokującej:</w:t>
            </w:r>
          </w:p>
          <w:p w14:paraId="36CE6719" w14:textId="77777777" w:rsidR="00C040AE" w:rsidRPr="00C040AE" w:rsidRDefault="00C040AE" w:rsidP="00C040AE">
            <w:pPr>
              <w:numPr>
                <w:ilvl w:val="0"/>
                <w:numId w:val="3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0"/>
              </w:rPr>
            </w:pPr>
            <w:r w:rsidRPr="00C040AE">
              <w:rPr>
                <w:rFonts w:ascii="Times New Roman" w:hAnsi="Times New Roman" w:cs="Times New Roman"/>
                <w:bCs/>
                <w:sz w:val="20"/>
              </w:rPr>
              <w:t>Zatrzaskowe mocowanie z automatyczną blokadą, bez konieczności przykręcania.</w:t>
            </w:r>
          </w:p>
          <w:p w14:paraId="2756069F" w14:textId="77777777" w:rsidR="00C040AE" w:rsidRPr="00C040AE" w:rsidRDefault="00C040AE" w:rsidP="00C040AE">
            <w:pPr>
              <w:numPr>
                <w:ilvl w:val="0"/>
                <w:numId w:val="3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Alarm nieprawidłowego mocowania pomp w stacji,</w:t>
            </w:r>
          </w:p>
          <w:p w14:paraId="2A48C1C1" w14:textId="77777777" w:rsidR="00C040AE" w:rsidRPr="00C040AE" w:rsidRDefault="00C040AE" w:rsidP="00C040AE">
            <w:pPr>
              <w:numPr>
                <w:ilvl w:val="0"/>
                <w:numId w:val="3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 xml:space="preserve">Pompy mocowane niezależnie, jedna nad drugą, </w:t>
            </w:r>
          </w:p>
          <w:p w14:paraId="443DC13C" w14:textId="77777777" w:rsidR="00C040AE" w:rsidRPr="00C040AE" w:rsidRDefault="00C040AE" w:rsidP="00C040AE">
            <w:pPr>
              <w:numPr>
                <w:ilvl w:val="0"/>
                <w:numId w:val="3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0"/>
              </w:rPr>
            </w:pPr>
            <w:r w:rsidRPr="00C040AE">
              <w:rPr>
                <w:rFonts w:ascii="Times New Roman" w:hAnsi="Times New Roman" w:cs="Times New Roman"/>
                <w:bCs/>
                <w:sz w:val="20"/>
              </w:rPr>
              <w:t>Automatyczne przyłączenie zasilania ze stacji dokującej,</w:t>
            </w:r>
          </w:p>
          <w:p w14:paraId="102AF683" w14:textId="77777777" w:rsidR="00C040AE" w:rsidRPr="00C040AE" w:rsidRDefault="00C040AE" w:rsidP="00C040AE">
            <w:pPr>
              <w:numPr>
                <w:ilvl w:val="0"/>
                <w:numId w:val="3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 xml:space="preserve">Automatyczne przyłączenie portu komunikacyjnego ze stacji dokującej wyposażonej w port komunikacyjny </w:t>
            </w:r>
          </w:p>
          <w:p w14:paraId="14DC3D8B" w14:textId="5B3FBFA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 xml:space="preserve">Świetlna sygnalizacja stanu pomp: infuzja, alarm, </w:t>
            </w: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>STOP.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C640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2B4A4AD8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CE53" w14:textId="3C8EFB04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3220" w14:textId="37A84F1F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Mocowanie pojedynczej pompy do statywów lub pionowych kolumn niewymagające dołączenia jakichkolwiek części, w szczególności uchwytu mocującego, po bezpośrednim wyjęciu pompy z stacji dokującej.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5A5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671D23CF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B776" w14:textId="1702DEF1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FC4A" w14:textId="4EF02FDA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Mocowanie pomp w stacji dokującej niewymagające odłączenia jakichkolwiek części, w szczególności uchwytu mocującego, po bezpośrednim zdjęciu pompy ze statywu.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753B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7F046D17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AE1D" w14:textId="0AE225A2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7170" w14:textId="6F68A4FF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Uchwyt do przenoszenia pompy na stałe związany z pompą, niewymagający odłączania przy mocowaniu pomp w stacjach dokujących.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CCE7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05DEC8D1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ABEA" w14:textId="123EF346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29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2174" w14:textId="1C8EAC92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color w:val="000000"/>
                <w:sz w:val="20"/>
              </w:rPr>
              <w:t xml:space="preserve">Możliwość komunikacji pomp umieszczonych w stacjach dokujących </w:t>
            </w:r>
            <w:r w:rsidRPr="00C040AE">
              <w:rPr>
                <w:rFonts w:ascii="Times New Roman" w:hAnsi="Times New Roman" w:cs="Times New Roman"/>
                <w:color w:val="000000"/>
                <w:kern w:val="20"/>
                <w:sz w:val="20"/>
              </w:rPr>
              <w:t>wyposażonych w interface LAN z oprogramowaniem zewnętrznym.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12C4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4D0A5AEE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77C" w14:textId="001F3379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5D8E" w14:textId="287F201A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Historia infuzji – możliwość zapamiętania min. 2000 pełnych infuzji.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CDA7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00779CF5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B23C" w14:textId="342F415D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94AB" w14:textId="2FFF4EBA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Klasa ochrony II, typ CF, odporność na defibrylację, ochrona obudowy IP22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3B1E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388BBE57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E11" w14:textId="493FD4A0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E87D" w14:textId="707C01C5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Zasilanie pomp mocowanych poza stacją dokującą bezpośrednio z sieci energetycznej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D60E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4B648AA0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9052" w14:textId="3BBFC4D6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7580" w14:textId="605CD85A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bCs/>
                <w:sz w:val="20"/>
              </w:rPr>
              <w:t>Czas pracy z akumulatora do 30 h przy infuzji 5ml/h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95EE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50CC19D9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3609" w14:textId="5E61EB63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ED3" w14:textId="64E4E336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Czas ładowania akumulatora do 100% po pełnym rozładowaniu – poniżej 5 h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F92C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00C9FC70" w14:textId="77777777" w:rsidTr="00E8428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110C" w14:textId="1763BE78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D646" w14:textId="3BED8BBF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Waga do 2,3 kg.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F7E6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3C857B26" w14:textId="77777777" w:rsidTr="007C50CC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388F" w14:textId="7931F18C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04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DODATKOWE WYMAGANIA</w:t>
            </w:r>
          </w:p>
        </w:tc>
      </w:tr>
      <w:tr w:rsidR="00C040AE" w:rsidRPr="00C040AE" w14:paraId="71BAA52C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394B" w14:textId="0DEC5820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DFF2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  <w:szCs w:val="20"/>
              </w:rPr>
              <w:t>Gwarancja minimum 36 miesięcy przez autoryzowany serwis (podać okres)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F764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24F42938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6DC4" w14:textId="1F4755AB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B785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  <w:szCs w:val="20"/>
              </w:rPr>
              <w:t>Paszport techniczny (dostawa z urządzeniem)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2F72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731414EB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061C" w14:textId="4E2FCBB7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45EC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  <w:szCs w:val="20"/>
              </w:rPr>
              <w:t>Instrukcja w języku polskim (dostawa z urządzeniem)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6233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40AE" w:rsidRPr="00C040AE" w14:paraId="03635278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5C4" w14:textId="1707CF7F" w:rsidR="00C040AE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0DB5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  <w:szCs w:val="20"/>
              </w:rPr>
              <w:t>Autoryzowany serwis gwarancyjny na terenie Polski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BC1C" w14:textId="77777777" w:rsidR="00C040AE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4F4A075" w14:textId="77777777" w:rsidR="002B5D43" w:rsidRPr="00C040AE" w:rsidRDefault="002B5D43" w:rsidP="00C040A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7686CA95" w14:textId="77777777" w:rsidR="00D267D5" w:rsidRPr="00C040AE" w:rsidRDefault="00D267D5" w:rsidP="00C040A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7E15CFEE" w14:textId="77777777" w:rsidR="00D267D5" w:rsidRPr="00C040AE" w:rsidRDefault="00D267D5" w:rsidP="00C040A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4CFA4ED4" w14:textId="7A004F08" w:rsidR="00C040AE" w:rsidRPr="00C040AE" w:rsidRDefault="00C040AE" w:rsidP="00C040AE">
      <w:pPr>
        <w:pStyle w:val="Akapitzlist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  <w:szCs w:val="28"/>
        </w:rPr>
      </w:pPr>
      <w:r w:rsidRPr="00C040AE">
        <w:rPr>
          <w:rFonts w:ascii="Times New Roman" w:hAnsi="Times New Roman" w:cs="Times New Roman"/>
          <w:b/>
          <w:bCs/>
          <w:szCs w:val="28"/>
        </w:rPr>
        <w:t xml:space="preserve">Statyw do pompy infuzyjnej </w:t>
      </w:r>
      <w:r w:rsidR="00B205FF" w:rsidRPr="00C040AE">
        <w:rPr>
          <w:rFonts w:ascii="Times New Roman" w:hAnsi="Times New Roman" w:cs="Times New Roman"/>
          <w:b/>
          <w:bCs/>
          <w:szCs w:val="28"/>
        </w:rPr>
        <w:t xml:space="preserve">– sztuk </w:t>
      </w:r>
      <w:r>
        <w:rPr>
          <w:rFonts w:ascii="Times New Roman" w:hAnsi="Times New Roman" w:cs="Times New Roman"/>
          <w:b/>
          <w:bCs/>
          <w:szCs w:val="28"/>
        </w:rPr>
        <w:t>4</w:t>
      </w:r>
    </w:p>
    <w:tbl>
      <w:tblPr>
        <w:tblW w:w="524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2836"/>
      </w:tblGrid>
      <w:tr w:rsidR="00B205FF" w:rsidRPr="00C040AE" w14:paraId="6E7FEF91" w14:textId="77777777" w:rsidTr="007C50CC">
        <w:trPr>
          <w:trHeight w:val="680"/>
        </w:trPr>
        <w:tc>
          <w:tcPr>
            <w:tcW w:w="298" w:type="pct"/>
            <w:vAlign w:val="center"/>
          </w:tcPr>
          <w:p w14:paraId="0C8866AA" w14:textId="77777777" w:rsidR="00B205FF" w:rsidRPr="00C040AE" w:rsidRDefault="00B205FF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209" w:type="pct"/>
            <w:vAlign w:val="center"/>
          </w:tcPr>
          <w:p w14:paraId="67D74B6A" w14:textId="77777777" w:rsidR="00B205FF" w:rsidRPr="00C040AE" w:rsidRDefault="00B205FF" w:rsidP="00C0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Wymagane minimalne parametry techniczne i funkcjonalne</w:t>
            </w:r>
          </w:p>
        </w:tc>
        <w:tc>
          <w:tcPr>
            <w:tcW w:w="1493" w:type="pct"/>
            <w:vAlign w:val="center"/>
          </w:tcPr>
          <w:p w14:paraId="49752289" w14:textId="77777777" w:rsidR="00B205FF" w:rsidRPr="00C040AE" w:rsidRDefault="00B205FF" w:rsidP="00C040A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40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Wpisać TAK</w:t>
            </w:r>
          </w:p>
          <w:p w14:paraId="2DBAB35E" w14:textId="77777777" w:rsidR="00B205FF" w:rsidRPr="00C040AE" w:rsidRDefault="00B205FF" w:rsidP="00C0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 podać parametr oferowany -wypełnia Wykonawca</w:t>
            </w:r>
          </w:p>
        </w:tc>
      </w:tr>
      <w:tr w:rsidR="00D267D5" w:rsidRPr="00C040AE" w14:paraId="475FDE9C" w14:textId="77777777" w:rsidTr="00172E7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8663" w14:textId="77777777" w:rsidR="00D267D5" w:rsidRPr="00C040AE" w:rsidRDefault="00D267D5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4F6B" w14:textId="38C68F8C" w:rsidR="00D267D5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b/>
                <w:bCs/>
                <w:sz w:val="20"/>
              </w:rPr>
              <w:t>Stojak z regulacją wysokości w zakresie: 1300-2250 mm, przystosowany do instalacji i transportu pomp infuzyjnych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9257" w14:textId="77777777" w:rsidR="00D267D5" w:rsidRPr="00C040AE" w:rsidRDefault="00D267D5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267D5" w:rsidRPr="00C040AE" w14:paraId="750773B4" w14:textId="77777777" w:rsidTr="00172E7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D9B1" w14:textId="77777777" w:rsidR="00D267D5" w:rsidRPr="00C040AE" w:rsidRDefault="00D267D5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3F08" w14:textId="6453179A" w:rsidR="00D267D5" w:rsidRPr="00C040AE" w:rsidRDefault="00C040AE" w:rsidP="00C040AE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 xml:space="preserve">lekka podstawa z tworzywa sztucznego, pięcioramienna na 5 kółkach w obudowie z tworzywa sztucznego o średnicy 50 mm (czarne), w tym dwa z blokadą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E6AE" w14:textId="77777777" w:rsidR="00D267D5" w:rsidRPr="00C040AE" w:rsidRDefault="00D267D5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267D5" w:rsidRPr="00C040AE" w14:paraId="447F8D26" w14:textId="77777777" w:rsidTr="00172E7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C012" w14:textId="77777777" w:rsidR="00D267D5" w:rsidRPr="00C040AE" w:rsidRDefault="00D267D5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39CC" w14:textId="5516A3ED" w:rsidR="00D267D5" w:rsidRPr="00C040AE" w:rsidRDefault="00C040AE" w:rsidP="00C040AE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kolumna zewnętrzna z rury ze stali kwasoodpornej gat. 0H18N9 o średnicy 25 mm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16FC" w14:textId="77777777" w:rsidR="00D267D5" w:rsidRPr="00C040AE" w:rsidRDefault="00D267D5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267D5" w:rsidRPr="00C040AE" w14:paraId="5E8A0748" w14:textId="77777777" w:rsidTr="00172E7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CF35" w14:textId="77777777" w:rsidR="00D267D5" w:rsidRPr="00C040AE" w:rsidRDefault="00D267D5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0D61" w14:textId="2061DBA6" w:rsidR="00D267D5" w:rsidRPr="00C040AE" w:rsidRDefault="00C040AE" w:rsidP="00C040AE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 xml:space="preserve">kolumna wewnętrzna z rury ze stali kwasoodpornej gat. 0H18N9 o średnicy 16 mm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1616" w14:textId="77777777" w:rsidR="00D267D5" w:rsidRPr="00C040AE" w:rsidRDefault="00D267D5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267D5" w:rsidRPr="00C040AE" w14:paraId="6345BB01" w14:textId="77777777" w:rsidTr="00172E7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4552" w14:textId="77777777" w:rsidR="00D267D5" w:rsidRPr="00C040AE" w:rsidRDefault="00D267D5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57C5" w14:textId="6CC77DB3" w:rsidR="00D267D5" w:rsidRPr="00C040AE" w:rsidRDefault="00C040AE" w:rsidP="00C040AE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głowica G-02 (na 4 haczyki) ze stali kwasoodpornej gat. 0H18N9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F982" w14:textId="77777777" w:rsidR="00D267D5" w:rsidRPr="00C040AE" w:rsidRDefault="00D267D5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267D5" w:rsidRPr="00C040AE" w14:paraId="6EF20468" w14:textId="77777777" w:rsidTr="00172E7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F9D9" w14:textId="77777777" w:rsidR="00D267D5" w:rsidRPr="00C040AE" w:rsidRDefault="00D267D5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9D33" w14:textId="59D8083C" w:rsidR="00D267D5" w:rsidRPr="00C040AE" w:rsidRDefault="00C040AE" w:rsidP="00C040AE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 xml:space="preserve">możliwość zawieszenia butelek i worków z płynem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7D2E" w14:textId="77777777" w:rsidR="00D267D5" w:rsidRPr="00C040AE" w:rsidRDefault="00D267D5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267D5" w:rsidRPr="00C040AE" w14:paraId="5BAC2DA4" w14:textId="77777777" w:rsidTr="00172E7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FA8C" w14:textId="77777777" w:rsidR="00D267D5" w:rsidRPr="00C040AE" w:rsidRDefault="00D267D5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B4EF" w14:textId="45E94A92" w:rsidR="00D267D5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możliwość zamocowania 1-2 pomp infuzyjnych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1A20" w14:textId="77777777" w:rsidR="00D267D5" w:rsidRPr="00C040AE" w:rsidRDefault="00D267D5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267D5" w:rsidRPr="00C040AE" w14:paraId="31A03CF2" w14:textId="77777777" w:rsidTr="00172E7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DB9E" w14:textId="77777777" w:rsidR="00D267D5" w:rsidRPr="00C040AE" w:rsidRDefault="00D267D5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43F2" w14:textId="6941E7C2" w:rsidR="00D267D5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wymiary: 600x1950x600 mm [szerokość</w:t>
            </w:r>
            <w:r w:rsidRPr="00C040A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040AE">
              <w:rPr>
                <w:rFonts w:ascii="Times New Roman" w:hAnsi="Times New Roman" w:cs="Times New Roman"/>
                <w:sz w:val="20"/>
              </w:rPr>
              <w:t>x</w:t>
            </w:r>
            <w:r w:rsidRPr="00C040A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040AE">
              <w:rPr>
                <w:rFonts w:ascii="Times New Roman" w:hAnsi="Times New Roman" w:cs="Times New Roman"/>
                <w:sz w:val="20"/>
              </w:rPr>
              <w:t>wysokość</w:t>
            </w:r>
            <w:r w:rsidRPr="00C040A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040AE">
              <w:rPr>
                <w:rFonts w:ascii="Times New Roman" w:hAnsi="Times New Roman" w:cs="Times New Roman"/>
                <w:sz w:val="20"/>
              </w:rPr>
              <w:t>x</w:t>
            </w:r>
            <w:r w:rsidRPr="00C040A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040AE">
              <w:rPr>
                <w:rFonts w:ascii="Times New Roman" w:hAnsi="Times New Roman" w:cs="Times New Roman"/>
                <w:sz w:val="20"/>
              </w:rPr>
              <w:t>głębokość]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6505" w14:textId="77777777" w:rsidR="00D267D5" w:rsidRPr="00C040AE" w:rsidRDefault="00D267D5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267D5" w:rsidRPr="00C040AE" w14:paraId="4E46A512" w14:textId="77777777" w:rsidTr="00172E7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D85E" w14:textId="77777777" w:rsidR="00D267D5" w:rsidRPr="00C040AE" w:rsidRDefault="00D267D5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80CA" w14:textId="2BEB884D" w:rsidR="00D267D5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waga: 7 kg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9BEE" w14:textId="77777777" w:rsidR="00D267D5" w:rsidRPr="00C040AE" w:rsidRDefault="00D267D5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267D5" w:rsidRPr="00C040AE" w14:paraId="55A3B8F7" w14:textId="77777777" w:rsidTr="00172E7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7271" w14:textId="77777777" w:rsidR="00D267D5" w:rsidRPr="00C040AE" w:rsidRDefault="00D267D5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16CA" w14:textId="61DA07C8" w:rsidR="00D267D5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dopuszczalne całkowite obciążenie: 16 kg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3700" w14:textId="77777777" w:rsidR="00D267D5" w:rsidRPr="00C040AE" w:rsidRDefault="00D267D5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267D5" w:rsidRPr="00C040AE" w14:paraId="025E9DF6" w14:textId="77777777" w:rsidTr="00172E7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BDE4" w14:textId="77777777" w:rsidR="00D267D5" w:rsidRPr="00C040AE" w:rsidRDefault="00D267D5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855B" w14:textId="02553B60" w:rsidR="00D267D5" w:rsidRPr="00C040AE" w:rsidRDefault="00C040AE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</w:rPr>
              <w:t>listwa zasilająca na 5 gniazd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D05F" w14:textId="77777777" w:rsidR="00D267D5" w:rsidRPr="00C040AE" w:rsidRDefault="00D267D5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444A" w:rsidRPr="00C040AE" w14:paraId="0BA66139" w14:textId="77777777" w:rsidTr="007C50CC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EFF4" w14:textId="77777777" w:rsidR="00F1444A" w:rsidRPr="00C040AE" w:rsidRDefault="00F1444A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04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DODATKOWE WYMAGANIA</w:t>
            </w:r>
          </w:p>
        </w:tc>
      </w:tr>
      <w:tr w:rsidR="00F1444A" w:rsidRPr="00C040AE" w14:paraId="545A4833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8BAC" w14:textId="34B4B1ED" w:rsidR="00F1444A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EF4B" w14:textId="77777777" w:rsidR="00F1444A" w:rsidRPr="00C040AE" w:rsidRDefault="00F1444A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  <w:szCs w:val="20"/>
              </w:rPr>
              <w:t>Gwarancja minimum 36 miesięcy przez autoryzowany serwis (podać okres)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F7BA" w14:textId="77777777" w:rsidR="00F1444A" w:rsidRPr="00C040AE" w:rsidRDefault="00F1444A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444A" w:rsidRPr="00C040AE" w14:paraId="35F33BB7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BE1F" w14:textId="27B8CE1E" w:rsidR="00F1444A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6CD4" w14:textId="77777777" w:rsidR="00F1444A" w:rsidRPr="00C040AE" w:rsidRDefault="00F1444A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  <w:szCs w:val="20"/>
              </w:rPr>
              <w:t>Paszport techniczny (dostawa z urządzeniem)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B204" w14:textId="77777777" w:rsidR="00F1444A" w:rsidRPr="00C040AE" w:rsidRDefault="00F1444A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444A" w:rsidRPr="00C040AE" w14:paraId="59DA45F1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A37C" w14:textId="0B45EB2E" w:rsidR="00F1444A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BB3D" w14:textId="77777777" w:rsidR="00F1444A" w:rsidRPr="00C040AE" w:rsidRDefault="00F1444A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  <w:szCs w:val="20"/>
              </w:rPr>
              <w:t>Instrukcja w języku polskim (dostawa z urządzeniem)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0248" w14:textId="77777777" w:rsidR="00F1444A" w:rsidRPr="00C040AE" w:rsidRDefault="00F1444A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444A" w:rsidRPr="00C040AE" w14:paraId="2F1E9783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1AD3" w14:textId="5976A30A" w:rsidR="00F1444A" w:rsidRPr="00C040AE" w:rsidRDefault="00C040AE" w:rsidP="00C040AE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D62F" w14:textId="77777777" w:rsidR="00F1444A" w:rsidRPr="00C040AE" w:rsidRDefault="00F1444A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40AE">
              <w:rPr>
                <w:rFonts w:ascii="Times New Roman" w:hAnsi="Times New Roman" w:cs="Times New Roman"/>
                <w:sz w:val="20"/>
                <w:szCs w:val="20"/>
              </w:rPr>
              <w:t>Autoryzowany serwis gwarancyjny na terenie Polski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B87D" w14:textId="77777777" w:rsidR="00F1444A" w:rsidRPr="00C040AE" w:rsidRDefault="00F1444A" w:rsidP="00C0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0FCA5DA" w14:textId="77777777" w:rsidR="00B205FF" w:rsidRPr="00C040AE" w:rsidRDefault="00B205FF" w:rsidP="00C040A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sectPr w:rsidR="00B205FF" w:rsidRPr="00C040A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CDFD7" w14:textId="77777777" w:rsidR="00CB3FE0" w:rsidRDefault="00CB3FE0" w:rsidP="00A70EA7">
      <w:pPr>
        <w:spacing w:after="0" w:line="240" w:lineRule="auto"/>
      </w:pPr>
      <w:r>
        <w:separator/>
      </w:r>
    </w:p>
  </w:endnote>
  <w:endnote w:type="continuationSeparator" w:id="0">
    <w:p w14:paraId="078080F6" w14:textId="77777777" w:rsidR="00CB3FE0" w:rsidRDefault="00CB3FE0" w:rsidP="00A70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682EB" w14:textId="77777777" w:rsidR="00361B0C" w:rsidRPr="00361B0C" w:rsidRDefault="00361B0C" w:rsidP="00361B0C">
    <w:pPr>
      <w:pStyle w:val="Stopka"/>
      <w:pBdr>
        <w:top w:val="thinThickSmallGap" w:sz="24" w:space="1" w:color="622423"/>
      </w:pBdr>
      <w:tabs>
        <w:tab w:val="clear" w:pos="4536"/>
      </w:tabs>
      <w:jc w:val="center"/>
      <w:rPr>
        <w:rFonts w:ascii="Times New Roman" w:hAnsi="Times New Roman" w:cs="Times New Roman"/>
        <w:i/>
        <w:sz w:val="18"/>
        <w:szCs w:val="18"/>
      </w:rPr>
    </w:pPr>
    <w:bookmarkStart w:id="0" w:name="_Hlk224898280"/>
    <w:r w:rsidRPr="00361B0C">
      <w:rPr>
        <w:rFonts w:ascii="Times New Roman" w:hAnsi="Times New Roman" w:cs="Times New Roman"/>
        <w:noProof/>
        <w:sz w:val="16"/>
        <w:szCs w:val="16"/>
      </w:rPr>
      <w:t>UMOWA Nr KPOD.07.02-IP.10-0261/25/KPO/2973/2026/108 o objęcie wsparciem ze środków planu rozwojowego Przedsięwzięcia „Doposażenie Stobrawskiego Centrum Medycznego w celu poprawy świadczenia usług opieki kardiologicznej” realizowanego w ramach Krajowego Planu Odbudowy i Zwiększania Odporności: Komponent D „Efektywność, dostępność i jakość systemu ochrony zdrowia” Inwestycja D1.1.1 „Rozwój i modernizacja infrastruktury centrów opieki wysokospecjalistycznej i innych podmiotów leczniczych”</w:t>
    </w:r>
    <w:bookmarkEnd w:id="0"/>
  </w:p>
  <w:p w14:paraId="1D395720" w14:textId="539A1D48" w:rsidR="00361B0C" w:rsidRPr="00361B0C" w:rsidRDefault="00361B0C" w:rsidP="00361B0C">
    <w:pPr>
      <w:pStyle w:val="Stopka"/>
      <w:pBdr>
        <w:top w:val="thinThickSmallGap" w:sz="24" w:space="1" w:color="622423"/>
      </w:pBdr>
      <w:tabs>
        <w:tab w:val="clear" w:pos="4536"/>
      </w:tabs>
      <w:jc w:val="center"/>
      <w:rPr>
        <w:rFonts w:ascii="Times New Roman" w:hAnsi="Times New Roman" w:cs="Times New Roman"/>
        <w:i/>
        <w:sz w:val="18"/>
        <w:szCs w:val="18"/>
      </w:rPr>
    </w:pPr>
    <w:r w:rsidRPr="00361B0C">
      <w:rPr>
        <w:rFonts w:ascii="Times New Roman" w:hAnsi="Times New Roman" w:cs="Times New Roman"/>
        <w:i/>
        <w:sz w:val="18"/>
        <w:szCs w:val="18"/>
      </w:rPr>
      <w:t>Nr sprawy DZPiZ.2710.</w:t>
    </w:r>
    <w:r w:rsidR="00565E26">
      <w:rPr>
        <w:rFonts w:ascii="Times New Roman" w:hAnsi="Times New Roman" w:cs="Times New Roman"/>
        <w:i/>
        <w:sz w:val="18"/>
        <w:szCs w:val="18"/>
      </w:rPr>
      <w:t>11</w:t>
    </w:r>
    <w:r w:rsidRPr="00361B0C">
      <w:rPr>
        <w:rFonts w:ascii="Times New Roman" w:hAnsi="Times New Roman" w:cs="Times New Roman"/>
        <w:i/>
        <w:sz w:val="18"/>
        <w:szCs w:val="18"/>
      </w:rPr>
      <w:t xml:space="preserve">.2026 </w:t>
    </w:r>
    <w:r w:rsidRPr="00361B0C">
      <w:rPr>
        <w:rFonts w:ascii="Times New Roman" w:hAnsi="Times New Roman" w:cs="Times New Roman"/>
        <w:i/>
        <w:sz w:val="18"/>
        <w:szCs w:val="18"/>
      </w:rPr>
      <w:tab/>
      <w:t xml:space="preserve">          </w:t>
    </w:r>
    <w:r>
      <w:rPr>
        <w:rFonts w:ascii="Times New Roman" w:hAnsi="Times New Roman" w:cs="Times New Roman"/>
        <w:i/>
        <w:sz w:val="18"/>
        <w:szCs w:val="18"/>
      </w:rPr>
      <w:t xml:space="preserve">                                            </w:t>
    </w:r>
    <w:r w:rsidRPr="00361B0C">
      <w:rPr>
        <w:rFonts w:ascii="Times New Roman" w:hAnsi="Times New Roman" w:cs="Times New Roman"/>
        <w:i/>
        <w:sz w:val="18"/>
        <w:szCs w:val="18"/>
      </w:rPr>
      <w:t xml:space="preserve">Strona </w:t>
    </w:r>
    <w:r w:rsidRPr="00361B0C">
      <w:rPr>
        <w:rFonts w:ascii="Times New Roman" w:hAnsi="Times New Roman" w:cs="Times New Roman"/>
        <w:i/>
        <w:sz w:val="18"/>
        <w:szCs w:val="18"/>
      </w:rPr>
      <w:fldChar w:fldCharType="begin"/>
    </w:r>
    <w:r w:rsidRPr="00361B0C">
      <w:rPr>
        <w:rFonts w:ascii="Times New Roman" w:hAnsi="Times New Roman" w:cs="Times New Roman"/>
        <w:i/>
        <w:sz w:val="18"/>
        <w:szCs w:val="18"/>
      </w:rPr>
      <w:instrText>PAGE   \* MERGEFORMAT</w:instrText>
    </w:r>
    <w:r w:rsidRPr="00361B0C">
      <w:rPr>
        <w:rFonts w:ascii="Times New Roman" w:hAnsi="Times New Roman" w:cs="Times New Roman"/>
        <w:i/>
        <w:sz w:val="18"/>
        <w:szCs w:val="18"/>
      </w:rPr>
      <w:fldChar w:fldCharType="separate"/>
    </w:r>
    <w:r w:rsidRPr="00361B0C">
      <w:rPr>
        <w:rFonts w:ascii="Times New Roman" w:hAnsi="Times New Roman" w:cs="Times New Roman"/>
        <w:i/>
        <w:sz w:val="18"/>
        <w:szCs w:val="18"/>
      </w:rPr>
      <w:t>1</w:t>
    </w:r>
    <w:r w:rsidRPr="00361B0C">
      <w:rPr>
        <w:rFonts w:ascii="Times New Roman" w:hAnsi="Times New Roman" w:cs="Times New Roman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D0030" w14:textId="77777777" w:rsidR="00CB3FE0" w:rsidRDefault="00CB3FE0" w:rsidP="00A70EA7">
      <w:pPr>
        <w:spacing w:after="0" w:line="240" w:lineRule="auto"/>
      </w:pPr>
      <w:r>
        <w:separator/>
      </w:r>
    </w:p>
  </w:footnote>
  <w:footnote w:type="continuationSeparator" w:id="0">
    <w:p w14:paraId="259D1202" w14:textId="77777777" w:rsidR="00CB3FE0" w:rsidRDefault="00CB3FE0" w:rsidP="00A70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4612D" w14:textId="6E995D6A" w:rsidR="00A70EA7" w:rsidRPr="00316011" w:rsidRDefault="00E54A5D" w:rsidP="00E54A5D">
    <w:pPr>
      <w:pStyle w:val="Nagwek"/>
      <w:jc w:val="right"/>
      <w:rPr>
        <w:rFonts w:ascii="Times New Roman" w:hAnsi="Times New Roman" w:cs="Times New Roman"/>
        <w:i/>
        <w:iCs/>
        <w:sz w:val="18"/>
        <w:szCs w:val="18"/>
      </w:rPr>
    </w:pPr>
    <w:r>
      <w:rPr>
        <w:noProof/>
      </w:rPr>
      <w:drawing>
        <wp:inline distT="0" distB="0" distL="0" distR="0" wp14:anchorId="1F6EAA47" wp14:editId="7D46793A">
          <wp:extent cx="5760720" cy="572135"/>
          <wp:effectExtent l="0" t="0" r="0" b="0"/>
          <wp:docPr id="7373837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38371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16011" w:rsidRPr="00316011">
      <w:rPr>
        <w:rFonts w:ascii="Times New Roman" w:hAnsi="Times New Roman" w:cs="Times New Roman"/>
        <w:i/>
        <w:iCs/>
        <w:sz w:val="18"/>
        <w:szCs w:val="18"/>
      </w:rPr>
      <w:t>Załącznik nr 2</w:t>
    </w:r>
    <w:r w:rsidR="00A43870">
      <w:rPr>
        <w:rFonts w:ascii="Times New Roman" w:hAnsi="Times New Roman" w:cs="Times New Roman"/>
        <w:i/>
        <w:iCs/>
        <w:sz w:val="18"/>
        <w:szCs w:val="18"/>
      </w:rPr>
      <w:t>.</w:t>
    </w:r>
    <w:r w:rsidR="00C040AE">
      <w:rPr>
        <w:rFonts w:ascii="Times New Roman" w:hAnsi="Times New Roman" w:cs="Times New Roman"/>
        <w:i/>
        <w:iCs/>
        <w:sz w:val="18"/>
        <w:szCs w:val="18"/>
      </w:rPr>
      <w:t>4</w:t>
    </w:r>
    <w:r w:rsidR="00A43870">
      <w:rPr>
        <w:rFonts w:ascii="Times New Roman" w:hAnsi="Times New Roman" w:cs="Times New Roman"/>
        <w:i/>
        <w:iCs/>
        <w:sz w:val="18"/>
        <w:szCs w:val="18"/>
      </w:rPr>
      <w:t>.</w:t>
    </w:r>
    <w:r w:rsidR="00316011" w:rsidRPr="00316011">
      <w:rPr>
        <w:rFonts w:ascii="Times New Roman" w:hAnsi="Times New Roman" w:cs="Times New Roman"/>
        <w:i/>
        <w:iCs/>
        <w:sz w:val="18"/>
        <w:szCs w:val="18"/>
      </w:rPr>
      <w:t xml:space="preserve"> do SWZ</w:t>
    </w:r>
  </w:p>
  <w:p w14:paraId="2AF7E055" w14:textId="77777777" w:rsidR="00A70EA7" w:rsidRDefault="00A70E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68409CA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ascii="Georgia" w:hAnsi="Georgia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4" w:hanging="284"/>
      </w:pPr>
      <w:rPr>
        <w:rFonts w:ascii="Georgia" w:hAnsi="Georgia" w:hint="default"/>
        <w:b w:val="0"/>
        <w:i w:val="0"/>
        <w:sz w:val="20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multilevel"/>
    <w:tmpl w:val="00000003"/>
    <w:name w:val="WW8Num1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3CF5BD8"/>
    <w:multiLevelType w:val="hybridMultilevel"/>
    <w:tmpl w:val="36024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25841"/>
    <w:multiLevelType w:val="multilevel"/>
    <w:tmpl w:val="EB5A62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D175198"/>
    <w:multiLevelType w:val="multilevel"/>
    <w:tmpl w:val="E7E03F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D7CDB"/>
    <w:multiLevelType w:val="multilevel"/>
    <w:tmpl w:val="55447A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F805574"/>
    <w:multiLevelType w:val="hybridMultilevel"/>
    <w:tmpl w:val="0234E0D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6C3812"/>
    <w:multiLevelType w:val="multilevel"/>
    <w:tmpl w:val="914A4D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F7A3B90"/>
    <w:multiLevelType w:val="multilevel"/>
    <w:tmpl w:val="ABAC7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B2AED"/>
    <w:multiLevelType w:val="multilevel"/>
    <w:tmpl w:val="F61067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A2C253C"/>
    <w:multiLevelType w:val="hybridMultilevel"/>
    <w:tmpl w:val="4164F7F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67441"/>
    <w:multiLevelType w:val="multilevel"/>
    <w:tmpl w:val="5C4E7A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D25241D"/>
    <w:multiLevelType w:val="multilevel"/>
    <w:tmpl w:val="695C7B0C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DB12C80"/>
    <w:multiLevelType w:val="multilevel"/>
    <w:tmpl w:val="B37AF8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FB209B4"/>
    <w:multiLevelType w:val="multilevel"/>
    <w:tmpl w:val="F34E8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46240"/>
    <w:multiLevelType w:val="hybridMultilevel"/>
    <w:tmpl w:val="A7E6D19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605B61"/>
    <w:multiLevelType w:val="multilevel"/>
    <w:tmpl w:val="9F18E4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2EE1ED1"/>
    <w:multiLevelType w:val="hybridMultilevel"/>
    <w:tmpl w:val="34F611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9A4D67"/>
    <w:multiLevelType w:val="multilevel"/>
    <w:tmpl w:val="6C3826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9152671"/>
    <w:multiLevelType w:val="hybridMultilevel"/>
    <w:tmpl w:val="1A664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B27790"/>
    <w:multiLevelType w:val="hybridMultilevel"/>
    <w:tmpl w:val="36024A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D178D"/>
    <w:multiLevelType w:val="multilevel"/>
    <w:tmpl w:val="689242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FC3270"/>
    <w:multiLevelType w:val="hybridMultilevel"/>
    <w:tmpl w:val="7D689A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23E22"/>
    <w:multiLevelType w:val="hybridMultilevel"/>
    <w:tmpl w:val="A2868F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556D03"/>
    <w:multiLevelType w:val="multilevel"/>
    <w:tmpl w:val="BD54B3F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E5F57E1"/>
    <w:multiLevelType w:val="hybridMultilevel"/>
    <w:tmpl w:val="4656B798"/>
    <w:lvl w:ilvl="0" w:tplc="974A61A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0D5E0E"/>
    <w:multiLevelType w:val="hybridMultilevel"/>
    <w:tmpl w:val="14E25F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72C4ACF"/>
    <w:multiLevelType w:val="multilevel"/>
    <w:tmpl w:val="A38263A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68A25314"/>
    <w:multiLevelType w:val="multilevel"/>
    <w:tmpl w:val="E0D2521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8A30F80"/>
    <w:multiLevelType w:val="multilevel"/>
    <w:tmpl w:val="955435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69675C5B"/>
    <w:multiLevelType w:val="hybridMultilevel"/>
    <w:tmpl w:val="9E8CD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3969"/>
    <w:multiLevelType w:val="multilevel"/>
    <w:tmpl w:val="738C4F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710E7885"/>
    <w:multiLevelType w:val="multilevel"/>
    <w:tmpl w:val="8D2666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045B6C"/>
    <w:multiLevelType w:val="hybridMultilevel"/>
    <w:tmpl w:val="18EC9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E2C43"/>
    <w:multiLevelType w:val="multilevel"/>
    <w:tmpl w:val="966058B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876330"/>
    <w:multiLevelType w:val="multilevel"/>
    <w:tmpl w:val="0BF4F6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637804"/>
    <w:multiLevelType w:val="hybridMultilevel"/>
    <w:tmpl w:val="577EF776"/>
    <w:lvl w:ilvl="0" w:tplc="E67E35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D1636D"/>
    <w:multiLevelType w:val="hybridMultilevel"/>
    <w:tmpl w:val="4BBCFB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6639355">
    <w:abstractNumId w:val="26"/>
  </w:num>
  <w:num w:numId="2" w16cid:durableId="1508204220">
    <w:abstractNumId w:val="19"/>
  </w:num>
  <w:num w:numId="3" w16cid:durableId="1801726832">
    <w:abstractNumId w:val="15"/>
  </w:num>
  <w:num w:numId="4" w16cid:durableId="1161627280">
    <w:abstractNumId w:val="0"/>
  </w:num>
  <w:num w:numId="5" w16cid:durableId="1997342627">
    <w:abstractNumId w:val="1"/>
  </w:num>
  <w:num w:numId="6" w16cid:durableId="1791124532">
    <w:abstractNumId w:val="34"/>
  </w:num>
  <w:num w:numId="7" w16cid:durableId="2049866203">
    <w:abstractNumId w:val="2"/>
  </w:num>
  <w:num w:numId="8" w16cid:durableId="668947179">
    <w:abstractNumId w:val="20"/>
  </w:num>
  <w:num w:numId="9" w16cid:durableId="1514491416">
    <w:abstractNumId w:val="13"/>
  </w:num>
  <w:num w:numId="10" w16cid:durableId="2010937149">
    <w:abstractNumId w:val="30"/>
  </w:num>
  <w:num w:numId="11" w16cid:durableId="29039658">
    <w:abstractNumId w:val="16"/>
  </w:num>
  <w:num w:numId="12" w16cid:durableId="1863015181">
    <w:abstractNumId w:val="4"/>
  </w:num>
  <w:num w:numId="13" w16cid:durableId="1359969974">
    <w:abstractNumId w:val="11"/>
  </w:num>
  <w:num w:numId="14" w16cid:durableId="1354916140">
    <w:abstractNumId w:val="33"/>
  </w:num>
  <w:num w:numId="15" w16cid:durableId="233979691">
    <w:abstractNumId w:val="5"/>
  </w:num>
  <w:num w:numId="16" w16cid:durableId="874512480">
    <w:abstractNumId w:val="18"/>
  </w:num>
  <w:num w:numId="17" w16cid:durableId="826286743">
    <w:abstractNumId w:val="36"/>
  </w:num>
  <w:num w:numId="18" w16cid:durableId="85274911">
    <w:abstractNumId w:val="21"/>
  </w:num>
  <w:num w:numId="19" w16cid:durableId="39550519">
    <w:abstractNumId w:val="12"/>
  </w:num>
  <w:num w:numId="20" w16cid:durableId="356470577">
    <w:abstractNumId w:val="3"/>
  </w:num>
  <w:num w:numId="21" w16cid:durableId="1307317175">
    <w:abstractNumId w:val="32"/>
  </w:num>
  <w:num w:numId="22" w16cid:durableId="1252813807">
    <w:abstractNumId w:val="14"/>
  </w:num>
  <w:num w:numId="23" w16cid:durableId="414134277">
    <w:abstractNumId w:val="9"/>
  </w:num>
  <w:num w:numId="24" w16cid:durableId="939027374">
    <w:abstractNumId w:val="7"/>
  </w:num>
  <w:num w:numId="25" w16cid:durableId="173351749">
    <w:abstractNumId w:val="25"/>
  </w:num>
  <w:num w:numId="26" w16cid:durableId="44917243">
    <w:abstractNumId w:val="10"/>
  </w:num>
  <w:num w:numId="27" w16cid:durableId="2130780821">
    <w:abstractNumId w:val="29"/>
  </w:num>
  <w:num w:numId="28" w16cid:durableId="1361010142">
    <w:abstractNumId w:val="24"/>
  </w:num>
  <w:num w:numId="29" w16cid:durableId="1999458104">
    <w:abstractNumId w:val="28"/>
  </w:num>
  <w:num w:numId="30" w16cid:durableId="730619442">
    <w:abstractNumId w:val="31"/>
  </w:num>
  <w:num w:numId="31" w16cid:durableId="465513594">
    <w:abstractNumId w:val="35"/>
  </w:num>
  <w:num w:numId="32" w16cid:durableId="1654480566">
    <w:abstractNumId w:val="8"/>
  </w:num>
  <w:num w:numId="33" w16cid:durableId="1328948072">
    <w:abstractNumId w:val="37"/>
  </w:num>
  <w:num w:numId="34" w16cid:durableId="2089496628">
    <w:abstractNumId w:val="22"/>
  </w:num>
  <w:num w:numId="35" w16cid:durableId="1123620722">
    <w:abstractNumId w:val="38"/>
  </w:num>
  <w:num w:numId="36" w16cid:durableId="818620829">
    <w:abstractNumId w:val="23"/>
  </w:num>
  <w:num w:numId="37" w16cid:durableId="796873735">
    <w:abstractNumId w:val="17"/>
  </w:num>
  <w:num w:numId="38" w16cid:durableId="1399982584">
    <w:abstractNumId w:val="27"/>
  </w:num>
  <w:num w:numId="39" w16cid:durableId="1285183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EA7"/>
    <w:rsid w:val="00046733"/>
    <w:rsid w:val="000E1604"/>
    <w:rsid w:val="001505B6"/>
    <w:rsid w:val="00201CCC"/>
    <w:rsid w:val="00245975"/>
    <w:rsid w:val="00282D33"/>
    <w:rsid w:val="002B5D43"/>
    <w:rsid w:val="002D56DB"/>
    <w:rsid w:val="00316011"/>
    <w:rsid w:val="00361B0C"/>
    <w:rsid w:val="003632B0"/>
    <w:rsid w:val="00474814"/>
    <w:rsid w:val="004C3759"/>
    <w:rsid w:val="005522FC"/>
    <w:rsid w:val="00565E26"/>
    <w:rsid w:val="005D432D"/>
    <w:rsid w:val="0068545A"/>
    <w:rsid w:val="006954F8"/>
    <w:rsid w:val="007372DE"/>
    <w:rsid w:val="007F53FB"/>
    <w:rsid w:val="00851FF8"/>
    <w:rsid w:val="008D5114"/>
    <w:rsid w:val="00907C29"/>
    <w:rsid w:val="00A43870"/>
    <w:rsid w:val="00A70EA7"/>
    <w:rsid w:val="00AA06F1"/>
    <w:rsid w:val="00B205FF"/>
    <w:rsid w:val="00C040AE"/>
    <w:rsid w:val="00C54566"/>
    <w:rsid w:val="00CB3FE0"/>
    <w:rsid w:val="00D267D5"/>
    <w:rsid w:val="00D45C8E"/>
    <w:rsid w:val="00D6320A"/>
    <w:rsid w:val="00DA04FD"/>
    <w:rsid w:val="00DB4EF0"/>
    <w:rsid w:val="00E26319"/>
    <w:rsid w:val="00E54A5D"/>
    <w:rsid w:val="00F1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66FD7"/>
  <w15:chartTrackingRefBased/>
  <w15:docId w15:val="{396041F5-3E41-4EA4-826D-DE2B11AE5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EA7"/>
  </w:style>
  <w:style w:type="paragraph" w:styleId="Nagwek1">
    <w:name w:val="heading 1"/>
    <w:basedOn w:val="Normalny"/>
    <w:next w:val="Normalny"/>
    <w:link w:val="Nagwek1Znak"/>
    <w:uiPriority w:val="9"/>
    <w:qFormat/>
    <w:rsid w:val="00A70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0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0E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0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0E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0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0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0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0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0E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0E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0E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0E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0E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0E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0E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0E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0E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0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0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0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0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0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0EA7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A70E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0E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0E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0E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0EA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0E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EA7"/>
  </w:style>
  <w:style w:type="paragraph" w:styleId="Stopka">
    <w:name w:val="footer"/>
    <w:basedOn w:val="Normalny"/>
    <w:link w:val="StopkaZnak"/>
    <w:uiPriority w:val="99"/>
    <w:unhideWhenUsed/>
    <w:rsid w:val="00A70E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0EA7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A70EA7"/>
  </w:style>
  <w:style w:type="paragraph" w:customStyle="1" w:styleId="Normalny2">
    <w:name w:val="Normalny2"/>
    <w:rsid w:val="00282D3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lang w:eastAsia="ar-SA"/>
      <w14:ligatures w14:val="none"/>
    </w:rPr>
  </w:style>
  <w:style w:type="character" w:customStyle="1" w:styleId="WW-DefaultParagraphFont">
    <w:name w:val="WW-Default Paragraph Font"/>
    <w:rsid w:val="00282D33"/>
  </w:style>
  <w:style w:type="paragraph" w:customStyle="1" w:styleId="Tekstpodstawowy2">
    <w:name w:val="Tekst podstawowy2"/>
    <w:basedOn w:val="Normalny2"/>
    <w:rsid w:val="00282D33"/>
    <w:pPr>
      <w:spacing w:after="120"/>
    </w:pPr>
    <w:rPr>
      <w:sz w:val="20"/>
      <w:szCs w:val="20"/>
    </w:rPr>
  </w:style>
  <w:style w:type="character" w:customStyle="1" w:styleId="rnc2gd">
    <w:name w:val="rnc2gd"/>
    <w:basedOn w:val="Domylnaczcionkaakapitu"/>
    <w:rsid w:val="00F14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5c4aa69e-0824-4912-95d5-ed021e6251c6">
      <Terms xmlns="http://schemas.microsoft.com/office/infopath/2007/PartnerControls"/>
    </lcf76f155ced4ddcb4097134ff3c332f>
    <TaxCatchAll xmlns="438c2126-4a1a-4ff3-ab2d-c3adda9b08e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30F46300339409D53C27047E13F80" ma:contentTypeVersion="12" ma:contentTypeDescription="Utwórz nowy dokument." ma:contentTypeScope="" ma:versionID="e6710f97d836c6aaecd8c09bb9023143">
  <xsd:schema xmlns:xsd="http://www.w3.org/2001/XMLSchema" xmlns:xs="http://www.w3.org/2001/XMLSchema" xmlns:p="http://schemas.microsoft.com/office/2006/metadata/properties" xmlns:ns1="http://schemas.microsoft.com/sharepoint/v3" xmlns:ns2="5c4aa69e-0824-4912-95d5-ed021e6251c6" xmlns:ns3="438c2126-4a1a-4ff3-ab2d-c3adda9b08e2" targetNamespace="http://schemas.microsoft.com/office/2006/metadata/properties" ma:root="true" ma:fieldsID="0a282d2eaf581ebea34f8fd903e72f68" ns1:_="" ns2:_="" ns3:_="">
    <xsd:import namespace="http://schemas.microsoft.com/sharepoint/v3"/>
    <xsd:import namespace="5c4aa69e-0824-4912-95d5-ed021e6251c6"/>
    <xsd:import namespace="438c2126-4a1a-4ff3-ab2d-c3adda9b0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aa69e-0824-4912-95d5-ed021e625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8c2126-4a1a-4ff3-ab2d-c3adda9b08e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7c636de-7852-4402-873f-40797481a518}" ma:internalName="TaxCatchAll" ma:showField="CatchAllData" ma:web="438c2126-4a1a-4ff3-ab2d-c3adda9b08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4B5438-2A29-4BA4-AA7B-BC89C2E7EA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437A34-C24B-4875-BF64-224D598440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c4aa69e-0824-4912-95d5-ed021e6251c6"/>
    <ds:schemaRef ds:uri="438c2126-4a1a-4ff3-ab2d-c3adda9b08e2"/>
  </ds:schemaRefs>
</ds:datastoreItem>
</file>

<file path=customXml/itemProps3.xml><?xml version="1.0" encoding="utf-8"?>
<ds:datastoreItem xmlns:ds="http://schemas.openxmlformats.org/officeDocument/2006/customXml" ds:itemID="{5758CAC3-0D86-4C2F-8EDC-FFA0268CE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c4aa69e-0824-4912-95d5-ed021e6251c6"/>
    <ds:schemaRef ds:uri="438c2126-4a1a-4ff3-ab2d-c3adda9b08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892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Ryśnik</dc:creator>
  <cp:keywords/>
  <dc:description/>
  <cp:lastModifiedBy>Ewa Jonienc</cp:lastModifiedBy>
  <cp:revision>13</cp:revision>
  <dcterms:created xsi:type="dcterms:W3CDTF">2025-11-18T11:58:00Z</dcterms:created>
  <dcterms:modified xsi:type="dcterms:W3CDTF">2026-04-14T11:32:00Z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0x010100D6D30F46300339409D53C27047E13F80</vt:lpwstr>
  </property>
</Properties>
</file>