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39D" w:rsidRDefault="004945CF">
      <w:pPr>
        <w:pStyle w:val="Tytu"/>
        <w:spacing w:line="276" w:lineRule="auto"/>
        <w:jc w:val="center"/>
        <w:rPr>
          <w:rStyle w:val="Tytuksiki"/>
          <w:sz w:val="52"/>
        </w:rPr>
      </w:pPr>
      <w:r>
        <w:rPr>
          <w:noProof/>
          <w:lang w:val="en-US"/>
        </w:rPr>
        <w:drawing>
          <wp:inline distT="0" distB="0" distL="0" distR="0">
            <wp:extent cx="6645910" cy="66484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tbl>
      <w:tblPr>
        <w:tblW w:w="10204" w:type="dxa"/>
        <w:jc w:val="center"/>
        <w:tblLayout w:type="fixed"/>
        <w:tblLook w:val="0000"/>
      </w:tblPr>
      <w:tblGrid>
        <w:gridCol w:w="5105"/>
        <w:gridCol w:w="5099"/>
      </w:tblGrid>
      <w:tr w:rsidR="0078639D">
        <w:trPr>
          <w:trHeight w:val="1247"/>
          <w:jc w:val="center"/>
        </w:trPr>
        <w:tc>
          <w:tcPr>
            <w:tcW w:w="5104" w:type="dxa"/>
          </w:tcPr>
          <w:p w:rsidR="0078639D" w:rsidRDefault="004945CF">
            <w:pPr>
              <w:pStyle w:val="Nagwek10"/>
              <w:spacing w:line="276" w:lineRule="auto"/>
            </w:pPr>
            <w:r>
              <w:rPr>
                <w:noProof/>
                <w:lang w:val="en-US"/>
              </w:rPr>
              <w:drawing>
                <wp:inline distT="0" distB="0" distL="0" distR="0">
                  <wp:extent cx="3004185" cy="1080770"/>
                  <wp:effectExtent l="0" t="0" r="0" b="0"/>
                  <wp:docPr id="2" name="Obraz3" descr="Obraz zawierający logo, Czcionka, tekst,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descr="Obraz zawierający logo, Czcionka, tekst, symbol&#10;&#10;Zawartość wygenerowana przez AI może być niepoprawna."/>
                          <pic:cNvPicPr>
                            <a:picLocks noChangeAspect="1" noChangeArrowheads="1"/>
                          </pic:cNvPicPr>
                        </pic:nvPicPr>
                        <pic:blipFill>
                          <a:blip r:embed="rId9" cstate="print"/>
                          <a:srcRect l="-24" t="-67" r="-24" b="-67"/>
                          <a:stretch>
                            <a:fillRect/>
                          </a:stretch>
                        </pic:blipFill>
                        <pic:spPr bwMode="auto">
                          <a:xfrm>
                            <a:off x="0" y="0"/>
                            <a:ext cx="3004185" cy="1080770"/>
                          </a:xfrm>
                          <a:prstGeom prst="rect">
                            <a:avLst/>
                          </a:prstGeom>
                          <a:noFill/>
                        </pic:spPr>
                      </pic:pic>
                    </a:graphicData>
                  </a:graphic>
                </wp:inline>
              </w:drawing>
            </w:r>
          </w:p>
        </w:tc>
        <w:tc>
          <w:tcPr>
            <w:tcW w:w="5099" w:type="dxa"/>
            <w:vAlign w:val="center"/>
          </w:tcPr>
          <w:p w:rsidR="0078639D" w:rsidRDefault="004945CF">
            <w:pPr>
              <w:pStyle w:val="Nagwek10"/>
              <w:spacing w:line="276" w:lineRule="auto"/>
              <w:jc w:val="center"/>
              <w:rPr>
                <w:color w:val="0070C0"/>
              </w:rPr>
            </w:pPr>
            <w:r>
              <w:rPr>
                <w:color w:val="0070C0"/>
              </w:rPr>
              <w:t>63-800 Gostyń, Plac Karola Marcinkowskiego 8/9</w:t>
            </w:r>
          </w:p>
          <w:tbl>
            <w:tblPr>
              <w:tblW w:w="4082" w:type="dxa"/>
              <w:jc w:val="center"/>
              <w:tblLayout w:type="fixed"/>
              <w:tblLook w:val="0000"/>
            </w:tblPr>
            <w:tblGrid>
              <w:gridCol w:w="2044"/>
              <w:gridCol w:w="2038"/>
            </w:tblGrid>
            <w:tr w:rsidR="0078639D">
              <w:trPr>
                <w:trHeight w:val="340"/>
                <w:jc w:val="center"/>
              </w:trPr>
              <w:tc>
                <w:tcPr>
                  <w:tcW w:w="2043" w:type="dxa"/>
                  <w:vAlign w:val="center"/>
                </w:tcPr>
                <w:p w:rsidR="0078639D" w:rsidRDefault="004945CF">
                  <w:pPr>
                    <w:pStyle w:val="Nagwek10"/>
                    <w:spacing w:line="276" w:lineRule="auto"/>
                    <w:jc w:val="center"/>
                  </w:pPr>
                  <w:r>
                    <w:rPr>
                      <w:rFonts w:ascii="Candara" w:eastAsia="Times New Roman" w:hAnsi="Candara" w:cs="Aharoni"/>
                      <w:color w:val="548DD4"/>
                      <w:sz w:val="16"/>
                    </w:rPr>
                    <w:t>Tel. (0 65) 32 26 834</w:t>
                  </w:r>
                </w:p>
              </w:tc>
              <w:tc>
                <w:tcPr>
                  <w:tcW w:w="2038" w:type="dxa"/>
                  <w:vAlign w:val="center"/>
                </w:tcPr>
                <w:p w:rsidR="0078639D" w:rsidRDefault="004945CF">
                  <w:pPr>
                    <w:pStyle w:val="Nagwek10"/>
                    <w:spacing w:line="276" w:lineRule="auto"/>
                    <w:jc w:val="center"/>
                  </w:pPr>
                  <w:r>
                    <w:rPr>
                      <w:rFonts w:ascii="Candara" w:eastAsia="Times New Roman" w:hAnsi="Candara" w:cs="Aharoni"/>
                      <w:color w:val="548DD4"/>
                      <w:sz w:val="16"/>
                    </w:rPr>
                    <w:t>Fax  (0 65) 32 26 840</w:t>
                  </w:r>
                </w:p>
              </w:tc>
            </w:tr>
          </w:tbl>
          <w:p w:rsidR="0078639D" w:rsidRDefault="0078639D">
            <w:pPr>
              <w:pStyle w:val="Nagwek10"/>
              <w:spacing w:line="276" w:lineRule="auto"/>
              <w:jc w:val="center"/>
              <w:rPr>
                <w:rFonts w:eastAsia="Times New Roman"/>
              </w:rPr>
            </w:pPr>
          </w:p>
        </w:tc>
      </w:tr>
      <w:tr w:rsidR="0078639D">
        <w:trPr>
          <w:trHeight w:val="1247"/>
          <w:jc w:val="center"/>
        </w:trPr>
        <w:tc>
          <w:tcPr>
            <w:tcW w:w="5104" w:type="dxa"/>
          </w:tcPr>
          <w:p w:rsidR="0078639D" w:rsidRDefault="0078639D">
            <w:pPr>
              <w:pStyle w:val="Nagwek10"/>
              <w:spacing w:line="276" w:lineRule="auto"/>
              <w:rPr>
                <w:lang w:eastAsia="pl-PL"/>
              </w:rPr>
            </w:pPr>
          </w:p>
          <w:p w:rsidR="0078639D" w:rsidRDefault="0078639D">
            <w:pPr>
              <w:pStyle w:val="Nagwek10"/>
              <w:spacing w:line="276" w:lineRule="auto"/>
              <w:rPr>
                <w:lang w:eastAsia="pl-PL"/>
              </w:rPr>
            </w:pPr>
          </w:p>
        </w:tc>
        <w:tc>
          <w:tcPr>
            <w:tcW w:w="5099" w:type="dxa"/>
            <w:vAlign w:val="center"/>
          </w:tcPr>
          <w:p w:rsidR="0078639D" w:rsidRDefault="0078639D">
            <w:pPr>
              <w:pStyle w:val="Nagwek10"/>
              <w:spacing w:line="276" w:lineRule="auto"/>
              <w:rPr>
                <w:color w:val="0070C0"/>
              </w:rPr>
            </w:pPr>
          </w:p>
        </w:tc>
      </w:tr>
    </w:tbl>
    <w:p w:rsidR="0078639D" w:rsidRDefault="004945CF">
      <w:pPr>
        <w:spacing w:after="0" w:line="276" w:lineRule="auto"/>
        <w:jc w:val="center"/>
        <w:rPr>
          <w:lang w:val="en-US"/>
        </w:rPr>
      </w:pPr>
      <w:r>
        <w:rPr>
          <w:rFonts w:ascii="Candara" w:eastAsia="Times New Roman" w:hAnsi="Candara" w:cs="Aharoni"/>
          <w:b/>
          <w:color w:val="548DD4"/>
          <w:sz w:val="16"/>
          <w:lang w:val="en-US"/>
        </w:rPr>
        <w:t>C E R T Y F I K A T   PN-EN ISO 9001:2015-10</w:t>
      </w:r>
    </w:p>
    <w:p w:rsidR="0078639D" w:rsidRDefault="0078639D">
      <w:pPr>
        <w:pStyle w:val="Tytu"/>
        <w:spacing w:line="276" w:lineRule="auto"/>
        <w:rPr>
          <w:rStyle w:val="Tytuksiki"/>
          <w:sz w:val="52"/>
          <w:lang w:val="en-US"/>
        </w:rPr>
      </w:pPr>
    </w:p>
    <w:p w:rsidR="0078639D" w:rsidRDefault="004945CF">
      <w:pPr>
        <w:pStyle w:val="Tytu"/>
        <w:spacing w:line="276" w:lineRule="auto"/>
        <w:jc w:val="center"/>
        <w:rPr>
          <w:rStyle w:val="Tytuksiki"/>
          <w:sz w:val="52"/>
        </w:rPr>
      </w:pPr>
      <w:r>
        <w:rPr>
          <w:rStyle w:val="Tytuksiki"/>
          <w:sz w:val="52"/>
        </w:rPr>
        <w:t>SPECYFIKACJA WARUNKÓW ZAMÓWIENIA (SWZ)</w:t>
      </w:r>
    </w:p>
    <w:p w:rsidR="0078639D" w:rsidRDefault="0078639D">
      <w:pPr>
        <w:spacing w:after="0" w:line="276" w:lineRule="auto"/>
        <w:jc w:val="center"/>
        <w:rPr>
          <w:rFonts w:cstheme="minorHAnsi"/>
          <w:sz w:val="20"/>
          <w:szCs w:val="20"/>
        </w:rPr>
      </w:pPr>
    </w:p>
    <w:p w:rsidR="0078639D" w:rsidRDefault="0078639D">
      <w:pPr>
        <w:spacing w:after="0" w:line="276" w:lineRule="auto"/>
        <w:jc w:val="center"/>
        <w:rPr>
          <w:rFonts w:cstheme="minorHAnsi"/>
          <w:sz w:val="20"/>
          <w:szCs w:val="20"/>
        </w:rPr>
      </w:pPr>
    </w:p>
    <w:p w:rsidR="0078639D" w:rsidRDefault="004945CF">
      <w:pPr>
        <w:spacing w:after="0" w:line="276" w:lineRule="auto"/>
        <w:jc w:val="center"/>
        <w:rPr>
          <w:rFonts w:cstheme="minorHAnsi"/>
          <w:sz w:val="20"/>
          <w:szCs w:val="24"/>
        </w:rPr>
      </w:pPr>
      <w:r>
        <w:rPr>
          <w:rFonts w:cstheme="minorHAnsi"/>
          <w:sz w:val="20"/>
          <w:szCs w:val="24"/>
        </w:rPr>
        <w:t xml:space="preserve">Dla postępowania prowadzonego w trybie przetargu nieograniczonego zgodnie z art. 132 ustawy </w:t>
      </w:r>
    </w:p>
    <w:p w:rsidR="0078639D" w:rsidRDefault="004945CF">
      <w:pPr>
        <w:spacing w:after="0" w:line="276" w:lineRule="auto"/>
        <w:jc w:val="center"/>
        <w:rPr>
          <w:sz w:val="20"/>
          <w:szCs w:val="24"/>
        </w:rPr>
      </w:pPr>
      <w:bookmarkStart w:id="0" w:name="_Toc65043858"/>
      <w:bookmarkStart w:id="1" w:name="_Toc65043755"/>
      <w:bookmarkStart w:id="2" w:name="_Toc65043274"/>
      <w:r>
        <w:rPr>
          <w:rFonts w:cstheme="minorHAnsi"/>
          <w:sz w:val="20"/>
          <w:szCs w:val="24"/>
        </w:rPr>
        <w:t>z dnia 11.09.2019 r. Prawo zamówień publicznych</w:t>
      </w:r>
      <w:bookmarkEnd w:id="0"/>
      <w:bookmarkEnd w:id="1"/>
      <w:bookmarkEnd w:id="2"/>
      <w:r>
        <w:rPr>
          <w:rFonts w:cstheme="minorHAnsi"/>
          <w:sz w:val="20"/>
          <w:szCs w:val="24"/>
        </w:rPr>
        <w:t xml:space="preserve"> </w:t>
      </w:r>
      <w:r>
        <w:rPr>
          <w:sz w:val="20"/>
          <w:szCs w:val="24"/>
        </w:rPr>
        <w:t>(tj. Dz. U. z 2024 r. poz. 1320 ze zm., zwanej w dalszej treści PZP</w:t>
      </w:r>
      <w:bookmarkStart w:id="3" w:name="_Toc65043859"/>
      <w:bookmarkStart w:id="4" w:name="_Toc65043756"/>
      <w:bookmarkStart w:id="5" w:name="_Toc65043275"/>
      <w:r>
        <w:rPr>
          <w:sz w:val="20"/>
          <w:szCs w:val="24"/>
        </w:rPr>
        <w:t xml:space="preserve">), </w:t>
      </w:r>
      <w:bookmarkEnd w:id="3"/>
      <w:bookmarkEnd w:id="4"/>
      <w:bookmarkEnd w:id="5"/>
      <w:r>
        <w:rPr>
          <w:sz w:val="20"/>
          <w:szCs w:val="24"/>
        </w:rPr>
        <w:t>o nazwie:</w:t>
      </w:r>
    </w:p>
    <w:p w:rsidR="0078639D" w:rsidRDefault="0078639D">
      <w:pPr>
        <w:pStyle w:val="Tekstpodstawowywcity"/>
        <w:spacing w:after="0"/>
        <w:ind w:left="0"/>
        <w:rPr>
          <w:rFonts w:asciiTheme="minorHAnsi" w:hAnsiTheme="minorHAnsi" w:cstheme="minorHAnsi"/>
          <w:b/>
          <w:bCs/>
          <w:color w:val="0000FF"/>
          <w:sz w:val="24"/>
          <w:szCs w:val="24"/>
        </w:rPr>
      </w:pPr>
    </w:p>
    <w:p w:rsidR="0078639D" w:rsidRPr="0048590C" w:rsidRDefault="00165C1D">
      <w:pPr>
        <w:pStyle w:val="Tekstpodstawowywcity"/>
        <w:tabs>
          <w:tab w:val="center" w:pos="5233"/>
          <w:tab w:val="left" w:pos="8503"/>
        </w:tabs>
        <w:spacing w:after="0"/>
        <w:ind w:left="0"/>
        <w:jc w:val="center"/>
        <w:rPr>
          <w:rFonts w:cs="Calibri"/>
          <w:b/>
          <w:bCs/>
          <w:color w:val="0000FF"/>
          <w:szCs w:val="22"/>
        </w:rPr>
      </w:pPr>
      <w:sdt>
        <w:sdtPr>
          <w:rPr>
            <w:rFonts w:cs="Calibri"/>
            <w:b/>
            <w:szCs w:val="22"/>
          </w:rPr>
          <w:alias w:val="Tytuł"/>
          <w:id w:val="-132336339"/>
          <w:placeholder>
            <w:docPart w:val="7295A7040DCD45FA982E03B8D204A8E6"/>
          </w:placeholder>
          <w:dataBinding w:prefixMappings="xmlns:ns0='http://purl.org/dc/elements/1.1/' xmlns:ns1='http://schemas.openxmlformats.org/package/2006/metadata/core-properties' " w:xpath="/ns1:coreProperties[1]/ns0:title[1]" w:storeItemID="{6C3C8BC8-F283-45AE-878A-BAB7291924A1}"/>
          <w:text/>
        </w:sdtPr>
        <w:sdtContent>
          <w:r w:rsidR="007E110C">
            <w:rPr>
              <w:rFonts w:cs="Calibri"/>
              <w:b/>
              <w:szCs w:val="22"/>
            </w:rPr>
            <w:t>Zakup wyposażenia Oddziału Wewnętrznego w ramach projektu „Modernizacja infrastruktury kardiologicznej Oddziału Wewnętrznego SPZOZ w Gostyniu"</w:t>
          </w:r>
        </w:sdtContent>
      </w:sdt>
    </w:p>
    <w:p w:rsidR="0078639D" w:rsidRDefault="0078639D">
      <w:pPr>
        <w:spacing w:after="0" w:line="276" w:lineRule="auto"/>
        <w:jc w:val="right"/>
        <w:rPr>
          <w:rFonts w:cstheme="minorHAnsi"/>
          <w:sz w:val="24"/>
          <w:szCs w:val="24"/>
        </w:rPr>
      </w:pPr>
    </w:p>
    <w:p w:rsidR="0078639D" w:rsidRDefault="0078639D">
      <w:pPr>
        <w:spacing w:after="0" w:line="276" w:lineRule="auto"/>
        <w:rPr>
          <w:rFonts w:ascii="Calibri" w:hAnsi="Calibri" w:cs="Calibri"/>
          <w:sz w:val="24"/>
          <w:szCs w:val="24"/>
        </w:rPr>
      </w:pPr>
    </w:p>
    <w:p w:rsidR="0078639D" w:rsidRDefault="004945CF">
      <w:pPr>
        <w:spacing w:after="0" w:line="276" w:lineRule="auto"/>
        <w:rPr>
          <w:rFonts w:ascii="Calibri" w:hAnsi="Calibri" w:cs="Calibri"/>
          <w:bCs/>
          <w:color w:val="7030A0"/>
          <w:sz w:val="32"/>
          <w:szCs w:val="20"/>
        </w:rPr>
      </w:pPr>
      <w:r>
        <w:rPr>
          <w:rFonts w:ascii="Calibri" w:hAnsi="Calibri" w:cs="Calibri"/>
          <w:sz w:val="20"/>
          <w:szCs w:val="20"/>
        </w:rPr>
        <w:t xml:space="preserve">Nr referencyjny nadany sprawie przez Zamawiającego: </w:t>
      </w:r>
      <w:sdt>
        <w:sdtPr>
          <w:alias w:val="Słowa kluczowe"/>
          <w:id w:val="-1316570380"/>
          <w:placeholder>
            <w:docPart w:val="BFBDADAEE5A14EED8F977B89B1346A33"/>
          </w:placeholder>
          <w:dataBinding w:prefixMappings="xmlns:ns0='http://purl.org/dc/elements/1.1/' xmlns:ns1='http://schemas.openxmlformats.org/package/2006/metadata/core-properties' " w:xpath="/ns1:coreProperties[1]/ns1:keywords[1]" w:storeItemID="{6C3C8BC8-F283-45AE-878A-BAB7291924A1}"/>
          <w:text/>
        </w:sdtPr>
        <w:sdtContent>
          <w:r>
            <w:rPr>
              <w:rFonts w:ascii="Calibri" w:hAnsi="Calibri" w:cs="Calibri"/>
              <w:b/>
              <w:bCs/>
              <w:sz w:val="20"/>
              <w:szCs w:val="20"/>
            </w:rPr>
            <w:t>SPZOZ.XII.231.1/3/2026</w:t>
          </w:r>
        </w:sdtContent>
      </w:sdt>
    </w:p>
    <w:p w:rsidR="0078639D" w:rsidRDefault="0078639D">
      <w:pPr>
        <w:spacing w:after="0" w:line="276" w:lineRule="auto"/>
        <w:rPr>
          <w:rFonts w:ascii="Calibri" w:hAnsi="Calibri" w:cs="Calibri"/>
          <w:sz w:val="20"/>
          <w:szCs w:val="20"/>
        </w:rPr>
      </w:pPr>
    </w:p>
    <w:p w:rsidR="0078639D" w:rsidRDefault="004945CF">
      <w:pPr>
        <w:spacing w:after="0" w:line="276" w:lineRule="auto"/>
        <w:rPr>
          <w:rFonts w:ascii="Calibri" w:hAnsi="Calibri" w:cs="Calibri"/>
          <w:sz w:val="20"/>
          <w:szCs w:val="20"/>
        </w:rPr>
      </w:pPr>
      <w:r>
        <w:rPr>
          <w:rFonts w:ascii="Calibri" w:hAnsi="Calibri" w:cs="Calibri"/>
          <w:sz w:val="20"/>
          <w:szCs w:val="20"/>
        </w:rPr>
        <w:t>Nazwy i kody Wspólnego Słownika Zamówień (CPV):</w:t>
      </w:r>
    </w:p>
    <w:p w:rsidR="0078639D" w:rsidRDefault="004945CF">
      <w:pPr>
        <w:pStyle w:val="Akapitzlist"/>
        <w:numPr>
          <w:ilvl w:val="0"/>
          <w:numId w:val="5"/>
        </w:numPr>
        <w:spacing w:line="276" w:lineRule="auto"/>
        <w:ind w:left="284" w:hanging="284"/>
        <w:rPr>
          <w:rFonts w:ascii="Calibri" w:hAnsi="Calibri" w:cs="Calibri"/>
        </w:rPr>
      </w:pPr>
      <w:r>
        <w:rPr>
          <w:rFonts w:ascii="Calibri" w:hAnsi="Calibri" w:cs="Calibri"/>
        </w:rPr>
        <w:t xml:space="preserve">Główny przedmiot: </w:t>
      </w:r>
      <w:r>
        <w:rPr>
          <w:rFonts w:ascii="Calibri" w:hAnsi="Calibri" w:cs="Calibri"/>
          <w:color w:val="365F91"/>
        </w:rPr>
        <w:t>33100000-1</w:t>
      </w:r>
    </w:p>
    <w:p w:rsidR="0078639D" w:rsidRDefault="004945CF">
      <w:pPr>
        <w:pStyle w:val="Akapitzlist"/>
        <w:numPr>
          <w:ilvl w:val="0"/>
          <w:numId w:val="5"/>
        </w:numPr>
        <w:spacing w:line="276" w:lineRule="auto"/>
        <w:ind w:left="284" w:hanging="284"/>
        <w:jc w:val="both"/>
        <w:rPr>
          <w:rFonts w:ascii="Calibri" w:hAnsi="Calibri" w:cs="Calibri"/>
          <w:b/>
          <w:bCs/>
        </w:rPr>
      </w:pPr>
      <w:r>
        <w:rPr>
          <w:rFonts w:ascii="Calibri" w:hAnsi="Calibri" w:cs="Calibri"/>
        </w:rPr>
        <w:t>Dodatkowe przedmioty:</w:t>
      </w:r>
      <w:r>
        <w:rPr>
          <w:rFonts w:ascii="Calibri" w:hAnsi="Calibri" w:cs="Calibri"/>
          <w:b/>
          <w:bCs/>
          <w:color w:val="000000" w:themeColor="text1"/>
        </w:rPr>
        <w:t xml:space="preserve"> </w:t>
      </w:r>
      <w:r>
        <w:rPr>
          <w:rFonts w:ascii="Calibri" w:hAnsi="Calibri" w:cs="Calibri"/>
          <w:color w:val="365F91"/>
        </w:rPr>
        <w:t>33123200-0, 33194110-0, 33123210-3, 48180000-3, 33112200-0, 33124130-5, 33182100-0, 33192120-9, 33190000-8, 33182210-4, 33190000-8</w:t>
      </w:r>
    </w:p>
    <w:p w:rsidR="0078639D" w:rsidRDefault="0078639D">
      <w:pPr>
        <w:spacing w:after="0" w:line="276" w:lineRule="auto"/>
        <w:rPr>
          <w:rFonts w:ascii="Calibri" w:hAnsi="Calibri" w:cs="Calibri"/>
          <w:b/>
          <w:color w:val="7030A0"/>
          <w:sz w:val="20"/>
          <w:szCs w:val="20"/>
        </w:rPr>
      </w:pPr>
    </w:p>
    <w:p w:rsidR="0078639D" w:rsidRDefault="004945CF">
      <w:pPr>
        <w:spacing w:after="0" w:line="276" w:lineRule="auto"/>
        <w:jc w:val="both"/>
        <w:rPr>
          <w:rFonts w:ascii="Calibri" w:hAnsi="Calibri" w:cs="Calibri"/>
          <w:sz w:val="20"/>
          <w:szCs w:val="20"/>
        </w:rPr>
      </w:pPr>
      <w:r>
        <w:rPr>
          <w:rFonts w:ascii="Calibri" w:hAnsi="Calibri" w:cs="Calibri"/>
          <w:sz w:val="20"/>
          <w:szCs w:val="20"/>
        </w:rPr>
        <w:t>Adres strony internetowej prowadzonego postępowania, na której udostępniane będą zmiany i wyjaśnienia treści SWZ oraz inne dokumenty zamówienia bezpośrednio związane z postępowaniem o udzielenie zamówienia:</w:t>
      </w:r>
    </w:p>
    <w:p w:rsidR="0078639D" w:rsidRDefault="00165C1D">
      <w:pPr>
        <w:spacing w:after="0" w:line="276" w:lineRule="auto"/>
        <w:jc w:val="both"/>
      </w:pPr>
      <w:hyperlink r:id="rId10">
        <w:r w:rsidR="004945CF">
          <w:rPr>
            <w:rStyle w:val="Hipercze"/>
            <w:rFonts w:cs="Calibri"/>
            <w:sz w:val="20"/>
            <w:szCs w:val="20"/>
          </w:rPr>
          <w:t>https://platformazakupowa.pl/pn/szpitalgostyn</w:t>
        </w:r>
      </w:hyperlink>
      <w:r w:rsidR="004945CF">
        <w:t xml:space="preserve"> </w:t>
      </w:r>
      <w:r w:rsidR="004945CF">
        <w:rPr>
          <w:sz w:val="20"/>
          <w:szCs w:val="20"/>
        </w:rPr>
        <w:t>zwana w dalszej treści Platformą.</w:t>
      </w:r>
    </w:p>
    <w:p w:rsidR="0078639D" w:rsidRDefault="0078639D">
      <w:pPr>
        <w:spacing w:after="0" w:line="276" w:lineRule="auto"/>
        <w:jc w:val="both"/>
        <w:rPr>
          <w:rFonts w:cs="Calibri"/>
          <w:sz w:val="20"/>
          <w:szCs w:val="20"/>
        </w:rPr>
      </w:pPr>
    </w:p>
    <w:p w:rsidR="0078639D" w:rsidRDefault="0078639D">
      <w:pPr>
        <w:spacing w:after="0" w:line="276" w:lineRule="auto"/>
      </w:pPr>
    </w:p>
    <w:p w:rsidR="0078639D" w:rsidRDefault="0078639D">
      <w:pPr>
        <w:spacing w:after="0" w:line="276" w:lineRule="auto"/>
      </w:pPr>
    </w:p>
    <w:p w:rsidR="0078639D" w:rsidRDefault="004945CF">
      <w:pPr>
        <w:spacing w:after="0" w:line="276" w:lineRule="auto"/>
        <w:jc w:val="center"/>
        <w:rPr>
          <w:b/>
        </w:rPr>
      </w:pPr>
      <w:r>
        <w:rPr>
          <w:b/>
        </w:rPr>
        <w:t>ZATWIERDZAM</w:t>
      </w:r>
    </w:p>
    <w:p w:rsidR="0078639D" w:rsidRDefault="004945CF">
      <w:pPr>
        <w:spacing w:after="0" w:line="276" w:lineRule="auto"/>
        <w:rPr>
          <w:rFonts w:eastAsiaTheme="majorEastAsia" w:cstheme="minorHAnsi"/>
          <w:b/>
          <w:sz w:val="20"/>
          <w:szCs w:val="20"/>
        </w:rPr>
      </w:pPr>
      <w:r>
        <w:br w:type="page"/>
      </w:r>
    </w:p>
    <w:p w:rsidR="0078639D" w:rsidRDefault="004945CF">
      <w:pPr>
        <w:pStyle w:val="Nagwek1"/>
        <w:spacing w:before="0" w:after="120" w:line="276" w:lineRule="auto"/>
        <w:rPr>
          <w:rFonts w:asciiTheme="majorHAnsi" w:hAnsiTheme="majorHAnsi"/>
          <w:sz w:val="28"/>
          <w:u w:val="none"/>
        </w:rPr>
      </w:pPr>
      <w:r>
        <w:rPr>
          <w:noProof/>
          <w:lang w:val="en-US"/>
        </w:rPr>
        <w:lastRenderedPageBreak/>
        <w:drawing>
          <wp:inline distT="0" distB="0" distL="0" distR="0">
            <wp:extent cx="6645910" cy="664845"/>
            <wp:effectExtent l="0" t="0" r="0" b="0"/>
            <wp:docPr id="3"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4"/>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pStyle w:val="Nagwek1"/>
        <w:spacing w:after="120" w:line="276" w:lineRule="auto"/>
        <w:rPr>
          <w:rFonts w:asciiTheme="majorHAnsi" w:hAnsiTheme="majorHAnsi"/>
          <w:sz w:val="28"/>
          <w:u w:val="none"/>
        </w:rPr>
      </w:pPr>
      <w:bookmarkStart w:id="6" w:name="_Toc114403751"/>
      <w:r>
        <w:rPr>
          <w:rFonts w:asciiTheme="majorHAnsi" w:hAnsiTheme="majorHAnsi"/>
          <w:sz w:val="28"/>
          <w:u w:val="none"/>
        </w:rPr>
        <w:t>INFORMACJA O PRZETWARZANIU DANYCH OSOBOWYCH</w:t>
      </w:r>
      <w:bookmarkEnd w:id="6"/>
    </w:p>
    <w:p w:rsidR="0078639D" w:rsidRDefault="004945CF">
      <w:pPr>
        <w:spacing w:after="0" w:line="276" w:lineRule="auto"/>
        <w:jc w:val="both"/>
        <w:rPr>
          <w:rFonts w:cstheme="minorHAnsi"/>
          <w:sz w:val="18"/>
          <w:szCs w:val="18"/>
          <w:lang w:eastAsia="zh-CN"/>
        </w:rPr>
      </w:pPr>
      <w:bookmarkStart w:id="7" w:name="_Toc114403752"/>
      <w:r>
        <w:rPr>
          <w:rFonts w:cstheme="minorHAnsi"/>
          <w:sz w:val="18"/>
          <w:szCs w:val="18"/>
          <w:lang w:eastAsia="zh-CN"/>
        </w:rPr>
        <w:t>Szanując Państwa prywatność oraz dbając o to, aby Państwo wiedzieli kto i w jaki sposób przetwarza Państwa dane osobowe, poniżej przedstawiane są informacje, które pomogą Państwu to ustalić. Zgodnie z art. 13 ust. 1 i 2 rozporządzenia Parlamentu Europejskiego i Rady (UE) 2016/679 z dnia 27 kwietnia 2016 r. w sprawie ochrony osób fizycznych w związku z przetwarzaniem danych osobowych i w sprawie swobodnego przepływu takich danych oraz uchylenia dyrektywy 95/46/WE (zwane dalej ogólne rozporządzenie o ochronie danych), zwanego dalej RODO, informuję, iż:</w:t>
      </w:r>
    </w:p>
    <w:p w:rsidR="0078639D" w:rsidRDefault="004945CF">
      <w:pPr>
        <w:pStyle w:val="Akapitzlist"/>
        <w:numPr>
          <w:ilvl w:val="1"/>
          <w:numId w:val="31"/>
        </w:numPr>
        <w:spacing w:line="276" w:lineRule="auto"/>
        <w:ind w:left="284" w:hanging="284"/>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Administratorem Państwa danych osobowych przetwarzanych w związku z prowadzeniem postępowania o udzielenie zamówienia publicznego będzie Samodzielny Publiczny Zespół Opieki Zdrowotnej w Gostyniu. Mogą się Państwo z nami kontaktować w następujący sposób: listownie na adres: 63-800 Gostyń, pl. K. Marcinkowskiego 8/9, poprzez e-mail: sekretariat@szpitalgostyn.pl, telefonicznie: 65 32 26 834.</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 xml:space="preserve">Wyznaczyliśmy inspektora ochrony danych, z którym mogą się Państwo kontaktować we wszystkich sprawach dotyczących przetwarzania danych osobowych oraz korzystania z praw związanych z przetwarzaniem danych: listownie na adres: 63-800 Gostyń, pl. K. Marcinkowskiego 8/9 poprzez e-mail: iod@szpitalgostyn.pl, telefonicznie: 65 32 26 853. </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 xml:space="preserve">Cele przetwarzania danych osobowych: Zebrane dane osobowe będą przetwarzane w celu prowadzenia postępowania o udzielenie zamówień publicznych, w związku z postępowaniem o udzielenie zamówienia publicznego na: </w:t>
      </w:r>
      <w:r w:rsidRPr="00630AA5">
        <w:rPr>
          <w:rFonts w:ascii="Calibri" w:hAnsi="Calibri" w:cs="Calibri"/>
          <w:sz w:val="18"/>
          <w:szCs w:val="18"/>
        </w:rPr>
        <w:t>Zakup wyposażenia Oddziału Wewnętrznego, nr: SPZOZ.XII.231.1/3/2026,</w:t>
      </w:r>
      <w:r w:rsidRPr="00630AA5">
        <w:rPr>
          <w:rFonts w:ascii="Calibri" w:hAnsi="Calibri" w:cs="Calibri"/>
          <w:sz w:val="18"/>
          <w:szCs w:val="18"/>
          <w:lang w:eastAsia="zh-CN"/>
        </w:rPr>
        <w:t xml:space="preserve"> p</w:t>
      </w:r>
      <w:r w:rsidRPr="00630AA5">
        <w:rPr>
          <w:rFonts w:cstheme="minorHAnsi"/>
          <w:sz w:val="18"/>
          <w:szCs w:val="18"/>
          <w:lang w:eastAsia="zh-CN"/>
        </w:rPr>
        <w:t>rowadzonym</w:t>
      </w:r>
      <w:r>
        <w:rPr>
          <w:rFonts w:cstheme="minorHAnsi"/>
          <w:sz w:val="18"/>
          <w:szCs w:val="18"/>
          <w:lang w:eastAsia="zh-CN"/>
        </w:rPr>
        <w:t xml:space="preserve"> w trybie przetargu nieograniczonego na podstawie art. 132 ustawy PZP. </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Podstawa prawna przetwarzania danych osobowych: Przetwarzanie jest niezbędne do wypełnienia obowiązku</w:t>
      </w:r>
      <w:r>
        <w:rPr>
          <w:rFonts w:cstheme="minorHAnsi"/>
          <w:sz w:val="18"/>
          <w:szCs w:val="18"/>
        </w:rPr>
        <w:t xml:space="preserve"> prawnego ciążącego na Administratorze (podstawa prawna z art. 6 ust</w:t>
      </w:r>
      <w:r>
        <w:rPr>
          <w:rFonts w:cstheme="minorHAnsi"/>
          <w:sz w:val="18"/>
          <w:szCs w:val="18"/>
          <w:lang w:eastAsia="zh-CN"/>
        </w:rPr>
        <w:t xml:space="preserve">. 1 lit. c RODO) Przetwarzanie danych osobowych dotyczących wyroków skazujących </w:t>
      </w:r>
      <w:r>
        <w:rPr>
          <w:rFonts w:cstheme="minorHAnsi"/>
          <w:sz w:val="18"/>
          <w:szCs w:val="18"/>
          <w:lang w:eastAsia="zh-CN"/>
        </w:rPr>
        <w:br/>
        <w:t xml:space="preserve">i naruszeń prawa (podstawa prawna z art. 10 RODO) w zw. z art. 108 ustawy PZP. Informacje o odbiorcach danych osobowych: Odbiorcami Pani/Pana danych osobowych są osoby lub podmioty, którym udostępniona zostanie dokumentacja postępowania w oparciu o art. 18 oraz art. 74 ustawy PZP. </w:t>
      </w:r>
    </w:p>
    <w:p w:rsidR="0078639D" w:rsidRDefault="004945CF">
      <w:pPr>
        <w:numPr>
          <w:ilvl w:val="1"/>
          <w:numId w:val="31"/>
        </w:numPr>
        <w:spacing w:after="0" w:line="276" w:lineRule="auto"/>
        <w:ind w:left="284" w:hanging="284"/>
        <w:jc w:val="both"/>
        <w:rPr>
          <w:rFonts w:cstheme="minorHAnsi"/>
          <w:sz w:val="18"/>
          <w:szCs w:val="18"/>
          <w:lang w:eastAsia="zh-CN"/>
        </w:rPr>
      </w:pPr>
      <w:r>
        <w:rPr>
          <w:rFonts w:cs="Segoe UI"/>
          <w:sz w:val="18"/>
          <w:szCs w:val="18"/>
        </w:rPr>
        <w:t>Dane osobowe mogą być udostępnione innym podmiotom działającym na zlecenie Administratora dostarczającym oprogramowanie komputerowe, świadczącym usługi serwisowe, prawne, bankowe i inne na podstawie umów powierzenia przetwarzania danych.  Dane osobowe będą przechowywane do czasu rozliczenia Umowy, a także do czasu przedawnienia roszczeń związanych z umową oraz przez okres wskazany przez przepisy prawa w związku z realizacją obowiązków podatkowych, rachunkowych, ubezpieczeniowych i archiwizacyjnych. Dane osobowe mogą być także przekazane do IZ w związku z realizacją przedmiotu zamówienia z dofinansowaniem ze środków pochodzących z UE.</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Dane osobowe będą przechowywane przez okres niezbędny do realizacji celu dla jakiego zostały zebrane lub w okresie wskazanym przepisami prawa. Po spełnieniu celu mogą być przechowywane jedynie w celach archiwalnych zgodnie z terminami określonymi przez ustawy.</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 xml:space="preserve">Uprawnienia z art. 15-21 RODO: Przysługują Pani/Panu następujące uprawnienia: </w:t>
      </w:r>
    </w:p>
    <w:p w:rsidR="0078639D" w:rsidRDefault="004945CF">
      <w:pPr>
        <w:pStyle w:val="Akapitzlist"/>
        <w:numPr>
          <w:ilvl w:val="0"/>
          <w:numId w:val="32"/>
        </w:numPr>
        <w:spacing w:line="276" w:lineRule="auto"/>
        <w:ind w:left="567" w:hanging="283"/>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prawo dostępu do swoich danych osobowych oraz otrzymania ich kopii;</w:t>
      </w:r>
    </w:p>
    <w:p w:rsidR="0078639D" w:rsidRDefault="004945CF">
      <w:pPr>
        <w:pStyle w:val="Akapitzlist"/>
        <w:numPr>
          <w:ilvl w:val="0"/>
          <w:numId w:val="32"/>
        </w:numPr>
        <w:spacing w:line="276" w:lineRule="auto"/>
        <w:ind w:left="567" w:hanging="283"/>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prawo do sprostowania swoich danych osobowych;</w:t>
      </w:r>
    </w:p>
    <w:p w:rsidR="0078639D" w:rsidRDefault="004945CF">
      <w:pPr>
        <w:pStyle w:val="Akapitzlist"/>
        <w:numPr>
          <w:ilvl w:val="0"/>
          <w:numId w:val="32"/>
        </w:numPr>
        <w:spacing w:line="276" w:lineRule="auto"/>
        <w:ind w:left="567" w:hanging="283"/>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prawo żądania od administratora ograniczenia przetwarzania danych osobowych, z wyjątkiem sytuacji określonych w przepisach prawa;</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 xml:space="preserve">Prawo do wniesienia skargi: ma Pan/Pani prawo wniesienia skargi do Prezesa Urzędu Ochrony Danych Osobowych, gdy uzna Pani/Pan, </w:t>
      </w:r>
      <w:r>
        <w:rPr>
          <w:rFonts w:cstheme="minorHAnsi"/>
          <w:sz w:val="18"/>
          <w:szCs w:val="18"/>
          <w:lang w:eastAsia="zh-CN"/>
        </w:rPr>
        <w:br/>
        <w:t xml:space="preserve">iż przetwarzanie Pani/Pana danych osobowych przez Administratora narusza przepisy RODO. </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Obowiązek podania danych: Podanie danych osobowych jest wymogiem ustawowym. Konsekwencje niepodania określonych danych wynikają z ustawy PZP.</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 xml:space="preserve">Informacje o zautomatyzowanym podejmowaniu decyzji: Pani/Pana dane nie będą przetwarzane w sposób zautomatyzowany, w tym </w:t>
      </w:r>
      <w:r>
        <w:rPr>
          <w:rFonts w:cstheme="minorHAnsi"/>
          <w:sz w:val="18"/>
          <w:szCs w:val="18"/>
          <w:lang w:eastAsia="zh-CN"/>
        </w:rPr>
        <w:br/>
        <w:t xml:space="preserve">w oparciu o profilowanie. </w:t>
      </w:r>
    </w:p>
    <w:p w:rsidR="0078639D" w:rsidRDefault="004945CF">
      <w:pPr>
        <w:numPr>
          <w:ilvl w:val="1"/>
          <w:numId w:val="31"/>
        </w:numPr>
        <w:spacing w:after="0" w:line="276" w:lineRule="auto"/>
        <w:ind w:left="284" w:hanging="284"/>
        <w:jc w:val="both"/>
        <w:rPr>
          <w:rFonts w:cstheme="minorHAnsi"/>
          <w:sz w:val="18"/>
          <w:szCs w:val="18"/>
          <w:lang w:eastAsia="zh-CN"/>
        </w:rPr>
      </w:pPr>
      <w:r>
        <w:rPr>
          <w:rFonts w:cstheme="minorHAnsi"/>
          <w:sz w:val="18"/>
          <w:szCs w:val="18"/>
          <w:lang w:eastAsia="zh-CN"/>
        </w:rPr>
        <w:t>Informacja o ograniczeniach w realizacji praw określonych w art. 15, 16 i 18 rozporządzenia 2016/679 (ogólne rozporządzenie o ochronie danych): Zamawiający informuje, iż w związku z:</w:t>
      </w:r>
    </w:p>
    <w:p w:rsidR="0078639D" w:rsidRDefault="004945CF">
      <w:pPr>
        <w:pStyle w:val="Akapitzlist"/>
        <w:numPr>
          <w:ilvl w:val="0"/>
          <w:numId w:val="33"/>
        </w:numPr>
        <w:spacing w:line="276" w:lineRule="auto"/>
        <w:ind w:left="567" w:hanging="207"/>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 xml:space="preserve">art. 75 ustawy PZP, w przypadku korzystania przez osobę, której dane osobowe są przetwarzane przez zamawiającego, z uprawnienia, </w:t>
      </w:r>
      <w:r>
        <w:rPr>
          <w:rFonts w:asciiTheme="minorHAnsi" w:eastAsia="Calibri" w:hAnsiTheme="minorHAnsi" w:cstheme="minorHAnsi"/>
          <w:sz w:val="18"/>
          <w:szCs w:val="18"/>
          <w:lang w:eastAsia="zh-CN"/>
        </w:rPr>
        <w:br/>
        <w:t>o którym mowa w art. 15 ust. 1–3 rozporządzenia 2016/679 (ogólne rozporządzenie o ochronie danych), Zamawiający może żądać od osoby występującej z żądaniem wskazania dodatkowych informacji, mających na celu sprecyzowanie nazwy lub daty zakończonego postępowania o udzielenie zamówienia;</w:t>
      </w:r>
    </w:p>
    <w:p w:rsidR="0078639D" w:rsidRDefault="004945CF">
      <w:pPr>
        <w:pStyle w:val="Akapitzlist"/>
        <w:numPr>
          <w:ilvl w:val="0"/>
          <w:numId w:val="33"/>
        </w:numPr>
        <w:spacing w:line="276" w:lineRule="auto"/>
        <w:ind w:left="567" w:hanging="207"/>
        <w:jc w:val="both"/>
        <w:rPr>
          <w:rFonts w:asciiTheme="minorHAnsi" w:eastAsia="Calibri" w:hAnsiTheme="minorHAnsi" w:cstheme="minorHAnsi"/>
          <w:sz w:val="18"/>
          <w:szCs w:val="18"/>
          <w:lang w:eastAsia="zh-CN"/>
        </w:rPr>
      </w:pPr>
      <w:r>
        <w:rPr>
          <w:rFonts w:asciiTheme="minorHAnsi" w:eastAsia="Calibri" w:hAnsiTheme="minorHAnsi" w:cstheme="minorHAnsi"/>
          <w:sz w:val="18"/>
          <w:szCs w:val="18"/>
          <w:lang w:eastAsia="zh-CN"/>
        </w:rPr>
        <w:t>art. 19 ust. 2 i 3 i art. 74 ust. 3 ustawy PZP.</w:t>
      </w:r>
    </w:p>
    <w:p w:rsidR="0078639D" w:rsidRDefault="004945CF">
      <w:pPr>
        <w:spacing w:after="0" w:line="276" w:lineRule="auto"/>
        <w:ind w:left="851" w:hanging="284"/>
        <w:jc w:val="both"/>
        <w:rPr>
          <w:rFonts w:cstheme="minorHAnsi"/>
          <w:sz w:val="18"/>
          <w:szCs w:val="18"/>
          <w:lang w:eastAsia="zh-CN"/>
        </w:rPr>
      </w:pPr>
      <w:r>
        <w:rPr>
          <w:rFonts w:cstheme="minorHAnsi"/>
          <w:sz w:val="18"/>
          <w:szCs w:val="18"/>
          <w:lang w:eastAsia="zh-CN"/>
        </w:rPr>
        <w:t>a)</w:t>
      </w:r>
      <w:r>
        <w:rPr>
          <w:rFonts w:cstheme="minorHAnsi"/>
          <w:sz w:val="18"/>
          <w:szCs w:val="18"/>
          <w:lang w:eastAsia="zh-CN"/>
        </w:rPr>
        <w:tab/>
        <w:t xml:space="preserve">skorzystanie przez osobę, której dane osobowe dotyczą, z uprawnienia do sprostowania lub uzupełnienia, o którym mowa w art. 16 rozporządzenia 2016/679 (ogólne rozporządzenie o ochronie danych), nie może skutkować zmianą wyniku postępowania </w:t>
      </w:r>
      <w:r>
        <w:rPr>
          <w:rFonts w:cstheme="minorHAnsi"/>
          <w:sz w:val="18"/>
          <w:szCs w:val="18"/>
          <w:lang w:eastAsia="zh-CN"/>
        </w:rPr>
        <w:br/>
        <w:t>o udzielenie zamówienia ani zmianą postanowień Umowy w sprawie zamówienia publicznego w zakresie niezgodnym z ustawą PZP.</w:t>
      </w:r>
    </w:p>
    <w:p w:rsidR="0078639D" w:rsidRDefault="004945CF">
      <w:pPr>
        <w:spacing w:after="0" w:line="276" w:lineRule="auto"/>
        <w:ind w:left="851" w:hanging="284"/>
        <w:jc w:val="both"/>
        <w:rPr>
          <w:rFonts w:cstheme="minorHAnsi"/>
          <w:sz w:val="18"/>
          <w:szCs w:val="18"/>
          <w:lang w:eastAsia="zh-CN"/>
        </w:rPr>
      </w:pPr>
      <w:r>
        <w:rPr>
          <w:rFonts w:cstheme="minorHAnsi"/>
          <w:sz w:val="18"/>
          <w:szCs w:val="18"/>
          <w:lang w:eastAsia="zh-CN"/>
        </w:rPr>
        <w:t>b)</w:t>
      </w:r>
      <w:r>
        <w:rPr>
          <w:rFonts w:cstheme="minorHAnsi"/>
          <w:sz w:val="18"/>
          <w:szCs w:val="18"/>
          <w:lang w:eastAsia="zh-CN"/>
        </w:rPr>
        <w:tab/>
        <w:t>w postępowaniu o udzielenie zamówienia zgłoszenie żądania ograniczenia przetwarzania, o którym mowa w art.  18 ust. 1 rozporządzenia 2016/679 (ogólne rozporządzenie o ochronie danych), nie ogranicza przetwarzania danych osobowych do czasu zakończenia tego postępowania;</w:t>
      </w:r>
    </w:p>
    <w:p w:rsidR="0078639D" w:rsidRDefault="004945CF">
      <w:pPr>
        <w:spacing w:after="0" w:line="276" w:lineRule="auto"/>
        <w:ind w:left="851" w:hanging="284"/>
        <w:jc w:val="both"/>
        <w:rPr>
          <w:rFonts w:cs="Calibri"/>
          <w:sz w:val="18"/>
          <w:szCs w:val="18"/>
          <w:lang w:eastAsia="zh-CN"/>
        </w:rPr>
      </w:pPr>
      <w:r>
        <w:rPr>
          <w:rFonts w:cstheme="minorHAnsi"/>
          <w:sz w:val="18"/>
          <w:szCs w:val="18"/>
          <w:lang w:eastAsia="zh-CN"/>
        </w:rPr>
        <w:lastRenderedPageBreak/>
        <w:t>c)</w:t>
      </w:r>
      <w:r>
        <w:rPr>
          <w:rFonts w:cstheme="minorHAnsi"/>
          <w:sz w:val="18"/>
          <w:szCs w:val="18"/>
          <w:lang w:eastAsia="zh-CN"/>
        </w:rPr>
        <w:tab/>
        <w:t>w przypadku, gdy wniesienie żądania dotyczącego prawa, o którym mowa w art. 18 ust. 1 rozporządzenia 2016/679 (ogólne rozporządzenie o ochronie danych),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(ogólne rozporządzenie o ochronie danych).</w:t>
      </w:r>
    </w:p>
    <w:p w:rsidR="0078639D" w:rsidRDefault="004945CF">
      <w:pPr>
        <w:spacing w:after="0" w:line="240" w:lineRule="auto"/>
        <w:rPr>
          <w:rFonts w:asciiTheme="majorHAnsi" w:eastAsiaTheme="majorEastAsia" w:hAnsiTheme="majorHAnsi" w:cstheme="majorBidi"/>
          <w:b/>
          <w:sz w:val="28"/>
          <w:szCs w:val="32"/>
        </w:rPr>
      </w:pPr>
      <w:r>
        <w:br w:type="page"/>
      </w:r>
    </w:p>
    <w:p w:rsidR="0078639D" w:rsidRDefault="004945CF">
      <w:pPr>
        <w:pStyle w:val="Nagwek1"/>
        <w:spacing w:before="0" w:after="240" w:line="276" w:lineRule="auto"/>
        <w:rPr>
          <w:rFonts w:asciiTheme="majorHAnsi" w:hAnsiTheme="majorHAnsi"/>
          <w:sz w:val="28"/>
          <w:u w:val="none"/>
          <w:lang w:val="en-US"/>
        </w:rPr>
      </w:pPr>
      <w:r>
        <w:rPr>
          <w:noProof/>
          <w:lang w:val="en-US"/>
        </w:rPr>
        <w:lastRenderedPageBreak/>
        <w:drawing>
          <wp:inline distT="0" distB="0" distL="0" distR="0">
            <wp:extent cx="6645910" cy="664845"/>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pStyle w:val="Nagwek1"/>
        <w:spacing w:after="240" w:line="276" w:lineRule="auto"/>
        <w:rPr>
          <w:rFonts w:asciiTheme="majorHAnsi" w:hAnsiTheme="majorHAnsi"/>
          <w:sz w:val="28"/>
          <w:u w:val="none"/>
        </w:rPr>
      </w:pPr>
      <w:bookmarkStart w:id="8" w:name="_Toc95987068"/>
      <w:r>
        <w:rPr>
          <w:rFonts w:asciiTheme="majorHAnsi" w:hAnsiTheme="majorHAnsi"/>
          <w:sz w:val="28"/>
          <w:u w:val="none"/>
        </w:rPr>
        <w:t>TOM I – SPECYFIKACJA WARUNKÓW ZAMÓWIENIA</w:t>
      </w:r>
      <w:bookmarkEnd w:id="8"/>
      <w:r>
        <w:rPr>
          <w:rFonts w:asciiTheme="majorHAnsi" w:hAnsiTheme="majorHAnsi"/>
          <w:sz w:val="28"/>
          <w:u w:val="none"/>
        </w:rPr>
        <w:t xml:space="preserve"> (SWZ)</w:t>
      </w:r>
      <w:bookmarkEnd w:id="7"/>
    </w:p>
    <w:p w:rsidR="0078639D" w:rsidRDefault="004945CF">
      <w:pPr>
        <w:pStyle w:val="Nagwek2"/>
        <w:numPr>
          <w:ilvl w:val="0"/>
          <w:numId w:val="6"/>
        </w:numPr>
        <w:shd w:val="clear" w:color="auto" w:fill="FFE599" w:themeFill="accent4" w:themeFillTint="66"/>
        <w:spacing w:line="276" w:lineRule="auto"/>
        <w:ind w:left="284" w:hanging="284"/>
        <w:jc w:val="center"/>
        <w:rPr>
          <w:color w:val="2F5496" w:themeColor="accent1" w:themeShade="BF"/>
          <w:sz w:val="20"/>
        </w:rPr>
      </w:pPr>
      <w:bookmarkStart w:id="9" w:name="_Toc114403753"/>
      <w:bookmarkStart w:id="10" w:name="_Toc95987069"/>
      <w:bookmarkStart w:id="11" w:name="_Toc95923588"/>
      <w:r>
        <w:rPr>
          <w:color w:val="2F5496" w:themeColor="accent1" w:themeShade="BF"/>
          <w:sz w:val="20"/>
        </w:rPr>
        <w:t>ZAMAWIAJĄCY</w:t>
      </w:r>
      <w:bookmarkEnd w:id="9"/>
      <w:bookmarkEnd w:id="10"/>
      <w:bookmarkEnd w:id="11"/>
    </w:p>
    <w:p w:rsidR="0078639D" w:rsidRDefault="004945CF">
      <w:pPr>
        <w:spacing w:after="0" w:line="276" w:lineRule="auto"/>
        <w:jc w:val="both"/>
      </w:pPr>
      <w:r>
        <w:rPr>
          <w:rFonts w:cs="Calibri"/>
          <w:bCs/>
          <w:sz w:val="20"/>
          <w:szCs w:val="20"/>
        </w:rPr>
        <w:t>Samodzielny Publiczny Zespół Opieki Zdrowotnej,</w:t>
      </w:r>
      <w:r>
        <w:rPr>
          <w:rFonts w:cs="Calibri"/>
          <w:sz w:val="20"/>
          <w:szCs w:val="20"/>
        </w:rPr>
        <w:t xml:space="preserve"> Pl. K. Marcinkowskiego 8/9, 63 - 800 Gostyń, </w:t>
      </w:r>
    </w:p>
    <w:p w:rsidR="0078639D" w:rsidRDefault="004945CF">
      <w:pPr>
        <w:spacing w:after="0" w:line="276" w:lineRule="auto"/>
        <w:jc w:val="both"/>
        <w:rPr>
          <w:rFonts w:cs="Calibri"/>
          <w:sz w:val="20"/>
          <w:szCs w:val="20"/>
        </w:rPr>
      </w:pPr>
      <w:r>
        <w:rPr>
          <w:rFonts w:cs="Calibri"/>
          <w:sz w:val="20"/>
          <w:szCs w:val="20"/>
        </w:rPr>
        <w:t xml:space="preserve">Tel. – sekretariat (65) 32 26 834 Strona internetowa www.szpitalgostyn.pl e-mail: </w:t>
      </w:r>
      <w:hyperlink r:id="rId11">
        <w:r>
          <w:rPr>
            <w:rFonts w:cs="Calibri"/>
            <w:color w:val="0000FF"/>
            <w:sz w:val="20"/>
            <w:szCs w:val="20"/>
            <w:u w:val="single"/>
          </w:rPr>
          <w:t>sekretariat@szpitalgostyn.pl</w:t>
        </w:r>
      </w:hyperlink>
    </w:p>
    <w:p w:rsidR="0078639D" w:rsidRDefault="004945CF">
      <w:pPr>
        <w:spacing w:after="0" w:line="276" w:lineRule="auto"/>
        <w:jc w:val="both"/>
        <w:rPr>
          <w:sz w:val="20"/>
          <w:szCs w:val="20"/>
        </w:rPr>
      </w:pPr>
      <w:r>
        <w:rPr>
          <w:rFonts w:cs="Calibri"/>
          <w:bCs/>
          <w:sz w:val="20"/>
          <w:szCs w:val="20"/>
        </w:rPr>
        <w:t>Adres Platformy zakupowej</w:t>
      </w:r>
      <w:r>
        <w:rPr>
          <w:rFonts w:cs="Calibri"/>
          <w:sz w:val="20"/>
          <w:szCs w:val="20"/>
        </w:rPr>
        <w:t xml:space="preserve"> na której jest prowadzone postępowanie i na której będą dostępne wszelkie dokumenty związane </w:t>
      </w:r>
      <w:r>
        <w:rPr>
          <w:rFonts w:cs="Calibri"/>
          <w:sz w:val="20"/>
          <w:szCs w:val="20"/>
        </w:rPr>
        <w:br/>
        <w:t xml:space="preserve">z prowadzoną procedurą: </w:t>
      </w:r>
      <w:hyperlink r:id="rId12">
        <w:r>
          <w:rPr>
            <w:rStyle w:val="Hipercze"/>
            <w:rFonts w:cs="Calibri"/>
            <w:sz w:val="20"/>
            <w:szCs w:val="20"/>
          </w:rPr>
          <w:t>https://platformazakupowa.pl/pn/szpitalgostyn</w:t>
        </w:r>
      </w:hyperlink>
    </w:p>
    <w:p w:rsidR="0078639D" w:rsidRDefault="004945CF">
      <w:pPr>
        <w:spacing w:after="0" w:line="276" w:lineRule="auto"/>
        <w:jc w:val="both"/>
        <w:rPr>
          <w:rFonts w:cs="Calibri"/>
          <w:sz w:val="20"/>
          <w:szCs w:val="20"/>
        </w:rPr>
      </w:pPr>
      <w:r>
        <w:rPr>
          <w:sz w:val="20"/>
          <w:szCs w:val="20"/>
        </w:rPr>
        <w:t xml:space="preserve">Osobami </w:t>
      </w:r>
      <w:r>
        <w:rPr>
          <w:rFonts w:cs="Calibri"/>
          <w:sz w:val="20"/>
          <w:szCs w:val="20"/>
        </w:rPr>
        <w:t>uprawnionymi do komunikowania się z Wykonawcami jest:</w:t>
      </w:r>
    </w:p>
    <w:p w:rsidR="0078639D" w:rsidRDefault="004945CF">
      <w:pPr>
        <w:pStyle w:val="Akapitzlist"/>
        <w:numPr>
          <w:ilvl w:val="0"/>
          <w:numId w:val="38"/>
        </w:numPr>
        <w:spacing w:line="276" w:lineRule="auto"/>
        <w:ind w:left="270" w:hanging="270"/>
        <w:jc w:val="both"/>
        <w:rPr>
          <w:rFonts w:asciiTheme="minorHAnsi" w:hAnsiTheme="minorHAnsi" w:cs="Calibri"/>
        </w:rPr>
      </w:pPr>
      <w:r>
        <w:rPr>
          <w:rFonts w:ascii="Calibri" w:hAnsi="Calibri" w:cs="Calibri"/>
          <w:bCs/>
        </w:rPr>
        <w:t>Natasza Matuszewska</w:t>
      </w:r>
      <w:r>
        <w:rPr>
          <w:rFonts w:ascii="Calibri" w:hAnsi="Calibri" w:cs="Calibri"/>
        </w:rPr>
        <w:t xml:space="preserve"> – mail: </w:t>
      </w:r>
      <w:hyperlink r:id="rId13">
        <w:r>
          <w:rPr>
            <w:rFonts w:ascii="Calibri" w:hAnsi="Calibri" w:cs="Calibri"/>
            <w:color w:val="0000FF"/>
            <w:u w:val="single"/>
          </w:rPr>
          <w:t>przetargi@szpitalgostyn.pl</w:t>
        </w:r>
      </w:hyperlink>
      <w:r>
        <w:rPr>
          <w:rFonts w:ascii="Calibri" w:hAnsi="Calibri" w:cs="Calibri"/>
        </w:rPr>
        <w:t xml:space="preserve"> tel. 65 322 68 53.</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2" w:name="_Toc114403754"/>
      <w:bookmarkStart w:id="13" w:name="_Toc95987070"/>
      <w:bookmarkStart w:id="14" w:name="_Toc95923589"/>
      <w:r>
        <w:rPr>
          <w:rFonts w:asciiTheme="minorHAnsi" w:hAnsiTheme="minorHAnsi" w:cstheme="minorHAnsi"/>
          <w:color w:val="2F5496" w:themeColor="accent1" w:themeShade="BF"/>
          <w:sz w:val="20"/>
          <w:szCs w:val="20"/>
        </w:rPr>
        <w:t>TRYB UDZIELENIA ZAMÓWIENIA</w:t>
      </w:r>
      <w:bookmarkEnd w:id="12"/>
      <w:bookmarkEnd w:id="13"/>
      <w:bookmarkEnd w:id="14"/>
    </w:p>
    <w:p w:rsidR="0078639D" w:rsidRDefault="004945CF">
      <w:pPr>
        <w:pStyle w:val="Akapitzlist"/>
        <w:numPr>
          <w:ilvl w:val="0"/>
          <w:numId w:val="7"/>
        </w:numPr>
        <w:spacing w:line="276" w:lineRule="auto"/>
        <w:ind w:left="284" w:hanging="284"/>
        <w:jc w:val="both"/>
        <w:rPr>
          <w:rFonts w:asciiTheme="minorHAnsi" w:hAnsiTheme="minorHAnsi" w:cstheme="minorHAnsi"/>
        </w:rPr>
      </w:pPr>
      <w:r>
        <w:rPr>
          <w:rFonts w:asciiTheme="minorHAnsi" w:hAnsiTheme="minorHAnsi" w:cstheme="minorHAnsi"/>
        </w:rPr>
        <w:t>Z uwagi na wartość zamówienia przekraczającą kwoty określone w obwieszczeniu wydanym przez Prezesa Urzędu Zamówień Publicznych na podstawie art. 3 ust. 2 PZP, postępowanie prowadzone jest w trybie przetargu nieograniczonego na podstawie art. 132 ustawy PZP.</w:t>
      </w:r>
    </w:p>
    <w:p w:rsidR="0078639D" w:rsidRDefault="004945CF">
      <w:pPr>
        <w:pStyle w:val="Akapitzlist"/>
        <w:numPr>
          <w:ilvl w:val="0"/>
          <w:numId w:val="7"/>
        </w:numPr>
        <w:spacing w:line="276" w:lineRule="auto"/>
        <w:ind w:left="284" w:hanging="284"/>
        <w:jc w:val="both"/>
        <w:rPr>
          <w:rFonts w:asciiTheme="minorHAnsi" w:hAnsiTheme="minorHAnsi" w:cstheme="minorHAnsi"/>
        </w:rPr>
      </w:pPr>
      <w:r>
        <w:rPr>
          <w:rFonts w:asciiTheme="minorHAnsi" w:hAnsiTheme="minorHAnsi" w:cstheme="minorHAnsi"/>
        </w:rPr>
        <w:t xml:space="preserve">W sprawach nieuregulowanych zapisami niniejszej SWZ, stosuje się przepisy PZP wraz z aktami wykonawczymi do ustawy. Do czynności podejmowanych przez Zamawiającego i Wykonawców w postępowaniu o udzielenie zamówienia oraz do umów w sprawach zamówień publicznych stosuje się przepisy ustawy z dnia 23 kwietnia 1964 r. Kodeks cywilny </w:t>
      </w:r>
      <w:r>
        <w:rPr>
          <w:rFonts w:asciiTheme="minorHAnsi" w:hAnsiTheme="minorHAnsi"/>
        </w:rPr>
        <w:t>(tj. Dz.U. 2025 poz. 1071 ze zm.),</w:t>
      </w:r>
      <w:r>
        <w:rPr>
          <w:rFonts w:asciiTheme="minorHAnsi" w:hAnsiTheme="minorHAnsi" w:cstheme="minorHAnsi"/>
        </w:rPr>
        <w:t xml:space="preserve"> jeżeli przepisy PZP nie stanowią inaczej. Wszelkie nieuregulowane w SWZ czynności, uprawnienia, obowiązki Wykonawców i Zamawiającego, których ustawa PZP nie nakazała zawierać Zamawiającemu w SWZ, a które mogą przyczynić się do właściwego przebiegu postępowania reguluje ustawa PZP i akty wykonawcze do ustawy PZP.</w:t>
      </w:r>
    </w:p>
    <w:p w:rsidR="0078639D" w:rsidRPr="007D10C9" w:rsidRDefault="004945CF">
      <w:pPr>
        <w:pStyle w:val="Akapitzlist"/>
        <w:numPr>
          <w:ilvl w:val="0"/>
          <w:numId w:val="7"/>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wskazuje, że działając na podstawie art. 139 PZP najpierw dokona badania i oceny ofert, a następnie dokona </w:t>
      </w:r>
      <w:r w:rsidRPr="007D10C9">
        <w:rPr>
          <w:rFonts w:asciiTheme="minorHAnsi" w:hAnsiTheme="minorHAnsi" w:cstheme="minorHAnsi"/>
        </w:rPr>
        <w:t>kwalifikacji podmiotowej wykonawcy, którego oferta została najwyżej oceniona, w zakresie braku podstaw wykluczenia oraz spełniania warunków udziału w postępowaniu.</w:t>
      </w:r>
    </w:p>
    <w:p w:rsidR="0078639D" w:rsidRDefault="004945CF">
      <w:pPr>
        <w:pStyle w:val="Akapitzlist"/>
        <w:numPr>
          <w:ilvl w:val="0"/>
          <w:numId w:val="7"/>
        </w:numPr>
        <w:spacing w:line="276" w:lineRule="auto"/>
        <w:ind w:left="284" w:hanging="284"/>
        <w:jc w:val="both"/>
        <w:rPr>
          <w:rFonts w:asciiTheme="minorHAnsi" w:hAnsiTheme="minorHAnsi" w:cstheme="minorHAnsi"/>
          <w:color w:val="7030A0"/>
        </w:rPr>
      </w:pPr>
      <w:r w:rsidRPr="007D10C9">
        <w:rPr>
          <w:rFonts w:asciiTheme="minorHAnsi" w:eastAsia="Batang" w:hAnsiTheme="minorHAnsi" w:cstheme="minorHAnsi"/>
        </w:rPr>
        <w:t xml:space="preserve">Zamówienie jest objęte dofinansowaniem środkami pochodzącymi z UE zgodnie z zawartą </w:t>
      </w:r>
      <w:r w:rsidRPr="007D10C9">
        <w:rPr>
          <w:rFonts w:asciiTheme="minorHAnsi" w:eastAsia="Batang" w:hAnsiTheme="minorHAnsi" w:cstheme="minorHAnsi"/>
          <w:bCs/>
        </w:rPr>
        <w:t xml:space="preserve">umową o nr </w:t>
      </w:r>
      <w:r w:rsidRPr="007D10C9">
        <w:rPr>
          <w:rFonts w:asciiTheme="minorHAnsi" w:hAnsiTheme="minorHAnsi" w:cstheme="minorHAnsi"/>
          <w:color w:val="000000"/>
          <w:shd w:val="clear" w:color="auto" w:fill="FFFFFF"/>
        </w:rPr>
        <w:t>KPOD.07.02-IP.10-0101/25 /KPO/581/2026/205</w:t>
      </w:r>
      <w:r w:rsidRPr="007D10C9">
        <w:rPr>
          <w:rFonts w:asciiTheme="minorHAnsi" w:eastAsia="Batang" w:hAnsiTheme="minorHAnsi" w:cstheme="minorHAnsi"/>
          <w:bCs/>
        </w:rPr>
        <w:t xml:space="preserve"> o objęcie przedsięwzięcia wsparciem z Krajowego Planu Odbudowy i Zwiększenia Odporności </w:t>
      </w:r>
      <w:r w:rsidRPr="007D10C9">
        <w:rPr>
          <w:rFonts w:asciiTheme="minorHAnsi" w:eastAsia="Batang" w:hAnsiTheme="minorHAnsi" w:cstheme="minorHAnsi"/>
          <w:bCs/>
        </w:rPr>
        <w:br/>
        <w:t>w zakresie realizacji przedsięwzięcia pn. Modernizacja infrastruktury kardiologicznej Oddziału Wewnętrznego SPZOZ w Gostyniu</w:t>
      </w:r>
      <w:r w:rsidRPr="007D10C9">
        <w:rPr>
          <w:rFonts w:asciiTheme="minorHAnsi" w:hAnsiTheme="minorHAnsi" w:cstheme="minorHAnsi"/>
          <w:color w:val="7030A0"/>
        </w:rPr>
        <w:t>.</w:t>
      </w:r>
    </w:p>
    <w:p w:rsidR="007D10C9" w:rsidRPr="007D10C9" w:rsidRDefault="007D10C9" w:rsidP="007D10C9">
      <w:pPr>
        <w:pStyle w:val="Akapitzlist"/>
        <w:numPr>
          <w:ilvl w:val="0"/>
          <w:numId w:val="7"/>
        </w:numPr>
        <w:spacing w:line="276" w:lineRule="auto"/>
        <w:ind w:left="284" w:hanging="284"/>
        <w:jc w:val="both"/>
        <w:rPr>
          <w:rFonts w:asciiTheme="minorHAnsi" w:hAnsiTheme="minorHAnsi" w:cstheme="minorHAnsi"/>
          <w:color w:val="7030A0"/>
        </w:rPr>
      </w:pPr>
      <w:r w:rsidRPr="007D10C9">
        <w:rPr>
          <w:rFonts w:asciiTheme="minorHAnsi" w:eastAsia="Batang" w:hAnsiTheme="minorHAnsi" w:cstheme="minorHAnsi"/>
          <w:bCs/>
        </w:rPr>
        <w:t>Zgodnie z art. 257 ustawy Pzp, Zamawiający przewiduje możliwość unieważnienia przedmiotowego postępowania, jeżeli środki publiczne, które Zamawiający zamierzał przeznaczyć na sfinansowanie całości lub części zamówienia, nie zostaną mu przyznane.</w:t>
      </w:r>
    </w:p>
    <w:p w:rsidR="0078639D" w:rsidRDefault="004945CF">
      <w:pPr>
        <w:pStyle w:val="Akapitzlist"/>
        <w:numPr>
          <w:ilvl w:val="0"/>
          <w:numId w:val="7"/>
        </w:numPr>
        <w:spacing w:line="276" w:lineRule="auto"/>
        <w:ind w:left="284" w:hanging="284"/>
        <w:jc w:val="both"/>
        <w:rPr>
          <w:rFonts w:asciiTheme="minorHAnsi" w:hAnsiTheme="minorHAnsi" w:cstheme="minorHAnsi"/>
        </w:rPr>
      </w:pPr>
      <w:r>
        <w:rPr>
          <w:rFonts w:asciiTheme="minorHAnsi" w:hAnsiTheme="minorHAnsi" w:cstheme="minorHAnsi"/>
        </w:rPr>
        <w:t xml:space="preserve">Do postępowania stosować się będzie przepisy PZP w zakresie nabywania </w:t>
      </w:r>
      <w:r>
        <w:rPr>
          <w:rFonts w:asciiTheme="minorHAnsi" w:hAnsiTheme="minorHAnsi" w:cstheme="minorHAnsi"/>
          <w:color w:val="7030A0"/>
        </w:rPr>
        <w:t>dostaw.</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5" w:name="_Toc114403755"/>
      <w:bookmarkStart w:id="16" w:name="_Toc95987071"/>
      <w:bookmarkStart w:id="17" w:name="_Toc95923590"/>
      <w:r>
        <w:rPr>
          <w:rFonts w:asciiTheme="minorHAnsi" w:hAnsiTheme="minorHAnsi" w:cstheme="minorHAnsi"/>
          <w:color w:val="2F5496" w:themeColor="accent1" w:themeShade="BF"/>
          <w:sz w:val="20"/>
          <w:szCs w:val="20"/>
        </w:rPr>
        <w:t>OPIS PRZEDMIOTU ZAMÓWIENIA</w:t>
      </w:r>
      <w:bookmarkEnd w:id="15"/>
      <w:bookmarkEnd w:id="16"/>
      <w:bookmarkEnd w:id="17"/>
    </w:p>
    <w:p w:rsidR="0078639D" w:rsidRDefault="004945CF">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Przedmiotem zamówienia jest: </w:t>
      </w:r>
      <w:sdt>
        <w:sdtPr>
          <w:rPr>
            <w:rFonts w:ascii="Calibri" w:hAnsi="Calibri" w:cs="Calibri"/>
            <w:b/>
          </w:rPr>
          <w:alias w:val="Tytuł"/>
          <w:id w:val="-224983528"/>
          <w:placeholder>
            <w:docPart w:val="BA1CF139DB9C4BFA8BE99F388B2D26EC"/>
          </w:placeholder>
          <w:dataBinding w:prefixMappings="xmlns:ns0='http://purl.org/dc/elements/1.1/' xmlns:ns1='http://schemas.openxmlformats.org/package/2006/metadata/core-properties' " w:xpath="/ns1:coreProperties[1]/ns0:title[1]" w:storeItemID="{6C3C8BC8-F283-45AE-878A-BAB7291924A1}"/>
          <w:text/>
        </w:sdtPr>
        <w:sdtContent>
          <w:r w:rsidR="007E110C">
            <w:rPr>
              <w:rFonts w:ascii="Calibri" w:hAnsi="Calibri" w:cs="Calibri"/>
              <w:b/>
            </w:rPr>
            <w:t>Zakup wyposażenia Oddziału Wewnętrznego w ramach projektu „Modernizacja infrastruktury kardiologicznej Oddziału Wewnętrznego SPZOZ w Gostyniu"</w:t>
          </w:r>
        </w:sdtContent>
      </w:sdt>
      <w:r>
        <w:rPr>
          <w:rFonts w:asciiTheme="minorHAnsi" w:hAnsiTheme="minorHAnsi" w:cstheme="minorHAnsi"/>
          <w:b/>
          <w:color w:val="7030A0"/>
        </w:rPr>
        <w:t>.</w:t>
      </w:r>
    </w:p>
    <w:p w:rsidR="0078639D" w:rsidRDefault="004945CF">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Szczegółowy opis przedmiotu zamówienia przedstawiony został </w:t>
      </w:r>
      <w:r>
        <w:rPr>
          <w:rFonts w:asciiTheme="minorHAnsi" w:hAnsiTheme="minorHAnsi" w:cstheme="minorHAnsi"/>
          <w:b/>
          <w:bCs/>
        </w:rPr>
        <w:t>w Tomie III SWZ.</w:t>
      </w:r>
    </w:p>
    <w:p w:rsidR="0078639D" w:rsidRDefault="004945CF">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Przedmiot zamówienia </w:t>
      </w:r>
      <w:r>
        <w:rPr>
          <w:rFonts w:asciiTheme="minorHAnsi" w:hAnsiTheme="minorHAnsi" w:cstheme="minorHAnsi"/>
          <w:b/>
          <w:color w:val="7030A0"/>
        </w:rPr>
        <w:t>został</w:t>
      </w:r>
      <w:r>
        <w:rPr>
          <w:rFonts w:asciiTheme="minorHAnsi" w:hAnsiTheme="minorHAnsi" w:cstheme="minorHAnsi"/>
          <w:color w:val="7030A0"/>
        </w:rPr>
        <w:t xml:space="preserve"> podzielony na pakiety (części).</w:t>
      </w:r>
    </w:p>
    <w:p w:rsidR="0078639D" w:rsidRDefault="004945CF">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Zamawiający </w:t>
      </w:r>
      <w:r>
        <w:rPr>
          <w:rFonts w:asciiTheme="minorHAnsi" w:hAnsiTheme="minorHAnsi" w:cstheme="minorHAnsi"/>
          <w:b/>
          <w:color w:val="7030A0"/>
        </w:rPr>
        <w:t xml:space="preserve">dopuszcza </w:t>
      </w:r>
      <w:r>
        <w:rPr>
          <w:rFonts w:asciiTheme="minorHAnsi" w:hAnsiTheme="minorHAnsi" w:cstheme="minorHAnsi"/>
          <w:color w:val="7030A0"/>
        </w:rPr>
        <w:t>składania ofert częściowych zgodnie z podziałem na pakiety (części).</w:t>
      </w:r>
    </w:p>
    <w:p w:rsidR="0078639D" w:rsidRDefault="004945CF">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Wykonawca może złożyć </w:t>
      </w:r>
      <w:r>
        <w:rPr>
          <w:rFonts w:asciiTheme="minorHAnsi" w:hAnsiTheme="minorHAnsi" w:cstheme="minorHAnsi"/>
          <w:color w:val="7030A0"/>
        </w:rPr>
        <w:t xml:space="preserve">jedną ofertę na jeden lub więcej albo na wszystkie pakiety (części). </w:t>
      </w:r>
    </w:p>
    <w:p w:rsidR="0078639D" w:rsidRDefault="004945CF">
      <w:pPr>
        <w:pStyle w:val="Akapitzlist"/>
        <w:numPr>
          <w:ilvl w:val="0"/>
          <w:numId w:val="8"/>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dopuszcza</w:t>
      </w:r>
      <w:r>
        <w:rPr>
          <w:rFonts w:asciiTheme="minorHAnsi" w:hAnsiTheme="minorHAnsi" w:cstheme="minorHAnsi"/>
          <w:color w:val="000000" w:themeColor="text1"/>
        </w:rPr>
        <w:t xml:space="preserve"> składania </w:t>
      </w:r>
      <w:r>
        <w:rPr>
          <w:rFonts w:asciiTheme="minorHAnsi" w:hAnsiTheme="minorHAnsi" w:cstheme="minorHAnsi"/>
        </w:rPr>
        <w:t>ofert wariantowych.</w:t>
      </w:r>
    </w:p>
    <w:p w:rsidR="0078639D" w:rsidRDefault="004945CF">
      <w:pPr>
        <w:pStyle w:val="Akapitzlist"/>
        <w:numPr>
          <w:ilvl w:val="0"/>
          <w:numId w:val="8"/>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 xml:space="preserve">nie dopuszcza </w:t>
      </w:r>
      <w:r>
        <w:rPr>
          <w:rFonts w:asciiTheme="minorHAnsi" w:hAnsiTheme="minorHAnsi" w:cstheme="minorHAnsi"/>
        </w:rPr>
        <w:t>składania ofert w postaci katalogów elektronicznych.</w:t>
      </w:r>
    </w:p>
    <w:p w:rsidR="0078639D" w:rsidRDefault="004945CF">
      <w:pPr>
        <w:pStyle w:val="Akapitzlist"/>
        <w:numPr>
          <w:ilvl w:val="0"/>
          <w:numId w:val="8"/>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dopuszcza</w:t>
      </w:r>
      <w:r>
        <w:rPr>
          <w:rFonts w:asciiTheme="minorHAnsi" w:hAnsiTheme="minorHAnsi" w:cstheme="minorHAnsi"/>
          <w:color w:val="7030A0"/>
        </w:rPr>
        <w:t xml:space="preserve"> składanie </w:t>
      </w:r>
      <w:r>
        <w:rPr>
          <w:rFonts w:asciiTheme="minorHAnsi" w:hAnsiTheme="minorHAnsi" w:cstheme="minorHAnsi"/>
        </w:rPr>
        <w:t xml:space="preserve">ofert równoważnych na zasadach określonych </w:t>
      </w:r>
      <w:r>
        <w:rPr>
          <w:rFonts w:asciiTheme="minorHAnsi" w:hAnsiTheme="minorHAnsi" w:cstheme="minorHAnsi"/>
          <w:bCs/>
        </w:rPr>
        <w:t xml:space="preserve">w </w:t>
      </w:r>
      <w:r>
        <w:rPr>
          <w:rFonts w:asciiTheme="minorHAnsi" w:hAnsiTheme="minorHAnsi" w:cstheme="minorHAnsi"/>
          <w:b/>
          <w:bCs/>
        </w:rPr>
        <w:t>Załączniku nr 2 do SWZ</w:t>
      </w:r>
      <w:r>
        <w:rPr>
          <w:rFonts w:asciiTheme="minorHAnsi" w:hAnsiTheme="minorHAnsi" w:cstheme="minorHAnsi"/>
        </w:rPr>
        <w:t>, jednak poniżej wskazuje na podstawowe informacje o rozwiązaniach równoważnych:</w:t>
      </w:r>
    </w:p>
    <w:p w:rsidR="0078639D" w:rsidRDefault="004945CF">
      <w:pPr>
        <w:pStyle w:val="Akapitzlist"/>
        <w:numPr>
          <w:ilvl w:val="0"/>
          <w:numId w:val="43"/>
        </w:numPr>
        <w:spacing w:line="276" w:lineRule="auto"/>
        <w:ind w:left="540" w:hanging="270"/>
        <w:jc w:val="both"/>
        <w:rPr>
          <w:rFonts w:asciiTheme="minorHAnsi" w:hAnsiTheme="minorHAnsi" w:cstheme="minorHAnsi"/>
        </w:rPr>
      </w:pPr>
      <w:r>
        <w:rPr>
          <w:rFonts w:asciiTheme="minorHAnsi" w:hAnsiTheme="minorHAnsi" w:cstheme="minorHAnsi"/>
        </w:rPr>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i Zamawiający dopuszcza zastosowanie przez Wykonawcę rozwiązań równoważnych. Kryterium równoważności stosowanym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Wykonawca oferujący rozwiązania równoważne zobowiązany jest udowodnić na etapie składania oferty, że zaoferowane przez niego rozwiązanie posiadają parametry, cechy, funkcjonalności, o których mowa powyżej i w Załączniku nr 2 do SWZ. </w:t>
      </w:r>
    </w:p>
    <w:p w:rsidR="0078639D" w:rsidRDefault="004945CF">
      <w:pPr>
        <w:pStyle w:val="Akapitzlist"/>
        <w:numPr>
          <w:ilvl w:val="0"/>
          <w:numId w:val="43"/>
        </w:numPr>
        <w:spacing w:line="276" w:lineRule="auto"/>
        <w:ind w:left="567" w:hanging="283"/>
        <w:jc w:val="both"/>
        <w:rPr>
          <w:rFonts w:asciiTheme="minorHAnsi" w:hAnsiTheme="minorHAnsi" w:cstheme="minorHAnsi"/>
        </w:rPr>
      </w:pPr>
      <w:r>
        <w:rPr>
          <w:rFonts w:asciiTheme="minorHAnsi" w:hAnsiTheme="minorHAnsi" w:cstheme="minorHAnsi"/>
        </w:rPr>
        <w:lastRenderedPageBreak/>
        <w:t>Wykonawcy mogą składać oferty zawierające rozwiązania równoważne w stosunku do przedmiotu zamówienia przedstawionego w Tomie III SWZ, zgodnie z art. 99 ust. 5 i 6 PZP.</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8" w:name="_Toc114403756"/>
      <w:bookmarkStart w:id="19" w:name="_Toc95987072"/>
      <w:bookmarkStart w:id="20" w:name="_Toc95923591"/>
      <w:r>
        <w:rPr>
          <w:rFonts w:asciiTheme="minorHAnsi" w:hAnsiTheme="minorHAnsi" w:cstheme="minorHAnsi"/>
          <w:color w:val="2F5496" w:themeColor="accent1" w:themeShade="BF"/>
          <w:sz w:val="20"/>
          <w:szCs w:val="20"/>
        </w:rPr>
        <w:t>INFORMACJE OGÓLNE</w:t>
      </w:r>
      <w:bookmarkEnd w:id="18"/>
      <w:bookmarkEnd w:id="19"/>
      <w:bookmarkEnd w:id="20"/>
    </w:p>
    <w:p w:rsidR="0078639D" w:rsidRDefault="004945CF">
      <w:pPr>
        <w:pStyle w:val="Akapitzlist"/>
        <w:numPr>
          <w:ilvl w:val="0"/>
          <w:numId w:val="44"/>
        </w:numPr>
        <w:spacing w:line="276" w:lineRule="auto"/>
        <w:ind w:left="284" w:hanging="284"/>
        <w:jc w:val="both"/>
        <w:rPr>
          <w:rFonts w:asciiTheme="minorHAnsi" w:hAnsiTheme="minorHAnsi" w:cstheme="minorHAnsi"/>
        </w:rPr>
      </w:pPr>
      <w:r>
        <w:rPr>
          <w:rFonts w:asciiTheme="minorHAnsi" w:hAnsiTheme="minorHAnsi" w:cstheme="minorHAnsi"/>
        </w:rPr>
        <w:t xml:space="preserve">Umowa zostanie zawarta na okres wskazany </w:t>
      </w:r>
      <w:r>
        <w:rPr>
          <w:rFonts w:asciiTheme="minorHAnsi" w:hAnsiTheme="minorHAnsi" w:cstheme="minorHAnsi"/>
          <w:b/>
          <w:bCs/>
        </w:rPr>
        <w:t>w Tomie II SWZ.</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wymaga</w:t>
      </w:r>
      <w:r>
        <w:rPr>
          <w:rFonts w:asciiTheme="minorHAnsi" w:hAnsiTheme="minorHAnsi" w:cstheme="minorHAnsi"/>
          <w:color w:val="7030A0"/>
        </w:rPr>
        <w:t xml:space="preserve"> </w:t>
      </w:r>
      <w:r>
        <w:rPr>
          <w:rFonts w:asciiTheme="minorHAnsi" w:hAnsiTheme="minorHAnsi" w:cstheme="minorHAnsi"/>
        </w:rPr>
        <w:t>wniesienia wadium przez Wykonawców.</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wymaga</w:t>
      </w:r>
      <w:r>
        <w:rPr>
          <w:rFonts w:asciiTheme="minorHAnsi" w:hAnsiTheme="minorHAnsi" w:cstheme="minorHAnsi"/>
        </w:rPr>
        <w:t xml:space="preserve"> wniesienia zabezpieczenia należytego wykonania umowy.</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color w:val="7030A0"/>
        </w:rPr>
        <w:t xml:space="preserve"> </w:t>
      </w:r>
      <w:r>
        <w:rPr>
          <w:rFonts w:asciiTheme="minorHAnsi" w:hAnsiTheme="minorHAnsi" w:cstheme="minorHAnsi"/>
        </w:rPr>
        <w:t>zawarcia umowy ramowej.</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będzie korzystał</w:t>
      </w:r>
      <w:r>
        <w:rPr>
          <w:rFonts w:asciiTheme="minorHAnsi" w:hAnsiTheme="minorHAnsi" w:cstheme="minorHAnsi"/>
        </w:rPr>
        <w:t xml:space="preserve"> z prawa opcji.</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rPr>
        <w:t xml:space="preserve"> przeprowadzenia aukcji elektronicznej.</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informuje, że </w:t>
      </w:r>
      <w:r>
        <w:rPr>
          <w:rFonts w:asciiTheme="minorHAnsi" w:hAnsiTheme="minorHAnsi" w:cstheme="minorHAnsi"/>
          <w:b/>
          <w:bCs/>
          <w:color w:val="7030A0"/>
        </w:rPr>
        <w:t>nie przewiduje</w:t>
      </w:r>
      <w:r>
        <w:rPr>
          <w:rFonts w:asciiTheme="minorHAnsi" w:hAnsiTheme="minorHAnsi" w:cstheme="minorHAnsi"/>
        </w:rPr>
        <w:t xml:space="preserve"> zamówień, o których mowa w art. 214 ust. 1 pkt 7 i8 PZP.</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color w:val="7030A0"/>
        </w:rPr>
        <w:t xml:space="preserve">dopuszcza </w:t>
      </w:r>
      <w:r>
        <w:rPr>
          <w:rFonts w:asciiTheme="minorHAnsi" w:hAnsiTheme="minorHAnsi" w:cstheme="minorHAnsi"/>
        </w:rPr>
        <w:t xml:space="preserve">powierzenie wykonania części zamówienia podwykonawcy. Zgodnie z art. 462 ust. 2 PZP żąda wskazania przez Wykonawcę w ofercie części zamówienia, których wykonanie zamierza powierzyć podwykonawcom </w:t>
      </w:r>
      <w:r>
        <w:rPr>
          <w:rFonts w:asciiTheme="minorHAnsi" w:hAnsiTheme="minorHAnsi" w:cstheme="minorHAnsi"/>
        </w:rPr>
        <w:br/>
        <w:t>i podania przez Wykonawcę nazw/firm podwykonawców, o ile są znani/znane na etapie składania oferty.</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rPr>
        <w:t xml:space="preserve"> zastrzeżenia możliwości ubiegania się o udzielenie zamówienia wyłącznie przez Wykonawców, </w:t>
      </w:r>
      <w:r>
        <w:rPr>
          <w:rFonts w:asciiTheme="minorHAnsi" w:hAnsiTheme="minorHAnsi" w:cstheme="minorHAnsi"/>
        </w:rPr>
        <w:br/>
        <w:t>o których mowa w art. 94 PZP.</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b/>
          <w:bCs/>
        </w:rPr>
        <w:t xml:space="preserve"> </w:t>
      </w:r>
      <w:r>
        <w:rPr>
          <w:rFonts w:asciiTheme="minorHAnsi" w:hAnsiTheme="minorHAnsi" w:cstheme="minorHAnsi"/>
        </w:rPr>
        <w:t>wymagań w zakresie zatrudnienia na podstawie stosunku pracy w okolicznościach, o których mowa w art. 95 PZP.</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rPr>
        <w:t xml:space="preserve"> wymagania w zakresie zatrudnienia osób, o których mowa w art. 96 ust. 2 pkt 2 PZP.</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rPr>
        <w:t xml:space="preserve"> obowiązku osobistego wykonania przez Wykonawcę kluczowych zadań, zgodnie z art. 60 i art. 121 PZP.</w:t>
      </w:r>
    </w:p>
    <w:p w:rsidR="0078639D" w:rsidRDefault="004945CF">
      <w:pPr>
        <w:pStyle w:val="Akapitzlist"/>
        <w:numPr>
          <w:ilvl w:val="0"/>
          <w:numId w:val="9"/>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Zamawiający </w:t>
      </w:r>
      <w:r>
        <w:rPr>
          <w:rFonts w:asciiTheme="minorHAnsi" w:hAnsiTheme="minorHAnsi" w:cstheme="minorHAnsi"/>
          <w:b/>
          <w:bCs/>
          <w:color w:val="7030A0"/>
        </w:rPr>
        <w:t>nie przewiduje</w:t>
      </w:r>
      <w:r>
        <w:rPr>
          <w:rFonts w:asciiTheme="minorHAnsi" w:hAnsiTheme="minorHAnsi" w:cstheme="minorHAnsi"/>
        </w:rPr>
        <w:t xml:space="preserve"> zwrotu kosztów udziału w postępowaniu z wyjątkiem wystąpienia sytuacji, o której mowa w art. 261 PZP.</w:t>
      </w:r>
    </w:p>
    <w:p w:rsidR="0078639D" w:rsidRDefault="004945CF">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color w:val="7030A0"/>
        </w:rPr>
        <w:t>nie przewiduje ani nie wymaga</w:t>
      </w:r>
      <w:r>
        <w:rPr>
          <w:rFonts w:asciiTheme="minorHAnsi" w:hAnsiTheme="minorHAnsi" w:cstheme="minorHAnsi"/>
        </w:rPr>
        <w:t xml:space="preserve"> odbycia wizji lokalnej lub sprawdzenia dokumentów innych niż stanowiące załączniki do SWZ niezbędnych do realizacji przedmiotu zamówienia, o których mowa w art. 131 ust. 2 PZP.</w:t>
      </w:r>
    </w:p>
    <w:p w:rsidR="0078639D" w:rsidRDefault="004945CF">
      <w:pPr>
        <w:keepNext/>
        <w:keepLines/>
        <w:numPr>
          <w:ilvl w:val="0"/>
          <w:numId w:val="6"/>
        </w:numPr>
        <w:shd w:val="clear" w:color="auto" w:fill="FFE599" w:themeFill="accent4" w:themeFillTint="66"/>
        <w:spacing w:after="0" w:line="276" w:lineRule="auto"/>
        <w:ind w:left="284" w:hanging="284"/>
        <w:jc w:val="center"/>
        <w:outlineLvl w:val="1"/>
        <w:rPr>
          <w:rFonts w:eastAsiaTheme="majorEastAsia" w:cstheme="minorHAnsi"/>
          <w:b/>
          <w:color w:val="2F5496" w:themeColor="accent1" w:themeShade="BF"/>
          <w:sz w:val="20"/>
          <w:szCs w:val="20"/>
        </w:rPr>
      </w:pPr>
      <w:bookmarkStart w:id="21" w:name="_Toc114403757"/>
      <w:r>
        <w:rPr>
          <w:rFonts w:eastAsiaTheme="majorEastAsia" w:cstheme="minorHAnsi"/>
          <w:b/>
          <w:color w:val="2F5496" w:themeColor="accent1" w:themeShade="BF"/>
          <w:sz w:val="20"/>
          <w:szCs w:val="20"/>
        </w:rPr>
        <w:t>INFORMACJA O WARUNKACH UDZIAŁU W POSTĘPOWANIU</w:t>
      </w:r>
      <w:bookmarkEnd w:id="21"/>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O udzielenie zamówienia mogą ubiegać się Wykonawcy, którzy: </w:t>
      </w:r>
    </w:p>
    <w:p w:rsidR="0078639D" w:rsidRDefault="004945CF">
      <w:pPr>
        <w:numPr>
          <w:ilvl w:val="0"/>
          <w:numId w:val="27"/>
        </w:numPr>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nie podlegają wykluczeniu; </w:t>
      </w:r>
    </w:p>
    <w:p w:rsidR="0078639D" w:rsidRDefault="004945CF">
      <w:pPr>
        <w:numPr>
          <w:ilvl w:val="0"/>
          <w:numId w:val="27"/>
        </w:numPr>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spełniają warunki udziału w postępowaniu określone przez Zamawiającego w ust. 2.</w:t>
      </w:r>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O udzielenie zamówienia mogą ubiegać się Wykonawcy, którzy spełniają warunki udziału w postępowaniu dotyczące:</w:t>
      </w:r>
    </w:p>
    <w:p w:rsidR="0078639D" w:rsidRDefault="004945CF">
      <w:pPr>
        <w:numPr>
          <w:ilvl w:val="0"/>
          <w:numId w:val="37"/>
        </w:numPr>
        <w:spacing w:after="0" w:line="276" w:lineRule="auto"/>
        <w:jc w:val="both"/>
        <w:rPr>
          <w:rFonts w:ascii="Calibri" w:eastAsia="Times New Roman" w:hAnsi="Calibri" w:cs="Calibri"/>
          <w:color w:val="7030A0"/>
          <w:sz w:val="20"/>
          <w:szCs w:val="20"/>
          <w:lang w:eastAsia="pl-PL"/>
        </w:rPr>
      </w:pPr>
      <w:r>
        <w:rPr>
          <w:rFonts w:ascii="Calibri" w:eastAsia="Times New Roman" w:hAnsi="Calibri" w:cs="Calibri"/>
          <w:sz w:val="20"/>
          <w:szCs w:val="20"/>
          <w:lang w:eastAsia="pl-PL"/>
        </w:rPr>
        <w:t xml:space="preserve">zdolności do występowania w obrocie gospodarczym: </w:t>
      </w:r>
      <w:r>
        <w:rPr>
          <w:rFonts w:ascii="Calibri" w:eastAsia="Times New Roman" w:hAnsi="Calibri" w:cs="Calibri"/>
          <w:color w:val="7030A0"/>
          <w:sz w:val="20"/>
          <w:szCs w:val="20"/>
          <w:lang w:eastAsia="pl-PL"/>
        </w:rPr>
        <w:t xml:space="preserve">Zamawiający </w:t>
      </w:r>
      <w:r>
        <w:rPr>
          <w:rFonts w:ascii="Calibri" w:eastAsia="Times New Roman" w:hAnsi="Calibri" w:cs="Calibri"/>
          <w:b/>
          <w:bCs/>
          <w:color w:val="7030A0"/>
          <w:sz w:val="20"/>
          <w:szCs w:val="20"/>
          <w:lang w:eastAsia="pl-PL"/>
        </w:rPr>
        <w:t>nie wyznacza</w:t>
      </w:r>
      <w:r>
        <w:rPr>
          <w:rFonts w:ascii="Calibri" w:eastAsia="Times New Roman" w:hAnsi="Calibri" w:cs="Calibri"/>
          <w:color w:val="7030A0"/>
          <w:sz w:val="20"/>
          <w:szCs w:val="20"/>
          <w:lang w:eastAsia="pl-PL"/>
        </w:rPr>
        <w:t xml:space="preserve"> warunku w tym zakresie;</w:t>
      </w:r>
    </w:p>
    <w:p w:rsidR="0078639D" w:rsidRDefault="004945CF">
      <w:pPr>
        <w:numPr>
          <w:ilvl w:val="0"/>
          <w:numId w:val="37"/>
        </w:numPr>
        <w:spacing w:after="0" w:line="276" w:lineRule="auto"/>
        <w:jc w:val="both"/>
        <w:rPr>
          <w:rFonts w:ascii="Calibri" w:eastAsia="Times New Roman" w:hAnsi="Calibri" w:cs="Calibri"/>
          <w:b/>
          <w:sz w:val="20"/>
          <w:szCs w:val="20"/>
          <w:lang w:eastAsia="pl-PL"/>
        </w:rPr>
      </w:pPr>
      <w:r>
        <w:rPr>
          <w:rFonts w:ascii="Calibri" w:eastAsia="Times New Roman" w:hAnsi="Calibri" w:cs="Calibri"/>
          <w:sz w:val="20"/>
          <w:szCs w:val="20"/>
          <w:lang w:eastAsia="pl-PL"/>
        </w:rPr>
        <w:t xml:space="preserve">uprawnień do prowadzenia określonej działalności gospodarczej: </w:t>
      </w:r>
      <w:r>
        <w:rPr>
          <w:rFonts w:eastAsia="Times New Roman" w:cs="Calibri"/>
          <w:color w:val="7030A0"/>
          <w:sz w:val="20"/>
          <w:szCs w:val="20"/>
          <w:lang w:eastAsia="pl-PL"/>
        </w:rPr>
        <w:t xml:space="preserve">Zamawiający </w:t>
      </w:r>
      <w:r>
        <w:rPr>
          <w:rFonts w:eastAsia="Times New Roman" w:cs="Calibri"/>
          <w:b/>
          <w:color w:val="7030A0"/>
          <w:sz w:val="20"/>
          <w:szCs w:val="20"/>
          <w:lang w:eastAsia="pl-PL"/>
        </w:rPr>
        <w:t>nie wyznacza</w:t>
      </w:r>
      <w:r>
        <w:rPr>
          <w:rFonts w:eastAsia="Times New Roman" w:cs="Calibri"/>
          <w:color w:val="7030A0"/>
          <w:sz w:val="20"/>
          <w:szCs w:val="20"/>
          <w:lang w:eastAsia="pl-PL"/>
        </w:rPr>
        <w:t xml:space="preserve"> warunku w tym zakresie;</w:t>
      </w:r>
    </w:p>
    <w:p w:rsidR="0078639D" w:rsidRDefault="004945CF">
      <w:pPr>
        <w:numPr>
          <w:ilvl w:val="0"/>
          <w:numId w:val="37"/>
        </w:numPr>
        <w:spacing w:after="0" w:line="276" w:lineRule="auto"/>
        <w:jc w:val="both"/>
        <w:rPr>
          <w:rFonts w:ascii="Calibri" w:eastAsia="Times New Roman" w:hAnsi="Calibri" w:cs="Calibri"/>
          <w:b/>
          <w:color w:val="7030A0"/>
          <w:sz w:val="20"/>
          <w:szCs w:val="20"/>
          <w:lang w:eastAsia="pl-PL"/>
        </w:rPr>
      </w:pPr>
      <w:r>
        <w:rPr>
          <w:rFonts w:ascii="Calibri" w:eastAsia="Times New Roman" w:hAnsi="Calibri" w:cs="Calibri"/>
          <w:sz w:val="20"/>
          <w:szCs w:val="20"/>
          <w:lang w:eastAsia="pl-PL"/>
        </w:rPr>
        <w:t xml:space="preserve">sytuacji ekonomicznej i finansowej: </w:t>
      </w:r>
      <w:r>
        <w:rPr>
          <w:rFonts w:ascii="Calibri" w:eastAsia="Times New Roman" w:hAnsi="Calibri" w:cs="Calibri"/>
          <w:color w:val="7030A0"/>
          <w:sz w:val="20"/>
          <w:szCs w:val="20"/>
          <w:lang w:eastAsia="pl-PL"/>
        </w:rPr>
        <w:t xml:space="preserve">Zamawiający </w:t>
      </w:r>
      <w:r>
        <w:rPr>
          <w:rFonts w:ascii="Calibri" w:eastAsia="Times New Roman" w:hAnsi="Calibri" w:cs="Calibri"/>
          <w:b/>
          <w:bCs/>
          <w:color w:val="7030A0"/>
          <w:sz w:val="20"/>
          <w:szCs w:val="20"/>
          <w:lang w:eastAsia="pl-PL"/>
        </w:rPr>
        <w:t>nie wyznacza</w:t>
      </w:r>
      <w:r>
        <w:rPr>
          <w:rFonts w:ascii="Calibri" w:eastAsia="Times New Roman" w:hAnsi="Calibri" w:cs="Calibri"/>
          <w:color w:val="7030A0"/>
          <w:sz w:val="20"/>
          <w:szCs w:val="20"/>
          <w:lang w:eastAsia="pl-PL"/>
        </w:rPr>
        <w:t xml:space="preserve"> warunku w tym zakresie;</w:t>
      </w:r>
    </w:p>
    <w:p w:rsidR="0078639D" w:rsidRDefault="004945CF">
      <w:pPr>
        <w:numPr>
          <w:ilvl w:val="0"/>
          <w:numId w:val="37"/>
        </w:numPr>
        <w:spacing w:after="0" w:line="276" w:lineRule="auto"/>
        <w:jc w:val="both"/>
        <w:rPr>
          <w:rFonts w:ascii="Calibri" w:eastAsia="Times New Roman" w:hAnsi="Calibri" w:cs="Calibri"/>
          <w:color w:val="7030A0"/>
          <w:sz w:val="20"/>
          <w:szCs w:val="20"/>
          <w:lang w:eastAsia="pl-PL"/>
        </w:rPr>
      </w:pPr>
      <w:r>
        <w:rPr>
          <w:rFonts w:ascii="Calibri" w:eastAsia="Times New Roman" w:hAnsi="Calibri" w:cs="Calibri"/>
          <w:sz w:val="20"/>
          <w:szCs w:val="20"/>
          <w:lang w:eastAsia="pl-PL"/>
        </w:rPr>
        <w:t xml:space="preserve">zdolności technicznej lub zawodowej: </w:t>
      </w:r>
      <w:r>
        <w:rPr>
          <w:rFonts w:ascii="Calibri" w:eastAsia="Times New Roman" w:hAnsi="Calibri" w:cs="Calibri"/>
          <w:b/>
          <w:bCs/>
          <w:color w:val="7030A0"/>
          <w:sz w:val="20"/>
          <w:szCs w:val="20"/>
          <w:lang w:eastAsia="pl-PL"/>
        </w:rPr>
        <w:t xml:space="preserve">wykonał w okresie ostatnich trzech lat przed upływem terminu składania ofert, </w:t>
      </w:r>
      <w:r>
        <w:rPr>
          <w:rFonts w:ascii="Calibri" w:eastAsia="Times New Roman" w:hAnsi="Calibri" w:cs="Calibri"/>
          <w:b/>
          <w:bCs/>
          <w:color w:val="7030A0"/>
          <w:sz w:val="20"/>
          <w:szCs w:val="20"/>
          <w:lang w:eastAsia="pl-PL"/>
        </w:rPr>
        <w:br/>
        <w:t xml:space="preserve">a jeżeli okres prowadzenia działalności jest krótszy w tym okresie, co </w:t>
      </w:r>
      <w:r w:rsidRPr="00381BD8">
        <w:rPr>
          <w:rFonts w:ascii="Calibri" w:eastAsia="Times New Roman" w:hAnsi="Calibri" w:cs="Calibri"/>
          <w:b/>
          <w:bCs/>
          <w:color w:val="7030A0"/>
          <w:sz w:val="20"/>
          <w:szCs w:val="20"/>
          <w:lang w:eastAsia="pl-PL"/>
        </w:rPr>
        <w:t>najmniej jedną (1) dostawę sprzętu/wyrobów medycznych/wyrobów niemed</w:t>
      </w:r>
      <w:r w:rsidR="00F46A64">
        <w:rPr>
          <w:rFonts w:ascii="Calibri" w:eastAsia="Times New Roman" w:hAnsi="Calibri" w:cs="Calibri"/>
          <w:b/>
          <w:bCs/>
          <w:color w:val="7030A0"/>
          <w:sz w:val="20"/>
          <w:szCs w:val="20"/>
          <w:lang w:eastAsia="pl-PL"/>
        </w:rPr>
        <w:t xml:space="preserve">ycznych/sprzętu odpowiadającego </w:t>
      </w:r>
      <w:r w:rsidRPr="00381BD8">
        <w:rPr>
          <w:rFonts w:ascii="Calibri" w:eastAsia="Times New Roman" w:hAnsi="Calibri" w:cs="Calibri"/>
          <w:b/>
          <w:bCs/>
          <w:color w:val="7030A0"/>
          <w:sz w:val="20"/>
          <w:szCs w:val="20"/>
          <w:lang w:eastAsia="pl-PL"/>
        </w:rPr>
        <w:t>rodzajowi dla</w:t>
      </w:r>
      <w:r>
        <w:rPr>
          <w:rFonts w:ascii="Calibri" w:eastAsia="Times New Roman" w:hAnsi="Calibri" w:cs="Calibri"/>
          <w:b/>
          <w:bCs/>
          <w:color w:val="7030A0"/>
          <w:sz w:val="20"/>
          <w:szCs w:val="20"/>
          <w:lang w:eastAsia="pl-PL"/>
        </w:rPr>
        <w:t xml:space="preserve"> każdego z pakietów, jak niżej:</w:t>
      </w:r>
    </w:p>
    <w:p w:rsidR="009226A9" w:rsidRDefault="004945CF" w:rsidP="009226A9">
      <w:pPr>
        <w:pStyle w:val="Akapitzlist"/>
        <w:numPr>
          <w:ilvl w:val="0"/>
          <w:numId w:val="61"/>
        </w:numPr>
        <w:spacing w:line="276" w:lineRule="auto"/>
        <w:jc w:val="both"/>
        <w:rPr>
          <w:rFonts w:ascii="Calibri" w:hAnsi="Calibri" w:cs="Calibri"/>
          <w:b/>
          <w:bCs/>
          <w:color w:val="7030A0"/>
        </w:rPr>
      </w:pPr>
      <w:r w:rsidRPr="009226A9">
        <w:rPr>
          <w:rFonts w:ascii="Calibri" w:hAnsi="Calibri" w:cs="Calibri"/>
          <w:b/>
          <w:bCs/>
          <w:color w:val="7030A0"/>
        </w:rPr>
        <w:t>P</w:t>
      </w:r>
      <w:r w:rsidR="00A77A22" w:rsidRPr="009226A9">
        <w:rPr>
          <w:rFonts w:ascii="Calibri" w:hAnsi="Calibri" w:cs="Calibri"/>
          <w:b/>
          <w:bCs/>
          <w:color w:val="7030A0"/>
        </w:rPr>
        <w:t>akiet nr 1 – 45 000,00</w:t>
      </w:r>
      <w:r w:rsidRPr="009226A9">
        <w:rPr>
          <w:rFonts w:ascii="Calibri" w:hAnsi="Calibri" w:cs="Calibri"/>
          <w:b/>
          <w:bCs/>
          <w:color w:val="7030A0"/>
        </w:rPr>
        <w:t xml:space="preserve"> zł </w:t>
      </w:r>
      <w:r w:rsidR="009226A9">
        <w:rPr>
          <w:rFonts w:ascii="Calibri" w:hAnsi="Calibri" w:cs="Calibri"/>
          <w:b/>
          <w:bCs/>
          <w:color w:val="7030A0"/>
        </w:rPr>
        <w:t>brutto</w:t>
      </w:r>
    </w:p>
    <w:p w:rsidR="0078639D" w:rsidRPr="009226A9" w:rsidRDefault="004945CF" w:rsidP="009226A9">
      <w:pPr>
        <w:pStyle w:val="Akapitzlist"/>
        <w:numPr>
          <w:ilvl w:val="0"/>
          <w:numId w:val="61"/>
        </w:numPr>
        <w:spacing w:line="276" w:lineRule="auto"/>
        <w:jc w:val="both"/>
        <w:rPr>
          <w:rFonts w:ascii="Calibri" w:hAnsi="Calibri" w:cs="Calibri"/>
          <w:b/>
          <w:bCs/>
          <w:color w:val="7030A0"/>
        </w:rPr>
      </w:pPr>
      <w:r w:rsidRPr="009226A9">
        <w:rPr>
          <w:rFonts w:ascii="Calibri" w:hAnsi="Calibri" w:cs="Calibri"/>
          <w:b/>
          <w:bCs/>
          <w:color w:val="7030A0"/>
        </w:rPr>
        <w:t xml:space="preserve">Pakiet nr 2 – </w:t>
      </w:r>
      <w:r w:rsidR="00A77A22" w:rsidRPr="009226A9">
        <w:rPr>
          <w:rFonts w:ascii="Calibri" w:hAnsi="Calibri" w:cs="Calibri"/>
          <w:b/>
          <w:bCs/>
          <w:color w:val="7030A0"/>
        </w:rPr>
        <w:t xml:space="preserve">53 000,00 </w:t>
      </w:r>
      <w:r w:rsidRPr="009226A9">
        <w:rPr>
          <w:rFonts w:ascii="Calibri" w:hAnsi="Calibri" w:cs="Calibri"/>
          <w:b/>
          <w:bCs/>
          <w:color w:val="7030A0"/>
        </w:rPr>
        <w:t xml:space="preserve">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3 – </w:t>
      </w:r>
      <w:r w:rsidR="00A77A22">
        <w:rPr>
          <w:rFonts w:ascii="Calibri" w:hAnsi="Calibri" w:cs="Calibri"/>
          <w:b/>
          <w:bCs/>
          <w:color w:val="7030A0"/>
        </w:rPr>
        <w:t>60 000,00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Pakiet nr 4 –</w:t>
      </w:r>
      <w:r w:rsidR="00A77A22">
        <w:rPr>
          <w:rFonts w:ascii="Calibri" w:hAnsi="Calibri" w:cs="Calibri"/>
          <w:b/>
          <w:bCs/>
          <w:color w:val="7030A0"/>
        </w:rPr>
        <w:t xml:space="preserve"> 250 000,00 </w:t>
      </w:r>
      <w:r>
        <w:rPr>
          <w:rFonts w:ascii="Calibri" w:hAnsi="Calibri" w:cs="Calibri"/>
          <w:b/>
          <w:bCs/>
          <w:color w:val="7030A0"/>
        </w:rPr>
        <w:t xml:space="preserve">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Pakiet nr 5 –</w:t>
      </w:r>
      <w:r w:rsidR="00A77A22">
        <w:rPr>
          <w:rFonts w:ascii="Calibri" w:hAnsi="Calibri" w:cs="Calibri"/>
          <w:b/>
          <w:bCs/>
          <w:color w:val="7030A0"/>
        </w:rPr>
        <w:t xml:space="preserve">100 000,00 </w:t>
      </w:r>
      <w:r>
        <w:rPr>
          <w:rFonts w:ascii="Calibri" w:hAnsi="Calibri" w:cs="Calibri"/>
          <w:b/>
          <w:bCs/>
          <w:color w:val="7030A0"/>
        </w:rPr>
        <w:t xml:space="preserve">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6 – </w:t>
      </w:r>
      <w:r w:rsidR="00A77A22">
        <w:rPr>
          <w:rFonts w:ascii="Calibri" w:hAnsi="Calibri" w:cs="Calibri"/>
          <w:b/>
          <w:bCs/>
          <w:color w:val="7030A0"/>
        </w:rPr>
        <w:t>5 000,00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Pakiet nr 7 –</w:t>
      </w:r>
      <w:r w:rsidR="00A77A22">
        <w:rPr>
          <w:rFonts w:ascii="Calibri" w:hAnsi="Calibri" w:cs="Calibri"/>
          <w:b/>
          <w:bCs/>
          <w:color w:val="7030A0"/>
        </w:rPr>
        <w:t xml:space="preserve">30 000,00 </w:t>
      </w:r>
      <w:r w:rsidR="009226A9">
        <w:rPr>
          <w:rFonts w:ascii="Calibri" w:hAnsi="Calibri" w:cs="Calibri"/>
          <w:b/>
          <w:bCs/>
          <w:color w:val="7030A0"/>
        </w:rPr>
        <w:t>zł brutt</w:t>
      </w:r>
      <w:r>
        <w:rPr>
          <w:rFonts w:ascii="Calibri" w:hAnsi="Calibri" w:cs="Calibri"/>
          <w:b/>
          <w:bCs/>
          <w:color w:val="7030A0"/>
        </w:rPr>
        <w: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8 – </w:t>
      </w:r>
      <w:r w:rsidR="00A77A22">
        <w:rPr>
          <w:rFonts w:ascii="Calibri" w:hAnsi="Calibri" w:cs="Calibri"/>
          <w:b/>
          <w:bCs/>
          <w:color w:val="7030A0"/>
        </w:rPr>
        <w:t xml:space="preserve">130 000,00 </w:t>
      </w:r>
      <w:r>
        <w:rPr>
          <w:rFonts w:ascii="Calibri" w:hAnsi="Calibri" w:cs="Calibri"/>
          <w:b/>
          <w:bCs/>
          <w:color w:val="7030A0"/>
        </w:rPr>
        <w:t xml:space="preserve">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9 – </w:t>
      </w:r>
      <w:r w:rsidR="00A77A22">
        <w:rPr>
          <w:rFonts w:ascii="Calibri" w:hAnsi="Calibri" w:cs="Calibri"/>
          <w:b/>
          <w:bCs/>
          <w:color w:val="7030A0"/>
        </w:rPr>
        <w:t>1 500,00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10 – </w:t>
      </w:r>
      <w:r w:rsidR="00A77A22">
        <w:rPr>
          <w:rFonts w:ascii="Calibri" w:hAnsi="Calibri" w:cs="Calibri"/>
          <w:b/>
          <w:bCs/>
          <w:color w:val="7030A0"/>
        </w:rPr>
        <w:t>100 000,00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11 – </w:t>
      </w:r>
      <w:r w:rsidR="00A77A22">
        <w:rPr>
          <w:rFonts w:ascii="Calibri" w:hAnsi="Calibri" w:cs="Calibri"/>
          <w:b/>
          <w:bCs/>
          <w:color w:val="7030A0"/>
        </w:rPr>
        <w:t>200 000,00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12 – </w:t>
      </w:r>
      <w:r w:rsidR="00A77A22">
        <w:rPr>
          <w:rFonts w:ascii="Calibri" w:hAnsi="Calibri" w:cs="Calibri"/>
          <w:b/>
          <w:bCs/>
          <w:color w:val="7030A0"/>
        </w:rPr>
        <w:t xml:space="preserve">300 000,00 </w:t>
      </w:r>
      <w:r>
        <w:rPr>
          <w:rFonts w:ascii="Calibri" w:hAnsi="Calibri" w:cs="Calibri"/>
          <w:b/>
          <w:bCs/>
          <w:color w:val="7030A0"/>
        </w:rPr>
        <w:t xml:space="preserve">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13 – </w:t>
      </w:r>
      <w:r w:rsidR="00A77A22">
        <w:rPr>
          <w:rFonts w:ascii="Calibri" w:hAnsi="Calibri" w:cs="Calibri"/>
          <w:b/>
          <w:bCs/>
          <w:color w:val="7030A0"/>
        </w:rPr>
        <w:t>150 000,00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pStyle w:val="Akapitzlist"/>
        <w:numPr>
          <w:ilvl w:val="0"/>
          <w:numId w:val="61"/>
        </w:numPr>
        <w:spacing w:line="276" w:lineRule="auto"/>
        <w:jc w:val="both"/>
        <w:rPr>
          <w:rFonts w:ascii="Calibri" w:hAnsi="Calibri" w:cs="Calibri"/>
          <w:b/>
          <w:bCs/>
          <w:color w:val="7030A0"/>
        </w:rPr>
      </w:pPr>
      <w:r>
        <w:rPr>
          <w:rFonts w:ascii="Calibri" w:hAnsi="Calibri" w:cs="Calibri"/>
          <w:b/>
          <w:bCs/>
          <w:color w:val="7030A0"/>
        </w:rPr>
        <w:t xml:space="preserve">Pakiet nr 14 – </w:t>
      </w:r>
      <w:r w:rsidR="00A77A22">
        <w:rPr>
          <w:rFonts w:ascii="Calibri" w:hAnsi="Calibri" w:cs="Calibri"/>
          <w:b/>
          <w:bCs/>
          <w:color w:val="7030A0"/>
        </w:rPr>
        <w:t>15 000,00</w:t>
      </w:r>
      <w:r>
        <w:rPr>
          <w:rFonts w:ascii="Calibri" w:hAnsi="Calibri" w:cs="Calibri"/>
          <w:b/>
          <w:bCs/>
          <w:color w:val="7030A0"/>
        </w:rPr>
        <w:t xml:space="preserve"> zł </w:t>
      </w:r>
      <w:r w:rsidR="009226A9">
        <w:rPr>
          <w:rFonts w:ascii="Calibri" w:hAnsi="Calibri" w:cs="Calibri"/>
          <w:b/>
          <w:bCs/>
          <w:color w:val="7030A0"/>
        </w:rPr>
        <w:t>brutto</w:t>
      </w:r>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cs="Calibri"/>
          <w:color w:val="000000"/>
          <w:sz w:val="20"/>
          <w:szCs w:val="20"/>
        </w:rPr>
        <w:t>Jeżeli w ust. 2 Zamawiający wyznaczył warunki udziału w postępowaniu, w przypadku wskazania przez Wykonawcę w celu wykazania spełniania warunków udziału, waluty innej niż polska (PLN), w celu jej przeliczenia stosowane będą następujące zasady w zakresie przeliczania: (dotyczy wszystkich warunków udziału w postępowaniu określonych przez Zamawiającego)</w:t>
      </w:r>
    </w:p>
    <w:p w:rsidR="0078639D" w:rsidRDefault="004945CF">
      <w:pPr>
        <w:pStyle w:val="Akapitzlist"/>
        <w:numPr>
          <w:ilvl w:val="0"/>
          <w:numId w:val="39"/>
        </w:numPr>
        <w:spacing w:line="276" w:lineRule="auto"/>
        <w:ind w:left="567" w:hanging="283"/>
        <w:rPr>
          <w:rFonts w:asciiTheme="minorHAnsi" w:hAnsiTheme="minorHAnsi" w:cstheme="minorHAnsi"/>
        </w:rPr>
      </w:pPr>
      <w:r>
        <w:rPr>
          <w:rFonts w:asciiTheme="minorHAnsi" w:hAnsiTheme="minorHAnsi" w:cstheme="minorHAnsi"/>
        </w:rPr>
        <w:t>średni kurs NBP na dzień publikacji ogłoszenia o zamówieniu w Dzienniku Urzędowym Unii Europejskiej,</w:t>
      </w:r>
    </w:p>
    <w:p w:rsidR="0078639D" w:rsidRDefault="004945CF">
      <w:pPr>
        <w:pStyle w:val="Akapitzlist"/>
        <w:numPr>
          <w:ilvl w:val="0"/>
          <w:numId w:val="39"/>
        </w:numPr>
        <w:spacing w:line="276" w:lineRule="auto"/>
        <w:ind w:left="567" w:hanging="283"/>
        <w:rPr>
          <w:rFonts w:asciiTheme="minorHAnsi" w:hAnsiTheme="minorHAnsi" w:cstheme="minorHAnsi"/>
        </w:rPr>
      </w:pPr>
      <w:r>
        <w:rPr>
          <w:rFonts w:asciiTheme="minorHAnsi" w:hAnsiTheme="minorHAnsi" w:cstheme="minorHAnsi"/>
        </w:rPr>
        <w:t>średni kurs NBP z pierwszego dnia roboczego poprzedzającego dzień opublikowania ogłoszenia w Dzienniku Urzędowym Unii Europejskiej, jeżeli dniem opublikowania ogłoszenia jest sobota.</w:t>
      </w:r>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lastRenderedPageBreak/>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78639D" w:rsidRDefault="004945CF">
      <w:pPr>
        <w:numPr>
          <w:ilvl w:val="2"/>
          <w:numId w:val="26"/>
        </w:numPr>
        <w:spacing w:after="0" w:line="276" w:lineRule="auto"/>
        <w:ind w:left="284"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w:t>
      </w:r>
      <w:r>
        <w:rPr>
          <w:rFonts w:ascii="Calibri" w:eastAsia="Times New Roman" w:hAnsi="Calibri" w:cs="Calibri"/>
          <w:color w:val="000000"/>
          <w:sz w:val="20"/>
          <w:szCs w:val="20"/>
          <w:lang w:eastAsia="pl-PL"/>
        </w:rPr>
        <w:br/>
        <w:t xml:space="preserve">że stosunek łączący Wykonawcę z podmiotami udostępniającymi zasoby gwarantuje rzeczywisty dostęp do tych zasobów oraz określa w szczególności: </w:t>
      </w:r>
    </w:p>
    <w:p w:rsidR="0078639D" w:rsidRDefault="004945CF">
      <w:pPr>
        <w:numPr>
          <w:ilvl w:val="1"/>
          <w:numId w:val="28"/>
        </w:numPr>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zakres dostępnych Wykonawcy zasobów podmiotu udostępniającego zasoby; </w:t>
      </w:r>
    </w:p>
    <w:p w:rsidR="0078639D" w:rsidRDefault="004945CF">
      <w:pPr>
        <w:numPr>
          <w:ilvl w:val="1"/>
          <w:numId w:val="28"/>
        </w:numPr>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sposób i okres udostępnienia Wykonawcy i wykorzystania przez niego zasobów podmiotu udostępniającego te zasoby przy wykonywaniu zamówienia:</w:t>
      </w:r>
    </w:p>
    <w:p w:rsidR="0078639D" w:rsidRDefault="004945CF">
      <w:pPr>
        <w:numPr>
          <w:ilvl w:val="1"/>
          <w:numId w:val="28"/>
        </w:numPr>
        <w:spacing w:after="0" w:line="276" w:lineRule="auto"/>
        <w:ind w:left="567" w:hanging="284"/>
        <w:jc w:val="both"/>
        <w:rPr>
          <w:rFonts w:ascii="Calibri" w:eastAsia="Times New Roman" w:hAnsi="Calibri" w:cs="Calibri"/>
          <w:color w:val="000000"/>
          <w:sz w:val="20"/>
          <w:szCs w:val="20"/>
          <w:lang w:eastAsia="pl-PL"/>
        </w:rPr>
      </w:pPr>
      <w:r>
        <w:rPr>
          <w:rFonts w:eastAsia="Times New Roman" w:cs="Calibri"/>
          <w:color w:val="000000"/>
          <w:sz w:val="20"/>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rFonts w:ascii="Calibri" w:eastAsia="Times New Roman" w:hAnsi="Calibri" w:cs="Calibri"/>
          <w:color w:val="000000"/>
          <w:sz w:val="20"/>
          <w:szCs w:val="20"/>
          <w:lang w:eastAsia="pl-PL"/>
        </w:rPr>
        <w:t>.</w:t>
      </w:r>
    </w:p>
    <w:p w:rsidR="0078639D" w:rsidRDefault="004945CF">
      <w:pPr>
        <w:keepNext/>
        <w:keepLines/>
        <w:numPr>
          <w:ilvl w:val="0"/>
          <w:numId w:val="6"/>
        </w:numPr>
        <w:shd w:val="clear" w:color="auto" w:fill="FFE599" w:themeFill="accent4" w:themeFillTint="66"/>
        <w:spacing w:after="0" w:line="276" w:lineRule="auto"/>
        <w:ind w:left="426" w:hanging="378"/>
        <w:jc w:val="center"/>
        <w:outlineLvl w:val="1"/>
        <w:rPr>
          <w:rFonts w:eastAsiaTheme="majorEastAsia" w:cstheme="minorHAnsi"/>
          <w:b/>
          <w:color w:val="2F5496" w:themeColor="accent1" w:themeShade="BF"/>
          <w:sz w:val="20"/>
          <w:szCs w:val="20"/>
        </w:rPr>
      </w:pPr>
      <w:bookmarkStart w:id="22" w:name="_Toc114403758"/>
      <w:r>
        <w:rPr>
          <w:rFonts w:eastAsiaTheme="majorEastAsia" w:cstheme="minorHAnsi"/>
          <w:b/>
          <w:color w:val="2F5496" w:themeColor="accent1" w:themeShade="BF"/>
          <w:sz w:val="20"/>
          <w:szCs w:val="20"/>
        </w:rPr>
        <w:t>PODSTAWY WYKLUCZENIA WYKONAWCY Z POSTĘPOWANIA</w:t>
      </w:r>
      <w:bookmarkEnd w:id="22"/>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bookmarkStart w:id="23" w:name="_Toc95987076"/>
      <w:bookmarkStart w:id="24" w:name="_Toc95923595"/>
      <w:bookmarkEnd w:id="23"/>
      <w:bookmarkEnd w:id="24"/>
      <w:r>
        <w:rPr>
          <w:rFonts w:eastAsia="Times New Roman" w:cs="Calibri"/>
          <w:color w:val="000000"/>
          <w:sz w:val="20"/>
          <w:szCs w:val="20"/>
          <w:lang w:eastAsia="pl-PL"/>
        </w:rPr>
        <w:t>Zamawiający wykluczy Wykonawcę z postępowania o udzielenie zamówienia, który spełniać będzie przesłanki i okoliczności wskazane w art. 108 ust. 1 PZP.</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Zamawiający </w:t>
      </w:r>
      <w:r>
        <w:rPr>
          <w:rFonts w:eastAsia="Times New Roman" w:cs="Calibri"/>
          <w:bCs/>
          <w:color w:val="000000"/>
          <w:sz w:val="20"/>
          <w:szCs w:val="20"/>
          <w:lang w:eastAsia="pl-PL"/>
        </w:rPr>
        <w:t xml:space="preserve">może </w:t>
      </w:r>
      <w:r>
        <w:rPr>
          <w:rFonts w:eastAsia="Times New Roman" w:cs="Calibri"/>
          <w:color w:val="000000"/>
          <w:sz w:val="20"/>
          <w:szCs w:val="20"/>
          <w:lang w:eastAsia="pl-PL"/>
        </w:rPr>
        <w:t>wykluczyć Wykonawcę z postępowania na podstawie art. 109 ust. 1 pkt 4)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Zamawiający </w:t>
      </w:r>
      <w:r>
        <w:rPr>
          <w:rFonts w:eastAsia="Times New Roman" w:cs="Calibri"/>
          <w:bCs/>
          <w:color w:val="000000"/>
          <w:sz w:val="20"/>
          <w:szCs w:val="20"/>
          <w:lang w:eastAsia="pl-PL"/>
        </w:rPr>
        <w:t xml:space="preserve">może </w:t>
      </w:r>
      <w:r>
        <w:rPr>
          <w:rFonts w:eastAsia="Times New Roman" w:cs="Calibri"/>
          <w:color w:val="000000"/>
          <w:sz w:val="20"/>
          <w:szCs w:val="20"/>
          <w:lang w:eastAsia="pl-PL"/>
        </w:rPr>
        <w:t>wykluczyć Wykonawcę z postępowania na podstawie art. 109 ust. 1 pkt 5) Pzp,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Zamawiający może wykluczyć Wykonawcę z postępowania na podstawie art. 109 ust. 1 pkt 6) Pzp, jeżeli występuje konflikt interesów w rozumieniu </w:t>
      </w:r>
      <w:hyperlink r:id="rId14">
        <w:r>
          <w:rPr>
            <w:rFonts w:eastAsia="Times New Roman" w:cs="Calibri"/>
            <w:color w:val="000000"/>
            <w:sz w:val="20"/>
            <w:szCs w:val="20"/>
            <w:lang w:eastAsia="pl-PL"/>
          </w:rPr>
          <w:t>art. 56 ust. 2</w:t>
        </w:r>
      </w:hyperlink>
      <w:r>
        <w:rPr>
          <w:rFonts w:eastAsia="Times New Roman" w:cs="Calibri"/>
          <w:color w:val="000000"/>
          <w:sz w:val="20"/>
          <w:szCs w:val="20"/>
          <w:lang w:eastAsia="pl-PL"/>
        </w:rPr>
        <w:t xml:space="preserve"> Pzp, którego nie można skutecznie wyeliminować w inny sposób niż przez wykluczenie wykonawcy.</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Zamawiający może wykluczyć Wykonawcę z postępowania na podstawie art. 109 ust. 1 pkt 7)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Zamawiający może wykluczyć Wykonawcę z postępowania na podstawie art. 109 ust. 1 pkt 8) Pzp,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Zamawiający może wykluczyć Wykonawcę z postępowania na podstawie art. 109 ust. 1 pkt 9) Pzp, który bezprawnie wpływał lub próbował wpływać na czynności zamawiającego lub próbował pozyskać lub pozyskał informacje poufne, mogące dać mu przewagę w postępowaniu o udzielenie zamówienia.</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Zamawiający może wykluczyć Wykonawcę z postępowania na podstawie art. 109 ust. 1 pkt 10) Pzp, który w wyniku lekkomyślności lub niedbalstwa przedstawił informacje wprowadzające w błąd, co mogło mieć istotny wpływ na decyzje podejmowane przez zamawiającego w postępowaniu o udzielenie zamówienia.</w:t>
      </w:r>
    </w:p>
    <w:p w:rsidR="0078639D" w:rsidRDefault="004945CF">
      <w:pPr>
        <w:numPr>
          <w:ilvl w:val="2"/>
          <w:numId w:val="62"/>
        </w:numPr>
        <w:spacing w:after="0" w:line="276" w:lineRule="auto"/>
        <w:ind w:left="284" w:hanging="284"/>
        <w:jc w:val="both"/>
        <w:rPr>
          <w:rFonts w:eastAsia="Times New Roman" w:cs="Calibri"/>
          <w:sz w:val="20"/>
          <w:szCs w:val="20"/>
          <w:lang w:eastAsia="pl-PL"/>
        </w:rPr>
      </w:pPr>
      <w:r>
        <w:rPr>
          <w:rFonts w:eastAsia="Times New Roman" w:cs="Calibri"/>
          <w:sz w:val="20"/>
          <w:szCs w:val="20"/>
          <w:lang w:eastAsia="pl-PL"/>
        </w:rPr>
        <w:t>W związku z wejściem w życie ustawy z dnia 13 kwietnia 2022 r. o szczególnych rozwiązaniach w zakresie przeciwdziałania wspieraniu agresji na Ukrainę oraz służących ochronie bezpieczeństwa narodowego (tj. Dz. U. z 2025 r. poz. 514 ze zm.) – dalej także „ustawa sankcyjna", oraz w związku z bezpośrednim stosowaniem art. 5k Rozporządzenia Rady (UE) nr 833/2014 z dnia 31 lipca 2014 r. dotyczącego środków ograniczających w związku z działaniami Rosji destabilizującymi sytuację na Ukrainę (Dz. Urz. UE L 229 z 31.07.2014, s. 1, ze zm.) – dalej „rozporządzenie 833/2014", w brzmieniu nadanym Rozporządzeniem Rady (UE) 2022/576 z dnia 8 kwietnia 2022r. zmieniającym rozporządzenie 833/2014 (Dz. Urz. UE L 111 z 8.4.2022, s. 1), Zamawiający wykluczy z postępowania:</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color w:val="000000"/>
        </w:rPr>
      </w:pPr>
      <w:r>
        <w:rPr>
          <w:rFonts w:asciiTheme="minorHAnsi" w:hAnsiTheme="minorHAnsi" w:cstheme="minorHAnsi"/>
          <w:color w:val="000000"/>
        </w:rPr>
        <w:lastRenderedPageBreak/>
        <w:t>W</w:t>
      </w:r>
      <w:r>
        <w:rPr>
          <w:rFonts w:asciiTheme="minorHAnsi" w:eastAsia="Calibri" w:hAnsiTheme="minorHAnsi" w:cstheme="minorHAnsi"/>
          <w:color w:val="000000"/>
        </w:rPr>
        <w:t xml:space="preserve">ykonawcę wymienionego w wykazach określonych w Rozporządzeniu Rady (UE) nr 765/2006 </w:t>
      </w:r>
      <w:r>
        <w:rPr>
          <w:rFonts w:asciiTheme="minorHAnsi" w:hAnsiTheme="minorHAnsi" w:cstheme="minorHAnsi"/>
          <w:color w:val="000000"/>
        </w:rPr>
        <w:br/>
      </w:r>
      <w:r>
        <w:rPr>
          <w:rFonts w:asciiTheme="minorHAnsi" w:eastAsia="Calibri" w:hAnsiTheme="minorHAnsi" w:cstheme="minorHAnsi"/>
          <w:color w:val="000000"/>
        </w:rPr>
        <w:t xml:space="preserve">z dnia 18 maja 2006 r. dotyczącym środków ograniczających w związku z sytuacją na Białorusi i udziałem Białorusi w agresji Rosji wobec Ukrainy (Dz. Urz. UE L 134 z 20.5.2006, s. 1, ze zm.) – dalej "rozporządzenie 765/2006" – i Rozporządzeniu Rady (UE) nr 269/2014 z dnia 17 marca 2014 r. w sprawie środków ograniczających w odniesieniu do działań podważających integralność terytorialną, suwerenność i niezależność Ukrainy lub im zagrażających (Dz. Urz. UE L 78 z 17.3.2014, s. 6, ze zm.) – dalej </w:t>
      </w:r>
      <w:r>
        <w:rPr>
          <w:rFonts w:asciiTheme="minorHAnsi" w:hAnsiTheme="minorHAnsi" w:cstheme="minorHAnsi"/>
          <w:color w:val="000000"/>
        </w:rPr>
        <w:t>„</w:t>
      </w:r>
      <w:r>
        <w:rPr>
          <w:rFonts w:asciiTheme="minorHAnsi" w:eastAsia="Calibri" w:hAnsiTheme="minorHAnsi" w:cstheme="minorHAnsi"/>
          <w:color w:val="000000"/>
        </w:rPr>
        <w:t>rozporządzenie 269/2014" – albo wpisanego na listę na podstawie decyzji w sprawie wpisu na listę rozstrzygającej o zastosowaniu środka, o którym mowa w art. 1 pkt 3 ustawy sankcyjnej;</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będącego obywatelem rosyjskim, osobą fizyczną zamieszkałą w Rosji lub osobą prawną, podmiotem lub organem z siedzibą w Rosji;</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prawa własności są bezpośrednio lub pośrednio w ponad 50% własnością obywatela rosyjskiego, osoby fizycznej zamieszkałej w Rosji lub osoby prawnej, podmiotu lub organu z siedzibą w Rosji;</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działającego w imieniu lub pod kierunkiem obywatela rosyjskiego, osoby fizycznej zamieszkałej w Rosji lub osoby prawnej, podmiotu lub organu z siedzibą w Rosji albo podmiotu, o którym mowa w pkt 3;</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prawa własności są bezpośrednio lub pośrednio w ponad 50% własnością podmiotu, o którym mowa w pkt 4;</w:t>
      </w:r>
    </w:p>
    <w:p w:rsidR="0078639D" w:rsidRDefault="004945CF">
      <w:pPr>
        <w:pStyle w:val="Akapitzlist"/>
        <w:numPr>
          <w:ilvl w:val="0"/>
          <w:numId w:val="63"/>
        </w:numPr>
        <w:spacing w:before="40" w:after="4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beneficjentem rzeczywistym w rozumieniu ustawy z dnia 1 marca 2018 r. o przeciwdziałaniu praniu pieniędzy oraz finansowaniu terroryzmu (t</w:t>
      </w:r>
      <w:r>
        <w:rPr>
          <w:rFonts w:asciiTheme="minorHAnsi" w:hAnsiTheme="minorHAnsi" w:cstheme="minorHAnsi"/>
          <w:color w:val="000000"/>
        </w:rPr>
        <w:t>j</w:t>
      </w:r>
      <w:r>
        <w:rPr>
          <w:rFonts w:asciiTheme="minorHAnsi" w:eastAsia="Calibri" w:hAnsiTheme="minorHAnsi" w:cstheme="minorHAnsi"/>
          <w:color w:val="000000"/>
        </w:rPr>
        <w:t>.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rsidR="0078639D" w:rsidRDefault="004945CF">
      <w:pPr>
        <w:pStyle w:val="Akapitzlist"/>
        <w:numPr>
          <w:ilvl w:val="0"/>
          <w:numId w:val="63"/>
        </w:numPr>
        <w:spacing w:before="40" w:after="80" w:line="276" w:lineRule="auto"/>
        <w:ind w:left="1080"/>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jednostką dominującą w rozumieniu art. 3 ust. 1 pkt 37 ustawy z dnia 29 września 1994 r. o rachunkowości (tj. Dz. U. z 2024 r. poz. 1865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rsidR="0078639D" w:rsidRDefault="004945CF">
      <w:pPr>
        <w:spacing w:after="0" w:line="276" w:lineRule="auto"/>
        <w:ind w:left="284"/>
        <w:jc w:val="both"/>
        <w:rPr>
          <w:rFonts w:eastAsia="Times New Roman" w:cs="Calibri"/>
          <w:sz w:val="20"/>
          <w:szCs w:val="20"/>
          <w:lang w:eastAsia="pl-PL"/>
        </w:rPr>
      </w:pPr>
      <w:r>
        <w:rPr>
          <w:rFonts w:eastAsia="Times New Roman" w:cs="Calibri"/>
          <w:sz w:val="20"/>
          <w:szCs w:val="20"/>
          <w:lang w:eastAsia="pl-PL"/>
        </w:rPr>
        <w:t>Zakazy, o których mowa w pkt 1–7, stosuje się również do podwykonawców, dostawców oraz podmiotów, na których zdolnościach technicznych lub zawodowych lub sytuacji finansowej lub ekonomicznej wykonawca polega, w przypadku, gdy przypada na nich ponad 10% wartości zamówienia – zgodnie z art. 5k ust. 1 zdanie drugie rozporządzenia 833/2014. Wykluczenie następuje na podstawie art. 7 ust. 3 ustawy sankcyjnej, na czas trwania okoliczności stanowiących podstawę wykluczenia. W celu potwierdzenia braku podstaw wykluczenia, o których mowa powyżej, Zamawiający zastrzega sobie możliwość samodzielnego badania ogólnodostępnych rejestrów, w tym CEIDG, KRS, CRBR, a także wykazów podmiotów objętych środkami ograniczającymi UE publikowanych na stronie EUR-Lex i przez właściwe organy. W uzasadnionych przypadkach Zamawiający wezwie wykonawcę do złożenia dokumentów lub oświadczeń potwierdzających brak podstaw wykluczenia.</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Jeżeli Zamawiający uzna za wątpliwy stan faktyczny lub prawny, to w uzasadnionych przypadkach będzie żądał koniecznych dokumentów i oświadczeń, w szczególności poświadczonego przez Wykonawcę za zgodność z oryginałem wyciągu z księgi udziałów (art. 188 Ksh) lub z rejestru akcji (art. 328</w:t>
      </w:r>
      <w:r>
        <w:rPr>
          <w:rFonts w:eastAsia="Times New Roman" w:cs="Calibri"/>
          <w:color w:val="000000"/>
          <w:sz w:val="20"/>
          <w:szCs w:val="20"/>
          <w:vertAlign w:val="superscript"/>
          <w:lang w:eastAsia="pl-PL"/>
        </w:rPr>
        <w:t>1</w:t>
      </w:r>
      <w:r>
        <w:rPr>
          <w:rFonts w:eastAsia="Times New Roman" w:cs="Calibri"/>
          <w:color w:val="000000"/>
          <w:sz w:val="20"/>
          <w:szCs w:val="20"/>
          <w:lang w:eastAsia="pl-PL"/>
        </w:rPr>
        <w:t>Ksh). W przypadku Wykonawcy zagranicznego, w razie potrzeby, Zamawiający wezwie Wykonawcę do złożenia dokumentów z odpowiedniego rejestru, odpowiednika rejestru sądowego, a w przypadku braku takiego rejestru, inny równoważny dokument wydany przez właściwy organ sądowy lub administracyjny kraju, w którym Wykonawca ma siedzibę lub miejsce zamieszkania wraz z tłumaczeniem na język polski.</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Wykluczenie Wykonawcy następuje zgodnie z art. 111 Pzp z uwzględnieniem art. 110 Pzp.</w:t>
      </w:r>
    </w:p>
    <w:p w:rsidR="0078639D" w:rsidRDefault="004945CF">
      <w:pPr>
        <w:numPr>
          <w:ilvl w:val="2"/>
          <w:numId w:val="62"/>
        </w:numPr>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W przypadku wspólnego ubiegania się wykonawców o udzielenie zamówienia Zamawiający bada, czy nie zachodzą podstawy wykluczenia wobec każdego z tych Wykonawców.</w:t>
      </w:r>
    </w:p>
    <w:p w:rsidR="0078639D" w:rsidRDefault="004945CF">
      <w:pPr>
        <w:keepNext/>
        <w:keepLines/>
        <w:numPr>
          <w:ilvl w:val="0"/>
          <w:numId w:val="6"/>
        </w:numPr>
        <w:shd w:val="clear" w:color="auto" w:fill="FFE599"/>
        <w:spacing w:after="0" w:line="276" w:lineRule="auto"/>
        <w:ind w:left="426" w:hanging="426"/>
        <w:jc w:val="center"/>
        <w:outlineLvl w:val="1"/>
        <w:rPr>
          <w:rFonts w:ascii="Calibri" w:eastAsia="Times New Roman" w:hAnsi="Calibri" w:cs="Calibri"/>
          <w:b/>
          <w:color w:val="2F5496"/>
          <w:sz w:val="20"/>
          <w:szCs w:val="20"/>
        </w:rPr>
      </w:pPr>
      <w:r>
        <w:rPr>
          <w:rFonts w:ascii="Calibri" w:eastAsia="Times New Roman" w:hAnsi="Calibri" w:cs="Calibri"/>
          <w:b/>
          <w:color w:val="2F5496"/>
          <w:sz w:val="20"/>
          <w:szCs w:val="20"/>
        </w:rPr>
        <w:t>OŚWIADCZENIE, O KTÓRYM MOWA W ART. 125 UST. 1 PZP</w:t>
      </w:r>
    </w:p>
    <w:p w:rsidR="0078639D" w:rsidRDefault="004945CF">
      <w:pPr>
        <w:numPr>
          <w:ilvl w:val="0"/>
          <w:numId w:val="11"/>
        </w:numPr>
        <w:spacing w:after="0" w:line="276" w:lineRule="auto"/>
        <w:ind w:left="284" w:hanging="284"/>
        <w:jc w:val="both"/>
        <w:rPr>
          <w:rFonts w:ascii="Calibri" w:eastAsia="Times New Roman" w:hAnsi="Calibri" w:cs="Calibri"/>
          <w:color w:val="7030A0"/>
          <w:sz w:val="20"/>
          <w:szCs w:val="20"/>
          <w:lang w:eastAsia="pl-PL"/>
        </w:rPr>
      </w:pPr>
      <w:r>
        <w:rPr>
          <w:rFonts w:ascii="Calibri" w:eastAsia="Times New Roman" w:hAnsi="Calibri" w:cs="Calibri"/>
          <w:sz w:val="20"/>
          <w:szCs w:val="20"/>
          <w:lang w:eastAsia="pl-PL"/>
        </w:rPr>
        <w:t>Zamawiający najpierw dokona badania i oceny ofert, a następnie dokona kwalifikacji podmiotowej wykonawcy, którego oferta została najwyżej oceniona, w zakresie braku podstaw wykluczenia oraz spełniania warunków udziału w postępowaniu. W</w:t>
      </w:r>
      <w:r>
        <w:rPr>
          <w:rFonts w:ascii="Calibri" w:eastAsia="Times New Roman" w:hAnsi="Calibri" w:cs="Calibri"/>
          <w:bCs/>
          <w:sz w:val="20"/>
          <w:szCs w:val="20"/>
          <w:lang w:eastAsia="pl-PL"/>
        </w:rPr>
        <w:t xml:space="preserve">obec powyższego </w:t>
      </w:r>
      <w:r>
        <w:rPr>
          <w:rFonts w:ascii="Calibri" w:eastAsia="Times New Roman" w:hAnsi="Calibri" w:cs="Calibri"/>
          <w:b/>
          <w:color w:val="7030A0"/>
          <w:sz w:val="20"/>
          <w:szCs w:val="20"/>
          <w:lang w:eastAsia="pl-PL"/>
        </w:rPr>
        <w:t>Wykonawcy nie są zobowiązani do złożenia wraz z ofertą oświadczenia, o którym mowa w art. 125 ust. 1 PZP.</w:t>
      </w:r>
    </w:p>
    <w:p w:rsidR="0078639D" w:rsidRDefault="004945CF">
      <w:pPr>
        <w:numPr>
          <w:ilvl w:val="0"/>
          <w:numId w:val="11"/>
        </w:numPr>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Oświadczenie, o którym mowa w art. 125 ust. 1 PZP, składa się na formularzu Jednolitego Europejskiego Dokumentu Zamówienia (zwanego w dalszej treści JEDZ), za pośrednictwem Platformy w postaci elektronicznej, opatrzonej kwalifikowanym podpisem elektronicznym.</w:t>
      </w:r>
    </w:p>
    <w:p w:rsidR="0078639D" w:rsidRDefault="004945CF">
      <w:pPr>
        <w:numPr>
          <w:ilvl w:val="0"/>
          <w:numId w:val="11"/>
        </w:numPr>
        <w:spacing w:after="0" w:line="276" w:lineRule="auto"/>
        <w:ind w:left="284" w:hanging="284"/>
        <w:jc w:val="both"/>
        <w:rPr>
          <w:rFonts w:ascii="Calibri" w:eastAsia="Times New Roman" w:hAnsi="Calibri" w:cs="Calibri"/>
          <w:color w:val="7030A0"/>
          <w:sz w:val="20"/>
          <w:szCs w:val="20"/>
          <w:lang w:eastAsia="pl-PL"/>
        </w:rPr>
      </w:pPr>
      <w:r>
        <w:rPr>
          <w:rFonts w:ascii="Calibri" w:eastAsia="Times New Roman" w:hAnsi="Calibri" w:cs="Calibri"/>
          <w:sz w:val="20"/>
          <w:szCs w:val="20"/>
          <w:lang w:eastAsia="pl-PL"/>
        </w:rPr>
        <w:t xml:space="preserve">Zamawiający </w:t>
      </w:r>
      <w:r>
        <w:rPr>
          <w:rFonts w:ascii="Calibri" w:eastAsia="Times New Roman" w:hAnsi="Calibri" w:cs="Calibri"/>
          <w:b/>
          <w:color w:val="7030A0"/>
          <w:sz w:val="20"/>
          <w:szCs w:val="20"/>
          <w:lang w:eastAsia="pl-PL"/>
        </w:rPr>
        <w:t>wezwie Wykonawcę</w:t>
      </w:r>
      <w:r>
        <w:rPr>
          <w:rFonts w:ascii="Calibri" w:eastAsia="Times New Roman" w:hAnsi="Calibri" w:cs="Calibri"/>
          <w:sz w:val="20"/>
          <w:szCs w:val="20"/>
          <w:lang w:eastAsia="pl-PL"/>
        </w:rPr>
        <w:t xml:space="preserve">, którego oferta została najwyżej oceniona do złożenia JEDZ. </w:t>
      </w:r>
    </w:p>
    <w:p w:rsidR="0078639D" w:rsidRDefault="004945CF">
      <w:pPr>
        <w:numPr>
          <w:ilvl w:val="0"/>
          <w:numId w:val="11"/>
        </w:numPr>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Zamieszczony na Platformie JEDZ w formacie XML należy wypełnić przy wykorzystaniu systemu dostępowego zamieszczonego na stronie internetowej: </w:t>
      </w:r>
      <w:hyperlink r:id="rId15">
        <w:r>
          <w:rPr>
            <w:rFonts w:ascii="Calibri" w:eastAsia="Times New Roman" w:hAnsi="Calibri" w:cs="Times New Roman"/>
            <w:sz w:val="20"/>
            <w:szCs w:val="20"/>
            <w:lang w:eastAsia="pl-PL"/>
          </w:rPr>
          <w:t>https://espd.uzp.gov.pl</w:t>
        </w:r>
      </w:hyperlink>
    </w:p>
    <w:p w:rsidR="0078639D" w:rsidRDefault="004945CF">
      <w:pPr>
        <w:numPr>
          <w:ilvl w:val="0"/>
          <w:numId w:val="11"/>
        </w:numPr>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bCs/>
          <w:sz w:val="20"/>
          <w:szCs w:val="20"/>
          <w:lang w:eastAsia="pl-PL"/>
        </w:rPr>
        <w:lastRenderedPageBreak/>
        <w:t>W celu wypełnienia JEDZ należy wykonać następujące czynności:</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Pobrać z platformy zakupowej plik w formacie XML o nazwie „JEDZ” – plik musi zostać zapisany na dysku Wykonawcy;</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Wejść na stronę https://espd.uzp.gov.pl;</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Wybrać odpowiedni język (pl – Polski);</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Wybrać opcję „Jestem wykonawcą”;</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Wybrać opcję „zaimportować ESPD”;</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Wykonawca musi „załadować dokument” – plik JEDZ.xml pobrany wcześniej z Platformy;</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 dokonaniu powyższych czynności należy kliknąć „Dalej”;</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Wypełnić formularz i wygenerować dokument elektroniczny który należy zapisać na dysku;</w:t>
      </w:r>
    </w:p>
    <w:p w:rsidR="0078639D" w:rsidRDefault="004945CF">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Pr>
          <w:rFonts w:ascii="Calibri" w:eastAsia="Times New Roman" w:hAnsi="Calibri" w:cs="Calibri"/>
          <w:color w:val="000000"/>
          <w:sz w:val="20"/>
          <w:szCs w:val="20"/>
          <w:lang w:eastAsia="pl-PL"/>
        </w:rPr>
        <w:t xml:space="preserve">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w:t>
      </w:r>
      <w:r>
        <w:rPr>
          <w:rFonts w:ascii="Calibri" w:eastAsia="Times New Roman" w:hAnsi="Calibri" w:cs="Calibri"/>
          <w:color w:val="000000"/>
          <w:sz w:val="20"/>
          <w:szCs w:val="20"/>
          <w:lang w:eastAsia="pl-PL"/>
        </w:rPr>
        <w:br/>
        <w:t xml:space="preserve">(tj. Dz. U. z 2024 r. poz. 1725) i </w:t>
      </w:r>
      <w:r>
        <w:rPr>
          <w:rFonts w:ascii="Calibri" w:eastAsia="Times New Roman" w:hAnsi="Calibri" w:cs="Calibri"/>
          <w:sz w:val="20"/>
          <w:szCs w:val="20"/>
          <w:lang w:eastAsia="pl-PL"/>
        </w:rPr>
        <w:t>złożyć za pośrednictwem Platformy.</w:t>
      </w:r>
    </w:p>
    <w:p w:rsidR="0078639D" w:rsidRDefault="004945CF">
      <w:pPr>
        <w:numPr>
          <w:ilvl w:val="0"/>
          <w:numId w:val="11"/>
        </w:numPr>
        <w:spacing w:after="0" w:line="276" w:lineRule="auto"/>
        <w:ind w:left="284" w:hanging="284"/>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JEDZ podmiotów składających ofertę wspólnie oraz podmiotów udostępniających potencjał, muszą mieć formę dokumentu elektronicznego, podpisanego kwalifikowanym podpisem elektronicznym przez każdego z nich, w zakresie w jakim potwierdzają okoliczności, o których mowa w treści art. 57 PZP. </w:t>
      </w:r>
    </w:p>
    <w:p w:rsidR="0078639D" w:rsidRDefault="004945CF">
      <w:pPr>
        <w:numPr>
          <w:ilvl w:val="0"/>
          <w:numId w:val="11"/>
        </w:numPr>
        <w:spacing w:after="0" w:line="276" w:lineRule="auto"/>
        <w:ind w:left="284" w:hanging="284"/>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JEDZ składa każdy z Wykonawców wspólnie ubiegających się o zamówienie w przypadku wspólnego ubiegania się </w:t>
      </w:r>
      <w:r>
        <w:rPr>
          <w:rFonts w:ascii="Calibri" w:eastAsia="Times New Roman" w:hAnsi="Calibri" w:cs="Calibri"/>
          <w:bCs/>
          <w:sz w:val="20"/>
          <w:szCs w:val="20"/>
          <w:lang w:eastAsia="pl-PL"/>
        </w:rPr>
        <w:br/>
        <w:t xml:space="preserve">o zamówienie. Oświadczenie to ma potwierdzać spełnianie warunków udziału w postępowaniu, w zakresie, w którym każdy </w:t>
      </w:r>
      <w:r>
        <w:rPr>
          <w:rFonts w:ascii="Calibri" w:eastAsia="Times New Roman" w:hAnsi="Calibri" w:cs="Calibri"/>
          <w:bCs/>
          <w:sz w:val="20"/>
          <w:szCs w:val="20"/>
          <w:lang w:eastAsia="pl-PL"/>
        </w:rPr>
        <w:br/>
        <w:t>z wykonawców wykazuje spełnianie warunków udziału w postępowaniu oraz brak podstaw wykluczenia w stosunku do każdego z wykonawców wspólnie ubiegających się o zamówienie.</w:t>
      </w:r>
    </w:p>
    <w:p w:rsidR="0078639D" w:rsidRDefault="004945CF">
      <w:pPr>
        <w:keepNext/>
        <w:keepLines/>
        <w:numPr>
          <w:ilvl w:val="0"/>
          <w:numId w:val="6"/>
        </w:numPr>
        <w:shd w:val="clear" w:color="auto" w:fill="FFE599"/>
        <w:spacing w:after="0" w:line="276" w:lineRule="auto"/>
        <w:ind w:left="426" w:hanging="426"/>
        <w:jc w:val="center"/>
        <w:outlineLvl w:val="1"/>
        <w:rPr>
          <w:rFonts w:ascii="Calibri" w:eastAsia="Times New Roman" w:hAnsi="Calibri" w:cs="Calibri"/>
          <w:b/>
          <w:color w:val="2F5496"/>
          <w:sz w:val="20"/>
          <w:szCs w:val="20"/>
        </w:rPr>
      </w:pPr>
      <w:r>
        <w:rPr>
          <w:rFonts w:ascii="Calibri" w:eastAsia="Times New Roman" w:hAnsi="Calibri" w:cs="Calibri"/>
          <w:b/>
          <w:color w:val="2F5496"/>
          <w:sz w:val="20"/>
          <w:szCs w:val="20"/>
        </w:rPr>
        <w:t>INFORMACJA O PODMIOTOWYCH ŚRODKACH DOWODOWYCH</w:t>
      </w:r>
    </w:p>
    <w:p w:rsidR="0078639D" w:rsidRDefault="004945CF">
      <w:pPr>
        <w:numPr>
          <w:ilvl w:val="0"/>
          <w:numId w:val="40"/>
        </w:numPr>
        <w:spacing w:after="0" w:line="276" w:lineRule="auto"/>
        <w:ind w:left="284" w:hanging="284"/>
        <w:jc w:val="both"/>
        <w:rPr>
          <w:rFonts w:eastAsia="Times New Roman" w:cstheme="minorHAnsi"/>
          <w:color w:val="7030A0"/>
          <w:sz w:val="20"/>
          <w:szCs w:val="20"/>
          <w:lang w:eastAsia="pl-PL"/>
        </w:rPr>
      </w:pPr>
      <w:r>
        <w:rPr>
          <w:rFonts w:eastAsia="Times New Roman" w:cstheme="minorHAnsi"/>
          <w:sz w:val="20"/>
          <w:szCs w:val="20"/>
          <w:lang w:eastAsia="pl-PL"/>
        </w:rPr>
        <w:t xml:space="preserve">Zamawiający wezwie wykonawcę, którego oferta została oceniona jako najkorzystniejsza, do złożenia w wyznaczonym terminie, </w:t>
      </w:r>
      <w:r>
        <w:rPr>
          <w:rFonts w:eastAsia="Times New Roman" w:cstheme="minorHAnsi"/>
          <w:bCs/>
          <w:sz w:val="20"/>
          <w:szCs w:val="20"/>
          <w:lang w:eastAsia="pl-PL"/>
        </w:rPr>
        <w:t>nie krótszym niż 10 dni od dnia wezwania</w:t>
      </w:r>
      <w:r>
        <w:rPr>
          <w:rFonts w:eastAsia="Times New Roman" w:cstheme="minorHAnsi"/>
          <w:sz w:val="20"/>
          <w:szCs w:val="20"/>
          <w:lang w:eastAsia="pl-PL"/>
        </w:rPr>
        <w:t>, aktualnych na dzień złożenia podmiotowych środków dowodowych, tj.:</w:t>
      </w:r>
    </w:p>
    <w:p w:rsidR="0078639D" w:rsidRDefault="004945CF">
      <w:pPr>
        <w:numPr>
          <w:ilvl w:val="0"/>
          <w:numId w:val="12"/>
        </w:numPr>
        <w:spacing w:after="0" w:line="276" w:lineRule="auto"/>
        <w:ind w:left="567" w:hanging="283"/>
        <w:jc w:val="both"/>
        <w:rPr>
          <w:rFonts w:eastAsia="Times New Roman" w:cstheme="minorHAnsi"/>
          <w:color w:val="7030A0"/>
          <w:sz w:val="20"/>
          <w:szCs w:val="20"/>
          <w:lang w:eastAsia="pl-PL"/>
        </w:rPr>
      </w:pPr>
      <w:r>
        <w:rPr>
          <w:rFonts w:eastAsia="Times New Roman" w:cstheme="minorHAnsi"/>
          <w:b/>
          <w:bCs/>
          <w:color w:val="7030A0"/>
          <w:sz w:val="20"/>
          <w:szCs w:val="20"/>
          <w:lang w:eastAsia="pl-PL"/>
        </w:rPr>
        <w:t>Informacja z Krajowego Rejestru Karnego</w:t>
      </w:r>
      <w:r>
        <w:rPr>
          <w:rFonts w:eastAsia="Times New Roman" w:cstheme="minorHAnsi"/>
          <w:color w:val="7030A0"/>
          <w:sz w:val="20"/>
          <w:szCs w:val="20"/>
          <w:lang w:eastAsia="pl-PL"/>
        </w:rPr>
        <w:t xml:space="preserve"> w zakresie określonym w art. 108 ust. 1 pkt 1 i 2 PZP oraz art. 108 ust. 1 pkt 4 PZP – dotyczącej orzeczenia zakazu ubiegania się o zamówienie publiczne tytułem środka karnego, sporządzonej nie wcześniej niż 6 miesięcy przed jej złożeniem;</w:t>
      </w:r>
    </w:p>
    <w:p w:rsidR="0078639D" w:rsidRDefault="004945CF">
      <w:pPr>
        <w:numPr>
          <w:ilvl w:val="0"/>
          <w:numId w:val="12"/>
        </w:numPr>
        <w:spacing w:after="0" w:line="276" w:lineRule="auto"/>
        <w:ind w:left="567" w:hanging="283"/>
        <w:jc w:val="both"/>
        <w:rPr>
          <w:rFonts w:eastAsia="Times New Roman" w:cstheme="minorHAnsi"/>
          <w:color w:val="7030A0"/>
          <w:sz w:val="20"/>
          <w:szCs w:val="20"/>
          <w:lang w:eastAsia="pl-PL"/>
        </w:rPr>
      </w:pPr>
      <w:r>
        <w:rPr>
          <w:rFonts w:eastAsia="Times New Roman" w:cstheme="minorHAnsi"/>
          <w:b/>
          <w:bCs/>
          <w:color w:val="7030A0"/>
          <w:sz w:val="20"/>
          <w:szCs w:val="20"/>
          <w:lang w:eastAsia="pl-PL"/>
        </w:rPr>
        <w:t>Odpis lub informacja</w:t>
      </w:r>
      <w:r>
        <w:rPr>
          <w:rFonts w:eastAsia="Times New Roman" w:cstheme="minorHAnsi"/>
          <w:color w:val="7030A0"/>
          <w:sz w:val="20"/>
          <w:szCs w:val="20"/>
          <w:lang w:eastAsia="pl-PL"/>
        </w:rPr>
        <w:t xml:space="preserve"> z Krajowego Rejestru Sądowego lub z Centralnej Ewidencji i Informacji o Działalności Gospodarczej, w zakresie art. 109 ust. 1 pkt 4 Pzp (otwarcie likwidacji, ogłoszenie upadłości, zarząd przez likwidatora lub sąd, układ z wierzycielami, zawieszenie działalności), sporządzona nie wcześniej niż 3 miesiące przed jej złożeniem;</w:t>
      </w:r>
    </w:p>
    <w:p w:rsidR="0078639D" w:rsidRDefault="004945CF" w:rsidP="000522D8">
      <w:pPr>
        <w:numPr>
          <w:ilvl w:val="0"/>
          <w:numId w:val="12"/>
        </w:numPr>
        <w:spacing w:after="0" w:line="276" w:lineRule="auto"/>
        <w:ind w:left="567" w:hanging="283"/>
        <w:jc w:val="both"/>
        <w:rPr>
          <w:rFonts w:eastAsia="Times New Roman" w:cstheme="minorHAnsi"/>
          <w:color w:val="7030A0"/>
          <w:sz w:val="20"/>
          <w:szCs w:val="20"/>
          <w:lang w:eastAsia="pl-PL"/>
        </w:rPr>
      </w:pPr>
      <w:r>
        <w:rPr>
          <w:rFonts w:eastAsia="Times New Roman" w:cstheme="minorHAnsi"/>
          <w:b/>
          <w:bCs/>
          <w:color w:val="7030A0"/>
          <w:sz w:val="20"/>
          <w:szCs w:val="20"/>
          <w:lang w:eastAsia="pl-PL"/>
        </w:rPr>
        <w:t>Oświadczenie Wykonawcy</w:t>
      </w:r>
      <w:r>
        <w:rPr>
          <w:rFonts w:eastAsia="Times New Roman" w:cstheme="minorHAnsi"/>
          <w:color w:val="7030A0"/>
          <w:sz w:val="20"/>
          <w:szCs w:val="20"/>
          <w:lang w:eastAsia="pl-PL"/>
        </w:rPr>
        <w:t xml:space="preserve"> o aktualności informacji zawartych w oświadczeniu wstępnym (art. 125 ust. 1 Pzp / JEDZ), w zakresie następujących podstaw wykluczenia wskazanych przez Zamawiającego: art. 108 ust. 1 pkt 3 Pzp, art. 108 ust. 1 pkt 4 Pzp (zakaz ubiegania się tytułem środka zapobiegawczego), art. 108 ust. 1 pkt 5 Pzp (porozumienie zakłócające konkurencję), art. 108 ust. 1 pkt 6 Pzp, art. 109 ust. 1 pkt 5, 6, 7, 8, 9 i 10 Pzp – </w:t>
      </w:r>
      <w:r>
        <w:rPr>
          <w:rFonts w:eastAsia="Times New Roman" w:cstheme="minorHAnsi"/>
          <w:b/>
          <w:bCs/>
          <w:color w:val="7030A0"/>
          <w:sz w:val="20"/>
          <w:szCs w:val="20"/>
          <w:lang w:eastAsia="pl-PL"/>
        </w:rPr>
        <w:t>według Załącznika nr 3A do SWZ;</w:t>
      </w:r>
    </w:p>
    <w:p w:rsidR="0078639D" w:rsidRDefault="004945CF" w:rsidP="000522D8">
      <w:pPr>
        <w:numPr>
          <w:ilvl w:val="0"/>
          <w:numId w:val="12"/>
        </w:numPr>
        <w:spacing w:after="0" w:line="276" w:lineRule="auto"/>
        <w:ind w:left="567" w:hanging="283"/>
        <w:jc w:val="both"/>
        <w:rPr>
          <w:rFonts w:eastAsia="Times New Roman" w:cstheme="minorHAnsi"/>
          <w:color w:val="7030A0"/>
          <w:sz w:val="20"/>
          <w:szCs w:val="20"/>
          <w:lang w:eastAsia="pl-PL"/>
        </w:rPr>
      </w:pPr>
      <w:r>
        <w:rPr>
          <w:rFonts w:eastAsia="Times New Roman" w:cstheme="minorHAnsi"/>
          <w:b/>
          <w:color w:val="7030A0"/>
          <w:sz w:val="20"/>
          <w:szCs w:val="20"/>
          <w:lang w:eastAsia="pl-PL"/>
        </w:rPr>
        <w:t>Oświadczenie Wykonawcy</w:t>
      </w:r>
      <w:r>
        <w:rPr>
          <w:rFonts w:eastAsia="Times New Roman" w:cstheme="minorHAnsi"/>
          <w:bCs/>
          <w:color w:val="7030A0"/>
          <w:sz w:val="20"/>
          <w:szCs w:val="20"/>
          <w:lang w:eastAsia="pl-PL"/>
        </w:rPr>
        <w:t xml:space="preserve"> w zakresie art. 108 ust. 1 pkt 5 PZP o braku przynależności do tej samej grupy kapitałowej </w:t>
      </w:r>
      <w:r>
        <w:rPr>
          <w:rFonts w:eastAsia="Times New Roman" w:cstheme="minorHAnsi"/>
          <w:bCs/>
          <w:color w:val="7030A0"/>
          <w:sz w:val="20"/>
          <w:szCs w:val="20"/>
          <w:lang w:eastAsia="pl-PL"/>
        </w:rPr>
        <w:br/>
      </w:r>
      <w:r>
        <w:rPr>
          <w:rFonts w:eastAsia="Times New Roman" w:cstheme="minorHAnsi"/>
          <w:color w:val="7030A0"/>
          <w:sz w:val="20"/>
          <w:szCs w:val="20"/>
          <w:lang w:eastAsia="pl-PL"/>
        </w:rPr>
        <w:t xml:space="preserve">w rozumieniu ustawy z dnia 16 lutego 2007 r. o ochronie konkurencji i konsumentów (tj. Dz. U. z 2024r. poz. 594 ze zm.) </w:t>
      </w:r>
      <w:r>
        <w:rPr>
          <w:rFonts w:eastAsia="Times New Roman" w:cstheme="minorHAnsi"/>
          <w:color w:val="7030A0"/>
          <w:sz w:val="20"/>
          <w:szCs w:val="20"/>
          <w:lang w:eastAsia="pl-PL"/>
        </w:rPr>
        <w:br/>
        <w:t xml:space="preserve">z innym Wykonawcą, który złożył odrębną ofertę albo oświadczenie o przynależności do tej samej grupy kapitałowej wraz </w:t>
      </w:r>
      <w:r>
        <w:rPr>
          <w:rFonts w:eastAsia="Times New Roman" w:cstheme="minorHAnsi"/>
          <w:color w:val="7030A0"/>
          <w:sz w:val="20"/>
          <w:szCs w:val="20"/>
          <w:lang w:eastAsia="pl-PL"/>
        </w:rPr>
        <w:br/>
        <w:t xml:space="preserve">z dokumentami lub informacjami potwierdzającymi przygotowanie oferty niezależnie od innego Wykonawcy należącego do tej samej grupy kapitałowej, w celu potwierdzenia braku podstawy do wykluczenia Wykonawcy z postępowania, </w:t>
      </w:r>
      <w:r>
        <w:rPr>
          <w:rFonts w:eastAsia="Times New Roman" w:cstheme="minorHAnsi"/>
          <w:color w:val="7030A0"/>
          <w:sz w:val="20"/>
          <w:szCs w:val="20"/>
          <w:lang w:eastAsia="pl-PL"/>
        </w:rPr>
        <w:br/>
        <w:t xml:space="preserve">o której mowa w art. 108 ust. 1 pkt 5 PZP – </w:t>
      </w:r>
      <w:r>
        <w:rPr>
          <w:rFonts w:eastAsia="Times New Roman" w:cstheme="minorHAnsi"/>
          <w:b/>
          <w:bCs/>
          <w:color w:val="7030A0"/>
          <w:sz w:val="20"/>
          <w:szCs w:val="20"/>
          <w:lang w:eastAsia="pl-PL"/>
        </w:rPr>
        <w:t>według Załącznika nr 3 do SWZ;</w:t>
      </w:r>
    </w:p>
    <w:p w:rsidR="0078639D" w:rsidRDefault="004945CF" w:rsidP="000522D8">
      <w:pPr>
        <w:numPr>
          <w:ilvl w:val="0"/>
          <w:numId w:val="12"/>
        </w:numPr>
        <w:spacing w:after="0" w:line="276" w:lineRule="auto"/>
        <w:ind w:left="567" w:hanging="283"/>
        <w:jc w:val="both"/>
        <w:rPr>
          <w:rFonts w:eastAsia="Times New Roman" w:cstheme="minorHAnsi"/>
          <w:b/>
          <w:color w:val="7030A0"/>
          <w:sz w:val="20"/>
          <w:szCs w:val="20"/>
          <w:lang w:eastAsia="pl-PL"/>
        </w:rPr>
      </w:pPr>
      <w:r>
        <w:rPr>
          <w:rFonts w:eastAsia="Times New Roman" w:cstheme="minorHAnsi"/>
          <w:b/>
          <w:color w:val="7030A0"/>
          <w:sz w:val="20"/>
          <w:szCs w:val="20"/>
          <w:lang w:eastAsia="pl-PL"/>
        </w:rPr>
        <w:t xml:space="preserve">Wykazu wykonanych dostaw, </w:t>
      </w:r>
      <w:r>
        <w:rPr>
          <w:rFonts w:eastAsia="Times New Roman" w:cstheme="minorHAnsi"/>
          <w:bCs/>
          <w:color w:val="7030A0"/>
          <w:sz w:val="20"/>
          <w:szCs w:val="20"/>
          <w:lang w:eastAsia="pl-PL"/>
        </w:rPr>
        <w:t xml:space="preserve">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 </w:t>
      </w:r>
      <w:r>
        <w:rPr>
          <w:rFonts w:eastAsia="Times New Roman" w:cstheme="minorHAnsi"/>
          <w:b/>
          <w:color w:val="7030A0"/>
          <w:sz w:val="20"/>
          <w:szCs w:val="20"/>
          <w:lang w:eastAsia="pl-PL"/>
        </w:rPr>
        <w:t>zgodnie z Załącznikiem nr 4 do SWZ.</w:t>
      </w:r>
    </w:p>
    <w:p w:rsidR="0078639D" w:rsidRPr="007E110C" w:rsidRDefault="004945CF" w:rsidP="000522D8">
      <w:pPr>
        <w:numPr>
          <w:ilvl w:val="0"/>
          <w:numId w:val="12"/>
        </w:numPr>
        <w:spacing w:after="0" w:line="276" w:lineRule="auto"/>
        <w:ind w:left="567" w:hanging="283"/>
        <w:jc w:val="both"/>
        <w:rPr>
          <w:rFonts w:eastAsia="Times New Roman" w:cstheme="minorHAnsi"/>
          <w:b/>
          <w:color w:val="7030A0"/>
          <w:sz w:val="20"/>
          <w:szCs w:val="20"/>
          <w:lang w:eastAsia="pl-PL"/>
        </w:rPr>
      </w:pPr>
      <w:r>
        <w:rPr>
          <w:rFonts w:eastAsia="Times New Roman" w:cstheme="minorHAnsi"/>
          <w:b/>
          <w:color w:val="7030A0"/>
          <w:sz w:val="20"/>
          <w:szCs w:val="20"/>
          <w:lang w:eastAsia="pl-PL"/>
        </w:rPr>
        <w:t xml:space="preserve">Oświadczenie własne Wykonawcy, </w:t>
      </w:r>
      <w:r w:rsidRPr="007E110C">
        <w:rPr>
          <w:rFonts w:eastAsia="Times New Roman" w:cstheme="minorHAnsi"/>
          <w:bCs/>
          <w:color w:val="7030A0"/>
          <w:sz w:val="20"/>
          <w:szCs w:val="20"/>
          <w:lang w:eastAsia="pl-PL"/>
        </w:rPr>
        <w:t>że Wykonawca nie podlega wykluczeniu z postępowania na podstawie art. 7 ust. 1 ustawy z dnia 13 kwietnia 2022 r. o szczególnych rozwiązaniach w zakresie przeciwdziałania wspieraniu agresji na Ukrainę oraz służących ochronie bezpieczeństwa narodowego (tj. Dz. U. z 2025 r. poz. 514 ze zm.) oraz art. 5k Rozporządzenia Rady (UE) nr 833/2014 z dnia 31 lipca 2014 r. (ze zm.), w szczególności, że:</w:t>
      </w:r>
    </w:p>
    <w:p w:rsidR="0078639D" w:rsidRPr="007E110C" w:rsidRDefault="004945CF" w:rsidP="007E110C">
      <w:pPr>
        <w:pStyle w:val="Akapitzlist"/>
        <w:numPr>
          <w:ilvl w:val="1"/>
          <w:numId w:val="64"/>
        </w:numPr>
        <w:spacing w:line="276" w:lineRule="auto"/>
        <w:ind w:left="1354"/>
        <w:jc w:val="both"/>
        <w:rPr>
          <w:rFonts w:asciiTheme="minorHAnsi" w:hAnsiTheme="minorHAnsi" w:cstheme="minorHAnsi"/>
          <w:color w:val="7030A0"/>
        </w:rPr>
      </w:pPr>
      <w:r w:rsidRPr="007E110C">
        <w:rPr>
          <w:rFonts w:asciiTheme="minorHAnsi" w:eastAsia="Calibri" w:hAnsiTheme="minorHAnsi" w:cstheme="minorHAnsi"/>
          <w:color w:val="7030A0"/>
        </w:rPr>
        <w:lastRenderedPageBreak/>
        <w:t xml:space="preserve">nie jest wymieniony w wykazach określonych w rozporządzeniu 765/2006 i rozporządzeniu 269/2014 ani nie został wpisany na krajową listę na podstawie decyzji w sprawie wpisu na listę rozstrzygającej </w:t>
      </w:r>
      <w:r w:rsidRPr="007E110C">
        <w:rPr>
          <w:rFonts w:asciiTheme="minorHAnsi" w:eastAsia="Calibri" w:hAnsiTheme="minorHAnsi" w:cstheme="minorHAnsi"/>
          <w:color w:val="7030A0"/>
        </w:rPr>
        <w:br/>
        <w:t>o zastosowaniu środka, o którym mowa w art. 1 pkt 3 ustawy sankcyjnej;</w:t>
      </w:r>
    </w:p>
    <w:p w:rsidR="0078639D" w:rsidRPr="007E110C" w:rsidRDefault="004945CF" w:rsidP="007E110C">
      <w:pPr>
        <w:pStyle w:val="Akapitzlist"/>
        <w:numPr>
          <w:ilvl w:val="1"/>
          <w:numId w:val="64"/>
        </w:numPr>
        <w:spacing w:line="276" w:lineRule="auto"/>
        <w:ind w:left="1354"/>
        <w:jc w:val="both"/>
        <w:rPr>
          <w:rFonts w:asciiTheme="minorHAnsi" w:hAnsiTheme="minorHAnsi" w:cstheme="minorHAnsi"/>
          <w:color w:val="7030A0"/>
        </w:rPr>
      </w:pPr>
      <w:r w:rsidRPr="007E110C">
        <w:rPr>
          <w:rFonts w:asciiTheme="minorHAnsi" w:eastAsia="Calibri" w:hAnsiTheme="minorHAnsi" w:cstheme="minorHAnsi"/>
          <w:color w:val="7030A0"/>
        </w:rPr>
        <w:t>nie jest obywatelem rosyjskim, osobą fizyczną zamieszkałą w Rosji ani osobą prawną z siedzibą w Rosji; prawa własności mojego przedsiębiorstwa nie są bezpośrednio ani pośrednio w ponad 50% własnością podmiotów rosyjskich; nie działa w imieniu ani na polecenie podmiotów rosyjskich ani podmiotów przez nie kontrolowanych;</w:t>
      </w:r>
    </w:p>
    <w:p w:rsidR="0078639D" w:rsidRPr="007E110C" w:rsidRDefault="004945CF" w:rsidP="007E110C">
      <w:pPr>
        <w:pStyle w:val="Akapitzlist"/>
        <w:numPr>
          <w:ilvl w:val="1"/>
          <w:numId w:val="64"/>
        </w:numPr>
        <w:spacing w:line="276" w:lineRule="auto"/>
        <w:ind w:left="1354"/>
        <w:jc w:val="both"/>
        <w:rPr>
          <w:rFonts w:asciiTheme="minorHAnsi" w:hAnsiTheme="minorHAnsi" w:cstheme="minorHAnsi"/>
          <w:color w:val="7030A0"/>
        </w:rPr>
      </w:pPr>
      <w:r w:rsidRPr="007E110C">
        <w:rPr>
          <w:rFonts w:asciiTheme="minorHAnsi" w:eastAsia="Calibri" w:hAnsiTheme="minorHAnsi" w:cstheme="minorHAnsi"/>
          <w:color w:val="7030A0"/>
        </w:rPr>
        <w:t>beneficjentem rzeczywistym nie jest osoba wymieniona w wykazach określonych w rozporządzeniu 765/2006 i rozporządzeniu 269/2014 ani wpisana na krajową listę sankcyjną;</w:t>
      </w:r>
    </w:p>
    <w:p w:rsidR="0078639D" w:rsidRPr="007E110C" w:rsidRDefault="004945CF" w:rsidP="007E110C">
      <w:pPr>
        <w:pStyle w:val="Akapitzlist"/>
        <w:numPr>
          <w:ilvl w:val="1"/>
          <w:numId w:val="64"/>
        </w:numPr>
        <w:spacing w:line="276" w:lineRule="auto"/>
        <w:ind w:left="1354"/>
        <w:jc w:val="both"/>
        <w:rPr>
          <w:rFonts w:asciiTheme="minorHAnsi" w:hAnsiTheme="minorHAnsi" w:cstheme="minorHAnsi"/>
          <w:color w:val="7030A0"/>
        </w:rPr>
      </w:pPr>
      <w:r w:rsidRPr="007E110C">
        <w:rPr>
          <w:rFonts w:asciiTheme="minorHAnsi" w:eastAsia="Calibri" w:hAnsiTheme="minorHAnsi" w:cstheme="minorHAnsi"/>
          <w:color w:val="7030A0"/>
        </w:rPr>
        <w:t>jednostką dominującą nie jest podmiot wymieniony w wykazach określonych w rozporządzeniu 765/2006 i rozporządzeniu 269/2014 ani wpisany na krajową listę sankcyjną.</w:t>
      </w:r>
    </w:p>
    <w:p w:rsidR="0078639D" w:rsidRDefault="004945CF" w:rsidP="000522D8">
      <w:pPr>
        <w:numPr>
          <w:ilvl w:val="0"/>
          <w:numId w:val="40"/>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W przypadku wskazania przez Wykonawcę oświadczeń lub dokumentów:</w:t>
      </w:r>
    </w:p>
    <w:p w:rsidR="0078639D" w:rsidRDefault="004945CF" w:rsidP="000522D8">
      <w:pPr>
        <w:numPr>
          <w:ilvl w:val="0"/>
          <w:numId w:val="13"/>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w formie elektronicznej pod określonymi adresami internetowymi ogólnodostępnych i bezpłatnych baz danych - Zamawiający pobiera samodzielnie z tych baz danych wskazane przez Wykonawcę oświadczenia lub dokumenty,</w:t>
      </w:r>
    </w:p>
    <w:p w:rsidR="0078639D" w:rsidRDefault="004945CF" w:rsidP="000522D8">
      <w:pPr>
        <w:numPr>
          <w:ilvl w:val="0"/>
          <w:numId w:val="13"/>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w formie elektronicznej pod określonymi adresami internetowymi ogólnodostępnych i bezpłatnych baz danych w języku innym niż polski - Zamawiający żąda od Wykonawcy przedstawienia tłumaczenia na język polski wskazanych przez Wykonawcę i pobranych samodzielnie przez Zamawiającego dokumentów.</w:t>
      </w:r>
    </w:p>
    <w:p w:rsidR="0078639D" w:rsidRDefault="004945CF" w:rsidP="000522D8">
      <w:pPr>
        <w:numPr>
          <w:ilvl w:val="0"/>
          <w:numId w:val="40"/>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 xml:space="preserve">Jeżeli Wykonawca ma siedzibę lub miejsce zamieszkania poza granicami Rzeczypospolitej Polskiej, zamiast: </w:t>
      </w:r>
    </w:p>
    <w:p w:rsidR="0078639D" w:rsidRDefault="004945CF" w:rsidP="000522D8">
      <w:pPr>
        <w:numPr>
          <w:ilvl w:val="1"/>
          <w:numId w:val="29"/>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 xml:space="preserve">informacji z Krajowego Rejestru Karnego, składa informację z odpowiedniego rejestru, takiego jak rejestr sądowy albo - w przypadku braku takiego rejestru - inny równoważny dokument wydany przez właściwy organ sądowy lub administracyjny kraju, w którym Wykonawca ma siedzibę lub miejsce zamieszkania, w zakresie, o którym mowa powyżej, </w:t>
      </w:r>
    </w:p>
    <w:p w:rsidR="0078639D" w:rsidRDefault="004945CF" w:rsidP="000522D8">
      <w:pPr>
        <w:numPr>
          <w:ilvl w:val="1"/>
          <w:numId w:val="29"/>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 xml:space="preserve">odpisu albo informacji z Krajowego Rejestru Sądowego lub z Centralnej Ewidencji i Informacji o Działalności Gospodarczej, o których mowa powyżej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rsidR="0078639D" w:rsidRDefault="004945CF">
      <w:pPr>
        <w:numPr>
          <w:ilvl w:val="0"/>
          <w:numId w:val="40"/>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Jeżeli w kraju, w którym Wykonawca ma siedzibę lub miejsce zamieszkania, nie wydaje się dokumentów lub gdy dokumenty te nie odnoszą się do wszystkich przypadków, o których mowa w art. 108 ust. 1 pkt 1,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 jeżeli w kraju, w którym Wykonawca ma siedzibę lub miejsce zamieszkania nie ma przepisów o oświadczeniu pod przysięgą - złożone przed organem sądowym lub administracyjnym, notariuszem, organem samorządu zawodowego lub gospodarczego, właściwym ze względu na siedzibę lub miejsce zamieszkania Wykonawcy.</w:t>
      </w:r>
    </w:p>
    <w:p w:rsidR="0078639D" w:rsidRDefault="004945CF">
      <w:pPr>
        <w:numPr>
          <w:ilvl w:val="0"/>
          <w:numId w:val="40"/>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Wykonawca, którego oferta zostanie najwyżej oceniona, na wezwanie Zamawiającego - zobowiązany będzie złożyć zobowiązanie i dokumenty podmiotu, na zdolności lub sytuację którego Wykonawca powoływał się w celu wykazania spełniania warunków udziału w postępowaniu, na potwierdzenie braku podstaw wykluczenia z postępowania tego podmiotu, w zakresie wskazanym w niniejszej SWZ dla Wykonawcy. Wykonawca zobowiązany będzie również złożyć dokumenty tego podmiotu potwierdzające spełnianie warunków udziału w postępowaniu w zakresie zdolności lub sytuacji, na których Wykonawca polegał w celu wykazania spełniania tych warunków.</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25" w:name="_Toc114403760"/>
      <w:r>
        <w:rPr>
          <w:rFonts w:asciiTheme="minorHAnsi" w:hAnsiTheme="minorHAnsi" w:cstheme="minorHAnsi"/>
          <w:color w:val="2F5496" w:themeColor="accent1" w:themeShade="BF"/>
          <w:sz w:val="20"/>
          <w:szCs w:val="20"/>
        </w:rPr>
        <w:t>INFORMACJA O PRZEDMIOTOWYCH ŚRODKACH DOWODOWYCH</w:t>
      </w:r>
      <w:bookmarkEnd w:id="25"/>
    </w:p>
    <w:p w:rsidR="0078639D" w:rsidRDefault="004945CF">
      <w:pPr>
        <w:pStyle w:val="Akapitzlist"/>
        <w:numPr>
          <w:ilvl w:val="0"/>
          <w:numId w:val="45"/>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Zamawiający </w:t>
      </w:r>
      <w:r>
        <w:rPr>
          <w:rFonts w:asciiTheme="minorHAnsi" w:hAnsiTheme="minorHAnsi" w:cstheme="minorHAnsi"/>
          <w:b/>
          <w:bCs/>
          <w:color w:val="7030A0"/>
        </w:rPr>
        <w:t xml:space="preserve">wymaga </w:t>
      </w:r>
      <w:r>
        <w:rPr>
          <w:rFonts w:asciiTheme="minorHAnsi" w:hAnsiTheme="minorHAnsi" w:cstheme="minorHAnsi"/>
        </w:rPr>
        <w:t xml:space="preserve">przedmiotowych środków dowodowych. </w:t>
      </w:r>
      <w:r>
        <w:rPr>
          <w:rFonts w:asciiTheme="minorHAnsi" w:hAnsiTheme="minorHAnsi" w:cstheme="minorHAnsi"/>
          <w:b/>
          <w:bCs/>
          <w:color w:val="7030A0"/>
        </w:rPr>
        <w:t>Zamawiający przypomina, że Wykonawca ma obowiązek załączyć przedmiotowe środki dowodowe wraz z ofertą i zwraca uwagę na treść art. 107 ust. 3 PZP.</w:t>
      </w:r>
    </w:p>
    <w:p w:rsidR="0078639D" w:rsidRDefault="004945CF">
      <w:pPr>
        <w:pStyle w:val="Akapitzlist"/>
        <w:numPr>
          <w:ilvl w:val="0"/>
          <w:numId w:val="45"/>
        </w:numPr>
        <w:spacing w:line="276" w:lineRule="auto"/>
        <w:ind w:left="284" w:hanging="284"/>
        <w:jc w:val="both"/>
        <w:rPr>
          <w:rFonts w:asciiTheme="minorHAnsi" w:hAnsiTheme="minorHAnsi" w:cstheme="minorHAnsi"/>
        </w:rPr>
      </w:pPr>
      <w:r>
        <w:rPr>
          <w:rFonts w:asciiTheme="minorHAnsi" w:hAnsiTheme="minorHAnsi" w:cstheme="minorHAnsi"/>
        </w:rPr>
        <w:t xml:space="preserve">Przedmiotowe środki dowodowe potwierdzające spełnianie przez oferowane dostawy wymagań określonych przez Zamawiającego: </w:t>
      </w:r>
    </w:p>
    <w:p w:rsidR="0078639D" w:rsidRDefault="004945CF">
      <w:pPr>
        <w:pStyle w:val="Akapitzlist"/>
        <w:numPr>
          <w:ilvl w:val="1"/>
          <w:numId w:val="46"/>
        </w:numPr>
        <w:spacing w:line="276" w:lineRule="auto"/>
        <w:ind w:left="567" w:hanging="283"/>
        <w:jc w:val="both"/>
        <w:rPr>
          <w:rFonts w:asciiTheme="minorHAnsi" w:hAnsiTheme="minorHAnsi" w:cstheme="minorHAnsi"/>
          <w:color w:val="7030A0"/>
        </w:rPr>
      </w:pPr>
      <w:r>
        <w:rPr>
          <w:rFonts w:asciiTheme="minorHAnsi" w:hAnsiTheme="minorHAnsi" w:cstheme="minorHAnsi"/>
          <w:b/>
          <w:bCs/>
          <w:color w:val="7030A0"/>
        </w:rPr>
        <w:t>Deklaracja zgodności CE i/lub CE-IVD*</w:t>
      </w:r>
      <w:r>
        <w:rPr>
          <w:rFonts w:asciiTheme="minorHAnsi" w:hAnsiTheme="minorHAnsi" w:cstheme="minorHAnsi"/>
          <w:color w:val="7030A0"/>
        </w:rPr>
        <w:t xml:space="preserve"> dla zaoferowanego przedmiotu zamówienia (*</w:t>
      </w:r>
      <w:r>
        <w:rPr>
          <w:rFonts w:asciiTheme="minorHAnsi" w:hAnsiTheme="minorHAnsi" w:cstheme="minorHAnsi"/>
          <w:b/>
          <w:color w:val="7030A0"/>
        </w:rPr>
        <w:t>w zależności od przeznaczenia określonego przez producenta zaoferowanego przedmiotu zamówienia</w:t>
      </w:r>
      <w:r>
        <w:rPr>
          <w:rFonts w:asciiTheme="minorHAnsi" w:hAnsiTheme="minorHAnsi" w:cstheme="minorHAnsi"/>
          <w:color w:val="7030A0"/>
        </w:rPr>
        <w:t>).</w:t>
      </w:r>
    </w:p>
    <w:p w:rsidR="0078639D" w:rsidRDefault="004945CF">
      <w:pPr>
        <w:pStyle w:val="Akapitzlist"/>
        <w:numPr>
          <w:ilvl w:val="1"/>
          <w:numId w:val="46"/>
        </w:numPr>
        <w:spacing w:line="276" w:lineRule="auto"/>
        <w:ind w:left="567" w:hanging="283"/>
        <w:jc w:val="both"/>
        <w:rPr>
          <w:rFonts w:asciiTheme="minorHAnsi" w:hAnsiTheme="minorHAnsi" w:cstheme="minorHAnsi"/>
          <w:color w:val="7030A0"/>
        </w:rPr>
      </w:pPr>
      <w:r>
        <w:rPr>
          <w:rFonts w:asciiTheme="minorHAnsi" w:hAnsiTheme="minorHAnsi" w:cstheme="minorHAnsi"/>
          <w:b/>
          <w:bCs/>
          <w:color w:val="7030A0"/>
        </w:rPr>
        <w:t>Opis</w:t>
      </w:r>
      <w:r>
        <w:rPr>
          <w:rFonts w:asciiTheme="minorHAnsi" w:hAnsiTheme="minorHAnsi" w:cstheme="minorHAnsi"/>
          <w:color w:val="7030A0"/>
        </w:rPr>
        <w:t xml:space="preserve"> </w:t>
      </w:r>
      <w:r>
        <w:rPr>
          <w:rFonts w:asciiTheme="minorHAnsi" w:hAnsiTheme="minorHAnsi" w:cstheme="minorHAnsi"/>
          <w:b/>
          <w:bCs/>
          <w:color w:val="7030A0"/>
        </w:rPr>
        <w:t>zawierający szczegółowe dane/parametry przedmiotu zamówienia,</w:t>
      </w:r>
      <w:r>
        <w:rPr>
          <w:rFonts w:asciiTheme="minorHAnsi" w:hAnsiTheme="minorHAnsi" w:cstheme="minorHAnsi"/>
          <w:color w:val="7030A0"/>
        </w:rPr>
        <w:t xml:space="preserve"> które umożliwią potwierdzenie spełniania wymagań ustalonych przez Zamawiającego w OPZ oraz będą podstawą dokonania oceny jakościowe/technicznej (o ile dotyczy), w postaci ulotek informacyjnych, katalogów lub innych dokumentów dla wszystkich oferowanych dla dostawy pozycji stanowiących przedmiot zamówienia. Szczegółowe wymagania zawarte są </w:t>
      </w:r>
      <w:r>
        <w:rPr>
          <w:rFonts w:asciiTheme="minorHAnsi" w:hAnsiTheme="minorHAnsi" w:cstheme="minorHAnsi"/>
          <w:b/>
          <w:bCs/>
          <w:color w:val="7030A0"/>
        </w:rPr>
        <w:t>w Tomie III SWZ,</w:t>
      </w:r>
    </w:p>
    <w:p w:rsidR="0078639D" w:rsidRDefault="004945CF">
      <w:pPr>
        <w:pStyle w:val="Akapitzlist"/>
        <w:numPr>
          <w:ilvl w:val="1"/>
          <w:numId w:val="46"/>
        </w:numPr>
        <w:spacing w:line="276" w:lineRule="auto"/>
        <w:ind w:left="567" w:hanging="283"/>
        <w:jc w:val="both"/>
        <w:rPr>
          <w:rFonts w:asciiTheme="minorHAnsi" w:hAnsiTheme="minorHAnsi" w:cstheme="minorHAnsi"/>
          <w:color w:val="7030A0"/>
        </w:rPr>
      </w:pPr>
      <w:r>
        <w:rPr>
          <w:rFonts w:ascii="Calibri" w:hAnsi="Calibri" w:cs="Calibri"/>
          <w:b/>
          <w:bCs/>
          <w:color w:val="7030A0"/>
        </w:rPr>
        <w:t>Oświadczenie Wykonawcy</w:t>
      </w:r>
      <w:r>
        <w:rPr>
          <w:rFonts w:ascii="Calibri" w:hAnsi="Calibri" w:cs="Calibri"/>
          <w:color w:val="7030A0"/>
        </w:rPr>
        <w:t xml:space="preserve"> dotyczące </w:t>
      </w:r>
      <w:r>
        <w:rPr>
          <w:rFonts w:ascii="Calibri" w:hAnsi="Calibri" w:cs="Calibri"/>
          <w:bCs/>
          <w:color w:val="7030A0"/>
        </w:rPr>
        <w:t xml:space="preserve">posiadania/lub braku Certyfikatu </w:t>
      </w:r>
      <w:r>
        <w:rPr>
          <w:rFonts w:ascii="Calibri" w:hAnsi="Calibri" w:cs="Calibri"/>
          <w:color w:val="7030A0"/>
        </w:rPr>
        <w:t xml:space="preserve">ISO 14001 lub innego równoważnego certyfikatu zgodnie ze wzorem określonym w </w:t>
      </w:r>
      <w:r>
        <w:rPr>
          <w:rFonts w:ascii="Calibri" w:hAnsi="Calibri" w:cs="Calibri"/>
          <w:b/>
          <w:color w:val="7030A0"/>
        </w:rPr>
        <w:t>Załączniku nr 7</w:t>
      </w:r>
      <w:r>
        <w:rPr>
          <w:rFonts w:ascii="Calibri" w:hAnsi="Calibri" w:cs="Calibri"/>
          <w:color w:val="7030A0"/>
        </w:rPr>
        <w:t xml:space="preserve"> </w:t>
      </w:r>
      <w:r>
        <w:rPr>
          <w:rFonts w:ascii="Calibri" w:hAnsi="Calibri" w:cs="Calibri"/>
          <w:b/>
          <w:bCs/>
          <w:color w:val="7030A0"/>
        </w:rPr>
        <w:t>do SWZ</w:t>
      </w:r>
      <w:r>
        <w:rPr>
          <w:rFonts w:ascii="Calibri" w:hAnsi="Calibri" w:cs="Calibri"/>
          <w:color w:val="7030A0"/>
        </w:rPr>
        <w:t xml:space="preserve"> </w:t>
      </w:r>
      <w:r>
        <w:rPr>
          <w:rFonts w:asciiTheme="minorHAnsi" w:hAnsiTheme="minorHAnsi" w:cstheme="minorHAnsi"/>
          <w:bCs/>
          <w:color w:val="7030A0"/>
        </w:rPr>
        <w:t xml:space="preserve">– oświadczenie przedstawione przez Wykonawcę posłużą do dokonania oceny zgodnie z obowiązującymi Kryteriami oceny </w:t>
      </w:r>
      <w:r>
        <w:rPr>
          <w:rFonts w:ascii="Calibri" w:hAnsi="Calibri" w:cs="Calibri"/>
          <w:color w:val="7030A0"/>
        </w:rPr>
        <w:t>wskazanymi przez Zamawiającego w Szczegółowym Opisie Przedmiotu Zamówienia (SOPZ) dla poszczególnych Pakietów.</w:t>
      </w:r>
      <w:r>
        <w:rPr>
          <w:rFonts w:ascii="Calibri" w:hAnsi="Calibri" w:cs="Calibri"/>
          <w:b/>
          <w:i/>
          <w:color w:val="7030A0"/>
        </w:rPr>
        <w:t xml:space="preserve"> *jeśli dotyczy</w:t>
      </w:r>
    </w:p>
    <w:p w:rsidR="0078639D" w:rsidRDefault="004945CF">
      <w:pPr>
        <w:pStyle w:val="Akapitzlist"/>
        <w:numPr>
          <w:ilvl w:val="1"/>
          <w:numId w:val="46"/>
        </w:numPr>
        <w:spacing w:line="276" w:lineRule="auto"/>
        <w:ind w:left="567" w:hanging="283"/>
        <w:jc w:val="both"/>
        <w:rPr>
          <w:rFonts w:asciiTheme="minorHAnsi" w:hAnsiTheme="minorHAnsi" w:cstheme="minorHAnsi"/>
          <w:color w:val="7030A0"/>
        </w:rPr>
      </w:pPr>
      <w:r>
        <w:rPr>
          <w:rFonts w:asciiTheme="minorHAnsi" w:hAnsiTheme="minorHAnsi" w:cstheme="minorHAnsi"/>
          <w:b/>
          <w:bCs/>
          <w:color w:val="7030A0"/>
        </w:rPr>
        <w:lastRenderedPageBreak/>
        <w:t>Opis zaoferowanego przedmiotu zamówienia</w:t>
      </w:r>
      <w:r>
        <w:rPr>
          <w:rFonts w:asciiTheme="minorHAnsi" w:hAnsiTheme="minorHAnsi" w:cstheme="minorHAnsi"/>
          <w:color w:val="7030A0"/>
        </w:rPr>
        <w:t xml:space="preserve"> wraz ze wskazaniem spełniania parametrów określonych przez Zamawiającego –Wykaz parametrów technicznych - </w:t>
      </w:r>
      <w:r>
        <w:rPr>
          <w:rFonts w:asciiTheme="minorHAnsi" w:hAnsiTheme="minorHAnsi" w:cstheme="minorHAnsi"/>
          <w:b/>
          <w:bCs/>
          <w:color w:val="7030A0"/>
        </w:rPr>
        <w:t>Załącznik nr 5 do SWZ.</w:t>
      </w:r>
    </w:p>
    <w:p w:rsidR="0078639D" w:rsidRDefault="004945CF">
      <w:pPr>
        <w:pStyle w:val="Akapitzlist"/>
        <w:numPr>
          <w:ilvl w:val="0"/>
          <w:numId w:val="45"/>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akceptuje równoważne przedmiotowo środki dowodowe, jeżeli potwierdzają, że zaoferowany przedmiot dostawy spełnia określone przez Zamawiającego wymagania określone </w:t>
      </w:r>
      <w:r>
        <w:rPr>
          <w:rFonts w:asciiTheme="minorHAnsi" w:hAnsiTheme="minorHAnsi" w:cstheme="minorHAnsi"/>
          <w:bCs/>
        </w:rPr>
        <w:t xml:space="preserve">w </w:t>
      </w:r>
      <w:r>
        <w:rPr>
          <w:rFonts w:asciiTheme="minorHAnsi" w:hAnsiTheme="minorHAnsi" w:cstheme="minorHAnsi"/>
          <w:b/>
          <w:bCs/>
        </w:rPr>
        <w:t>Tomie III SWZ.</w:t>
      </w:r>
    </w:p>
    <w:p w:rsidR="0078639D" w:rsidRDefault="004945CF">
      <w:pPr>
        <w:pStyle w:val="Akapitzlist"/>
        <w:numPr>
          <w:ilvl w:val="0"/>
          <w:numId w:val="45"/>
        </w:numPr>
        <w:spacing w:line="276" w:lineRule="auto"/>
        <w:ind w:left="284" w:hanging="284"/>
        <w:jc w:val="both"/>
        <w:rPr>
          <w:rFonts w:asciiTheme="minorHAnsi" w:hAnsiTheme="minorHAnsi" w:cstheme="minorHAnsi"/>
        </w:rPr>
      </w:pPr>
      <w:r>
        <w:rPr>
          <w:rFonts w:asciiTheme="minorHAnsi" w:hAnsiTheme="minorHAnsi" w:cstheme="minorHAnsi"/>
        </w:rPr>
        <w:t>Zamawiający może żądać od Wykonawców wyjaśnień dotyczących treści przedmiotowych środków dowodowych.</w:t>
      </w:r>
    </w:p>
    <w:p w:rsidR="0078639D" w:rsidRDefault="004945CF">
      <w:pPr>
        <w:pStyle w:val="Akapitzlist"/>
        <w:numPr>
          <w:ilvl w:val="0"/>
          <w:numId w:val="45"/>
        </w:numPr>
        <w:spacing w:line="276" w:lineRule="auto"/>
        <w:ind w:left="284" w:hanging="284"/>
        <w:jc w:val="both"/>
        <w:rPr>
          <w:rFonts w:asciiTheme="minorHAnsi" w:hAnsiTheme="minorHAnsi" w:cstheme="minorHAnsi"/>
        </w:rPr>
      </w:pPr>
      <w:r>
        <w:rPr>
          <w:rFonts w:asciiTheme="minorHAnsi" w:hAnsiTheme="minorHAnsi" w:cstheme="minorHAnsi"/>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26" w:name="_Toc114403761"/>
      <w:bookmarkStart w:id="27" w:name="_Toc95987077"/>
      <w:bookmarkStart w:id="28" w:name="_Toc95923596"/>
      <w:r>
        <w:rPr>
          <w:rFonts w:asciiTheme="minorHAnsi" w:hAnsiTheme="minorHAnsi" w:cstheme="minorHAnsi"/>
          <w:color w:val="2F5496" w:themeColor="accent1" w:themeShade="BF"/>
          <w:sz w:val="20"/>
          <w:szCs w:val="20"/>
        </w:rPr>
        <w:t>TERMINY SKŁADANIA I ZWIĄZANIA OFERTĄ</w:t>
      </w:r>
      <w:bookmarkEnd w:id="26"/>
      <w:bookmarkEnd w:id="27"/>
      <w:bookmarkEnd w:id="28"/>
    </w:p>
    <w:p w:rsidR="0078639D" w:rsidRPr="00D27D83" w:rsidRDefault="004945CF">
      <w:pPr>
        <w:pStyle w:val="Akapitzlist"/>
        <w:numPr>
          <w:ilvl w:val="0"/>
          <w:numId w:val="14"/>
        </w:numPr>
        <w:spacing w:line="276" w:lineRule="auto"/>
        <w:ind w:left="284" w:hanging="284"/>
        <w:jc w:val="both"/>
        <w:rPr>
          <w:rFonts w:asciiTheme="minorHAnsi" w:hAnsiTheme="minorHAnsi" w:cstheme="minorHAnsi"/>
        </w:rPr>
      </w:pPr>
      <w:r>
        <w:rPr>
          <w:rFonts w:asciiTheme="minorHAnsi" w:hAnsiTheme="minorHAnsi" w:cstheme="minorHAnsi"/>
        </w:rPr>
        <w:t xml:space="preserve">Ofertę należy złożyć za pośrednictwem Platformy zakupowej w nieprzekraczalnym terminie: do </w:t>
      </w:r>
      <w:r w:rsidRPr="00D27D83">
        <w:rPr>
          <w:rFonts w:asciiTheme="minorHAnsi" w:hAnsiTheme="minorHAnsi" w:cstheme="minorHAnsi"/>
        </w:rPr>
        <w:t xml:space="preserve">dnia </w:t>
      </w:r>
      <w:sdt>
        <w:sdtPr>
          <w:rPr>
            <w:rFonts w:asciiTheme="minorHAnsi" w:hAnsiTheme="minorHAnsi" w:cstheme="minorHAnsi"/>
            <w:b/>
          </w:rPr>
          <w:id w:val="-2109182440"/>
          <w:placeholder>
            <w:docPart w:val="813D678526164F8FA3D45776D8D32BB0"/>
          </w:placeholder>
          <w:date w:fullDate="2026-05-18T00:00:00Z">
            <w:dateFormat w:val="dd.MM.yyyy"/>
            <w:lid w:val="pl-PL"/>
            <w:storeMappedDataAs w:val="dateTime"/>
            <w:calendar w:val="gregorian"/>
          </w:date>
        </w:sdtPr>
        <w:sdtContent>
          <w:r w:rsidR="00912856" w:rsidRPr="00D27D83">
            <w:rPr>
              <w:rFonts w:asciiTheme="minorHAnsi" w:hAnsiTheme="minorHAnsi" w:cstheme="minorHAnsi"/>
              <w:b/>
            </w:rPr>
            <w:t>18.05.2026</w:t>
          </w:r>
        </w:sdtContent>
      </w:sdt>
      <w:r w:rsidRPr="00D27D83">
        <w:rPr>
          <w:rFonts w:asciiTheme="minorHAnsi" w:hAnsiTheme="minorHAnsi" w:cstheme="minorHAnsi"/>
        </w:rPr>
        <w:t xml:space="preserve"> r. do godziny 11:00 - generowany według czasu lokalnego serwera synchronizowanego z zegarem Głównego Urzędu Miar.</w:t>
      </w:r>
    </w:p>
    <w:p w:rsidR="0078639D" w:rsidRPr="00D27D83" w:rsidRDefault="004945CF">
      <w:pPr>
        <w:pStyle w:val="Akapitzlist"/>
        <w:numPr>
          <w:ilvl w:val="0"/>
          <w:numId w:val="14"/>
        </w:numPr>
        <w:spacing w:line="276" w:lineRule="auto"/>
        <w:ind w:left="284" w:hanging="284"/>
        <w:jc w:val="both"/>
        <w:rPr>
          <w:rFonts w:asciiTheme="minorHAnsi" w:hAnsiTheme="minorHAnsi" w:cstheme="minorHAnsi"/>
        </w:rPr>
      </w:pPr>
      <w:r w:rsidRPr="00D27D83">
        <w:rPr>
          <w:rFonts w:asciiTheme="minorHAnsi" w:hAnsiTheme="minorHAnsi" w:cstheme="minorHAnsi"/>
        </w:rPr>
        <w:t xml:space="preserve">Wykonawca pozostaje związany ofertą od dnia </w:t>
      </w:r>
      <w:sdt>
        <w:sdtPr>
          <w:rPr>
            <w:rFonts w:asciiTheme="minorHAnsi" w:hAnsiTheme="minorHAnsi" w:cstheme="minorHAnsi"/>
            <w:b/>
          </w:rPr>
          <w:id w:val="-395428732"/>
          <w:placeholder>
            <w:docPart w:val="8A2081EB252C4228967A2742C10D6DA1"/>
          </w:placeholder>
          <w:date w:fullDate="2026-05-18T00:00:00Z">
            <w:dateFormat w:val="dd.MM.yyyy"/>
            <w:lid w:val="pl-PL"/>
            <w:storeMappedDataAs w:val="dateTime"/>
            <w:calendar w:val="gregorian"/>
          </w:date>
        </w:sdtPr>
        <w:sdtContent>
          <w:r w:rsidR="00912856" w:rsidRPr="00D27D83">
            <w:rPr>
              <w:rFonts w:asciiTheme="minorHAnsi" w:hAnsiTheme="minorHAnsi" w:cstheme="minorHAnsi"/>
              <w:b/>
            </w:rPr>
            <w:t>18.05.2026</w:t>
          </w:r>
        </w:sdtContent>
      </w:sdt>
      <w:r w:rsidRPr="00D27D83">
        <w:rPr>
          <w:rFonts w:asciiTheme="minorHAnsi" w:hAnsiTheme="minorHAnsi" w:cstheme="minorHAnsi"/>
        </w:rPr>
        <w:t xml:space="preserve">r. do dnia </w:t>
      </w:r>
      <w:sdt>
        <w:sdtPr>
          <w:rPr>
            <w:rFonts w:asciiTheme="minorHAnsi" w:hAnsiTheme="minorHAnsi" w:cstheme="minorHAnsi"/>
            <w:b/>
          </w:rPr>
          <w:id w:val="-1174495193"/>
          <w:placeholder>
            <w:docPart w:val="AAB623AEAE0F45ABAF7353005E4B55BD"/>
          </w:placeholder>
          <w:date w:fullDate="2026-08-15T00:00:00Z">
            <w:dateFormat w:val="dd.MM.yyyy"/>
            <w:lid w:val="pl-PL"/>
            <w:storeMappedDataAs w:val="dateTime"/>
            <w:calendar w:val="gregorian"/>
          </w:date>
        </w:sdtPr>
        <w:sdtContent>
          <w:r w:rsidR="00912856" w:rsidRPr="00D27D83">
            <w:rPr>
              <w:rFonts w:asciiTheme="minorHAnsi" w:hAnsiTheme="minorHAnsi" w:cstheme="minorHAnsi"/>
              <w:b/>
            </w:rPr>
            <w:t>15.08.2026</w:t>
          </w:r>
        </w:sdtContent>
      </w:sdt>
      <w:r w:rsidRPr="00D27D83">
        <w:rPr>
          <w:rFonts w:asciiTheme="minorHAnsi" w:hAnsiTheme="minorHAnsi" w:cstheme="minorHAnsi"/>
          <w:b/>
        </w:rPr>
        <w:t>r</w:t>
      </w:r>
      <w:r w:rsidRPr="00D27D83">
        <w:rPr>
          <w:rFonts w:asciiTheme="minorHAnsi" w:hAnsiTheme="minorHAnsi" w:cstheme="minorHAnsi"/>
        </w:rPr>
        <w:t xml:space="preserve">. </w:t>
      </w:r>
    </w:p>
    <w:p w:rsidR="0078639D" w:rsidRDefault="004945CF">
      <w:pPr>
        <w:pStyle w:val="Akapitzlist"/>
        <w:numPr>
          <w:ilvl w:val="0"/>
          <w:numId w:val="14"/>
        </w:numPr>
        <w:spacing w:line="276" w:lineRule="auto"/>
        <w:ind w:left="284" w:hanging="284"/>
        <w:jc w:val="both"/>
        <w:rPr>
          <w:rFonts w:asciiTheme="minorHAnsi" w:hAnsiTheme="minorHAnsi" w:cstheme="minorHAnsi"/>
        </w:rPr>
      </w:pPr>
      <w:r>
        <w:rPr>
          <w:rFonts w:asciiTheme="minorHAnsi" w:hAnsiTheme="minorHAnsi" w:cstheme="minorHAnsi"/>
        </w:rPr>
        <w:t>Bieg terminu związania ofertą rozpoczyna się wraz z upływem terminu składania ofert.</w:t>
      </w:r>
    </w:p>
    <w:p w:rsidR="0078639D" w:rsidRDefault="004945CF">
      <w:pPr>
        <w:pStyle w:val="Akapitzlist"/>
        <w:numPr>
          <w:ilvl w:val="0"/>
          <w:numId w:val="14"/>
        </w:numPr>
        <w:spacing w:line="276" w:lineRule="auto"/>
        <w:ind w:left="284" w:hanging="284"/>
        <w:jc w:val="both"/>
        <w:rPr>
          <w:rFonts w:asciiTheme="minorHAnsi" w:hAnsiTheme="minorHAnsi" w:cstheme="minorHAnsi"/>
        </w:rPr>
      </w:pPr>
      <w:r>
        <w:rPr>
          <w:rFonts w:ascii="Calibri" w:hAnsi="Calibri" w:cs="Calibri"/>
        </w:rPr>
        <w:t xml:space="preserve">Oferta </w:t>
      </w:r>
      <w:r>
        <w:rPr>
          <w:rFonts w:asciiTheme="minorHAnsi" w:hAnsiTheme="minorHAnsi" w:cstheme="minorHAnsi"/>
        </w:rPr>
        <w:t>złożona po terminie zostanie odrzucona na podstawie art. 226 ust. 1 pkt 1 PZP.</w:t>
      </w:r>
    </w:p>
    <w:p w:rsidR="0078639D" w:rsidRDefault="004945CF">
      <w:pPr>
        <w:pStyle w:val="Akapitzlist"/>
        <w:numPr>
          <w:ilvl w:val="0"/>
          <w:numId w:val="14"/>
        </w:numPr>
        <w:spacing w:line="276" w:lineRule="auto"/>
        <w:ind w:left="284" w:hanging="284"/>
        <w:jc w:val="both"/>
        <w:rPr>
          <w:rFonts w:asciiTheme="minorHAnsi" w:hAnsiTheme="minorHAnsi" w:cstheme="minorHAnsi"/>
        </w:rPr>
      </w:pPr>
      <w:r>
        <w:rPr>
          <w:rFonts w:asciiTheme="minorHAnsi" w:hAnsiTheme="minorHAnsi" w:cstheme="minorHAnsi"/>
        </w:rPr>
        <w:t xml:space="preserve">Wykonawca przed upływem terminu do składania ofert może zmienić lub wycofać ofertę na zasadach określonych </w:t>
      </w:r>
      <w:r>
        <w:rPr>
          <w:rFonts w:asciiTheme="minorHAnsi" w:hAnsiTheme="minorHAnsi" w:cstheme="minorHAnsi"/>
        </w:rPr>
        <w:br/>
        <w:t>w Regulaminie korzystania z Platformy.</w:t>
      </w:r>
    </w:p>
    <w:p w:rsidR="0078639D" w:rsidRDefault="004945CF">
      <w:pPr>
        <w:pStyle w:val="Akapitzlist"/>
        <w:numPr>
          <w:ilvl w:val="0"/>
          <w:numId w:val="14"/>
        </w:numPr>
        <w:spacing w:line="276" w:lineRule="auto"/>
        <w:ind w:left="284" w:hanging="284"/>
        <w:jc w:val="both"/>
        <w:rPr>
          <w:rFonts w:asciiTheme="minorHAnsi" w:hAnsiTheme="minorHAnsi" w:cstheme="minorHAnsi"/>
        </w:rPr>
      </w:pPr>
      <w:r>
        <w:rPr>
          <w:rFonts w:asciiTheme="minorHAnsi" w:hAnsiTheme="minorHAnsi" w:cstheme="minorHAnsi"/>
        </w:rPr>
        <w:t>Wykonawca nie może skutecznie wycofać oferty ani wprowadzić zmian w treści oferty po upływie terminu składania ofert.</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29" w:name="_Toc95987078"/>
      <w:bookmarkStart w:id="30" w:name="_Toc95923597"/>
      <w:bookmarkStart w:id="31" w:name="_Toc114403762"/>
      <w:r>
        <w:rPr>
          <w:rFonts w:asciiTheme="minorHAnsi" w:hAnsiTheme="minorHAnsi" w:cstheme="minorHAnsi"/>
          <w:color w:val="2F5496" w:themeColor="accent1" w:themeShade="BF"/>
          <w:sz w:val="20"/>
          <w:szCs w:val="20"/>
        </w:rPr>
        <w:t>OTWARCIE OFERT</w:t>
      </w:r>
      <w:bookmarkEnd w:id="29"/>
      <w:bookmarkEnd w:id="30"/>
      <w:bookmarkEnd w:id="31"/>
    </w:p>
    <w:p w:rsidR="0078639D" w:rsidRDefault="004945CF">
      <w:pPr>
        <w:pStyle w:val="Akapitzlist"/>
        <w:numPr>
          <w:ilvl w:val="0"/>
          <w:numId w:val="15"/>
        </w:numPr>
        <w:spacing w:line="276" w:lineRule="auto"/>
        <w:ind w:left="284" w:hanging="284"/>
        <w:jc w:val="both"/>
        <w:rPr>
          <w:rFonts w:asciiTheme="minorHAnsi" w:hAnsiTheme="minorHAnsi" w:cstheme="minorHAnsi"/>
        </w:rPr>
      </w:pPr>
      <w:r>
        <w:rPr>
          <w:rFonts w:asciiTheme="minorHAnsi" w:hAnsiTheme="minorHAnsi" w:cstheme="minorHAnsi"/>
        </w:rPr>
        <w:t xml:space="preserve">Otwarcie ofert na Platformie zakupowej dokonywane jest poprzez odszyfrowanie i otwarcie ofert nastąpi niezwłocznie po terminie składnia ofert. </w:t>
      </w:r>
    </w:p>
    <w:p w:rsidR="0078639D" w:rsidRDefault="004945CF">
      <w:pPr>
        <w:pStyle w:val="Akapitzlist"/>
        <w:numPr>
          <w:ilvl w:val="0"/>
          <w:numId w:val="15"/>
        </w:numPr>
        <w:spacing w:line="276" w:lineRule="auto"/>
        <w:ind w:left="284" w:hanging="284"/>
        <w:jc w:val="both"/>
        <w:rPr>
          <w:rFonts w:asciiTheme="minorHAnsi" w:hAnsiTheme="minorHAnsi" w:cstheme="minorHAnsi"/>
        </w:rPr>
      </w:pPr>
      <w:r>
        <w:rPr>
          <w:rFonts w:asciiTheme="minorHAnsi" w:hAnsiTheme="minorHAnsi" w:cstheme="minorHAnsi"/>
        </w:rPr>
        <w:t>W przypadku awarii Platformy (systemu), która powoduje brak możliwości otwarcia ofert w terminie określonym przez Zamawiającego, otwarcie ofert następuje niezwłocznie po usunięciu awarii i przywróceniu funkcjonalności Platformy.</w:t>
      </w:r>
    </w:p>
    <w:p w:rsidR="0078639D" w:rsidRDefault="004945CF">
      <w:pPr>
        <w:pStyle w:val="Akapitzlist"/>
        <w:numPr>
          <w:ilvl w:val="0"/>
          <w:numId w:val="15"/>
        </w:numPr>
        <w:spacing w:line="276" w:lineRule="auto"/>
        <w:ind w:left="284" w:hanging="284"/>
        <w:jc w:val="both"/>
        <w:rPr>
          <w:rFonts w:asciiTheme="minorHAnsi" w:hAnsiTheme="minorHAnsi" w:cstheme="minorHAnsi"/>
        </w:rPr>
      </w:pPr>
      <w:r>
        <w:rPr>
          <w:rFonts w:asciiTheme="minorHAnsi" w:hAnsiTheme="minorHAnsi" w:cstheme="minorHAnsi"/>
        </w:rPr>
        <w:t>Zamawiający najpóźniej przed otwarciem ofert zamieści na Platformie informację o kwocie, jaką zamierza przeznaczyć na sfinansowanie niniejszego zamówienia.</w:t>
      </w:r>
    </w:p>
    <w:p w:rsidR="0078639D" w:rsidRDefault="004945CF">
      <w:pPr>
        <w:pStyle w:val="Akapitzlist"/>
        <w:numPr>
          <w:ilvl w:val="0"/>
          <w:numId w:val="15"/>
        </w:numPr>
        <w:spacing w:line="276" w:lineRule="auto"/>
        <w:ind w:left="284" w:hanging="284"/>
        <w:jc w:val="both"/>
        <w:rPr>
          <w:rFonts w:asciiTheme="minorHAnsi" w:hAnsiTheme="minorHAnsi" w:cstheme="minorHAnsi"/>
        </w:rPr>
      </w:pPr>
      <w:r>
        <w:rPr>
          <w:rFonts w:asciiTheme="minorHAnsi" w:hAnsiTheme="minorHAnsi" w:cstheme="minorHAnsi"/>
        </w:rPr>
        <w:t>Niezwłocznie po otwarciu ofert Zamawiający zamieści na Platformie informacje dotyczące:</w:t>
      </w:r>
    </w:p>
    <w:p w:rsidR="0078639D" w:rsidRDefault="004945CF">
      <w:pPr>
        <w:pStyle w:val="Akapitzlist"/>
        <w:numPr>
          <w:ilvl w:val="0"/>
          <w:numId w:val="16"/>
        </w:numPr>
        <w:spacing w:line="276" w:lineRule="auto"/>
        <w:ind w:left="567" w:hanging="283"/>
        <w:jc w:val="both"/>
        <w:rPr>
          <w:rFonts w:asciiTheme="minorHAnsi" w:hAnsiTheme="minorHAnsi" w:cstheme="minorHAnsi"/>
        </w:rPr>
      </w:pPr>
      <w:r>
        <w:rPr>
          <w:rFonts w:asciiTheme="minorHAnsi" w:hAnsiTheme="minorHAnsi" w:cstheme="minorHAnsi"/>
        </w:rPr>
        <w:t>firm oraz adresów Wykonawców, którzy złożyli oferty w terminie;</w:t>
      </w:r>
    </w:p>
    <w:p w:rsidR="0078639D" w:rsidRDefault="004945CF">
      <w:pPr>
        <w:pStyle w:val="Akapitzlist"/>
        <w:numPr>
          <w:ilvl w:val="0"/>
          <w:numId w:val="16"/>
        </w:numPr>
        <w:spacing w:line="276" w:lineRule="auto"/>
        <w:ind w:left="567" w:hanging="283"/>
        <w:jc w:val="both"/>
        <w:rPr>
          <w:rFonts w:asciiTheme="minorHAnsi" w:hAnsiTheme="minorHAnsi" w:cstheme="minorHAnsi"/>
        </w:rPr>
      </w:pPr>
      <w:r>
        <w:rPr>
          <w:rFonts w:asciiTheme="minorHAnsi" w:hAnsiTheme="minorHAnsi" w:cstheme="minorHAnsi"/>
        </w:rPr>
        <w:t>ceny, terminu wykonania zamówienia, okresu gwarancji i warunków płatności zawartych w ofertach.</w:t>
      </w:r>
    </w:p>
    <w:p w:rsidR="0078639D" w:rsidRDefault="004945CF">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32" w:name="_Toc114403763"/>
      <w:bookmarkStart w:id="33" w:name="_Toc95987079"/>
      <w:r>
        <w:rPr>
          <w:rFonts w:asciiTheme="minorHAnsi" w:hAnsiTheme="minorHAnsi" w:cstheme="minorHAnsi"/>
          <w:color w:val="2F5496" w:themeColor="accent1" w:themeShade="BF"/>
          <w:sz w:val="20"/>
          <w:szCs w:val="20"/>
        </w:rPr>
        <w:t>OPIS KRYTERIÓW OCENY OFERT</w:t>
      </w:r>
      <w:bookmarkEnd w:id="32"/>
      <w:bookmarkEnd w:id="33"/>
    </w:p>
    <w:p w:rsidR="0078639D" w:rsidRDefault="004945CF">
      <w:pPr>
        <w:pStyle w:val="Akapitzlist"/>
        <w:numPr>
          <w:ilvl w:val="0"/>
          <w:numId w:val="17"/>
        </w:numPr>
        <w:spacing w:line="276" w:lineRule="auto"/>
        <w:ind w:left="284" w:hanging="284"/>
        <w:jc w:val="both"/>
        <w:rPr>
          <w:rFonts w:asciiTheme="minorHAnsi" w:hAnsiTheme="minorHAnsi" w:cstheme="minorHAnsi"/>
        </w:rPr>
      </w:pPr>
      <w:r>
        <w:rPr>
          <w:rFonts w:asciiTheme="minorHAnsi" w:hAnsiTheme="minorHAnsi" w:cstheme="minorHAnsi"/>
          <w:bCs/>
        </w:rPr>
        <w:t xml:space="preserve">Przy </w:t>
      </w:r>
      <w:r>
        <w:rPr>
          <w:rFonts w:asciiTheme="minorHAnsi" w:hAnsiTheme="minorHAnsi" w:cstheme="minorHAnsi"/>
        </w:rPr>
        <w:t>wyborze</w:t>
      </w:r>
      <w:r>
        <w:rPr>
          <w:rFonts w:asciiTheme="minorHAnsi" w:hAnsiTheme="minorHAnsi" w:cstheme="minorHAnsi"/>
          <w:bCs/>
        </w:rPr>
        <w:t xml:space="preserve"> oferty najkorzystniejszej, Zamawiający będzie kierował się poniższymi kryteriami oceny ofert.</w:t>
      </w:r>
    </w:p>
    <w:tbl>
      <w:tblPr>
        <w:tblW w:w="10206" w:type="dxa"/>
        <w:tblInd w:w="426" w:type="dxa"/>
        <w:tblLayout w:type="fixed"/>
        <w:tblCellMar>
          <w:left w:w="70" w:type="dxa"/>
          <w:right w:w="70" w:type="dxa"/>
        </w:tblCellMar>
        <w:tblLook w:val="0000"/>
      </w:tblPr>
      <w:tblGrid>
        <w:gridCol w:w="1559"/>
        <w:gridCol w:w="708"/>
        <w:gridCol w:w="7939"/>
      </w:tblGrid>
      <w:tr w:rsidR="0078639D">
        <w:trPr>
          <w:trHeight w:val="397"/>
        </w:trPr>
        <w:tc>
          <w:tcPr>
            <w:tcW w:w="1559" w:type="dxa"/>
            <w:tcBorders>
              <w:top w:val="single" w:sz="2" w:space="0" w:color="000000"/>
              <w:left w:val="single" w:sz="2" w:space="0" w:color="000000"/>
              <w:bottom w:val="single" w:sz="2" w:space="0" w:color="000000"/>
              <w:right w:val="single" w:sz="2" w:space="0" w:color="000000"/>
            </w:tcBorders>
            <w:shd w:val="clear" w:color="auto" w:fill="C5E0B3"/>
            <w:vAlign w:val="center"/>
          </w:tcPr>
          <w:p w:rsidR="0078639D" w:rsidRDefault="004945CF">
            <w:pPr>
              <w:spacing w:line="276" w:lineRule="auto"/>
              <w:contextualSpacing/>
              <w:rPr>
                <w:rFonts w:cstheme="minorHAnsi"/>
                <w:bCs/>
              </w:rPr>
            </w:pPr>
            <w:r>
              <w:rPr>
                <w:rFonts w:cstheme="minorHAnsi"/>
                <w:bCs/>
              </w:rPr>
              <w:t>Kryterium</w:t>
            </w:r>
          </w:p>
        </w:tc>
        <w:tc>
          <w:tcPr>
            <w:tcW w:w="708" w:type="dxa"/>
            <w:tcBorders>
              <w:top w:val="single" w:sz="2" w:space="0" w:color="000000"/>
              <w:left w:val="single" w:sz="2" w:space="0" w:color="000000"/>
              <w:bottom w:val="single" w:sz="2" w:space="0" w:color="000000"/>
              <w:right w:val="single" w:sz="2" w:space="0" w:color="000000"/>
            </w:tcBorders>
            <w:shd w:val="clear" w:color="auto" w:fill="C5E0B3"/>
            <w:vAlign w:val="center"/>
          </w:tcPr>
          <w:p w:rsidR="0078639D" w:rsidRDefault="004945CF">
            <w:pPr>
              <w:spacing w:line="276" w:lineRule="auto"/>
              <w:contextualSpacing/>
              <w:jc w:val="center"/>
              <w:rPr>
                <w:rFonts w:cstheme="minorHAnsi"/>
                <w:bCs/>
                <w:sz w:val="20"/>
                <w:szCs w:val="20"/>
              </w:rPr>
            </w:pPr>
            <w:r>
              <w:rPr>
                <w:rFonts w:cstheme="minorHAnsi"/>
                <w:bCs/>
                <w:sz w:val="20"/>
                <w:szCs w:val="20"/>
              </w:rPr>
              <w:t>Waga</w:t>
            </w:r>
          </w:p>
        </w:tc>
        <w:tc>
          <w:tcPr>
            <w:tcW w:w="7939" w:type="dxa"/>
            <w:tcBorders>
              <w:top w:val="single" w:sz="2" w:space="0" w:color="000000"/>
              <w:left w:val="single" w:sz="2" w:space="0" w:color="000000"/>
              <w:bottom w:val="single" w:sz="2" w:space="0" w:color="000000"/>
              <w:right w:val="single" w:sz="2" w:space="0" w:color="000000"/>
            </w:tcBorders>
            <w:shd w:val="clear" w:color="auto" w:fill="C5E0B3"/>
            <w:vAlign w:val="center"/>
          </w:tcPr>
          <w:p w:rsidR="0078639D" w:rsidRDefault="004945CF">
            <w:pPr>
              <w:spacing w:line="276" w:lineRule="auto"/>
              <w:contextualSpacing/>
              <w:jc w:val="center"/>
              <w:rPr>
                <w:rFonts w:cstheme="minorHAnsi"/>
                <w:bCs/>
                <w:sz w:val="20"/>
                <w:szCs w:val="20"/>
              </w:rPr>
            </w:pPr>
            <w:r>
              <w:rPr>
                <w:rFonts w:cstheme="minorHAnsi"/>
                <w:bCs/>
                <w:sz w:val="20"/>
                <w:szCs w:val="20"/>
              </w:rPr>
              <w:t>Opis metody przyznawania punktów</w:t>
            </w:r>
          </w:p>
        </w:tc>
      </w:tr>
      <w:tr w:rsidR="0078639D">
        <w:trPr>
          <w:trHeight w:val="21"/>
        </w:trPr>
        <w:tc>
          <w:tcPr>
            <w:tcW w:w="1559"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pPr>
              <w:widowControl w:val="0"/>
              <w:spacing w:line="276" w:lineRule="auto"/>
              <w:contextualSpacing/>
              <w:jc w:val="center"/>
              <w:textAlignment w:val="baseline"/>
              <w:rPr>
                <w:rFonts w:cstheme="minorHAnsi"/>
                <w:sz w:val="20"/>
                <w:szCs w:val="20"/>
              </w:rPr>
            </w:pPr>
            <w:r>
              <w:rPr>
                <w:rFonts w:cstheme="minorHAnsi"/>
                <w:sz w:val="20"/>
                <w:szCs w:val="20"/>
              </w:rPr>
              <w:t>Cena (C)</w:t>
            </w:r>
          </w:p>
        </w:tc>
        <w:tc>
          <w:tcPr>
            <w:tcW w:w="708"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pPr>
              <w:widowControl w:val="0"/>
              <w:spacing w:line="276" w:lineRule="auto"/>
              <w:contextualSpacing/>
              <w:jc w:val="center"/>
              <w:textAlignment w:val="baseline"/>
              <w:rPr>
                <w:rFonts w:cstheme="minorHAnsi"/>
                <w:b/>
                <w:bCs/>
                <w:sz w:val="20"/>
                <w:szCs w:val="20"/>
              </w:rPr>
            </w:pPr>
            <w:r>
              <w:rPr>
                <w:rFonts w:cstheme="minorHAnsi"/>
                <w:b/>
                <w:bCs/>
                <w:sz w:val="20"/>
                <w:szCs w:val="20"/>
              </w:rPr>
              <w:t>60%</w:t>
            </w:r>
          </w:p>
        </w:tc>
        <w:tc>
          <w:tcPr>
            <w:tcW w:w="7939" w:type="dxa"/>
            <w:tcBorders>
              <w:top w:val="single" w:sz="2" w:space="0" w:color="000000"/>
              <w:left w:val="single" w:sz="2" w:space="0" w:color="000000"/>
              <w:bottom w:val="single" w:sz="2" w:space="0" w:color="000000"/>
              <w:right w:val="single" w:sz="2" w:space="0" w:color="000000"/>
            </w:tcBorders>
            <w:shd w:val="clear" w:color="auto" w:fill="E2EFD9"/>
          </w:tcPr>
          <w:p w:rsidR="0078639D" w:rsidRDefault="004945CF" w:rsidP="000522D8">
            <w:pPr>
              <w:spacing w:line="276" w:lineRule="auto"/>
              <w:contextualSpacing/>
              <w:jc w:val="both"/>
              <w:rPr>
                <w:rFonts w:cstheme="minorHAnsi"/>
                <w:sz w:val="20"/>
                <w:szCs w:val="20"/>
              </w:rPr>
            </w:pPr>
            <w:r>
              <w:rPr>
                <w:rFonts w:cstheme="minorHAnsi"/>
                <w:sz w:val="20"/>
                <w:szCs w:val="20"/>
              </w:rPr>
              <w:t xml:space="preserve">Przy ocenie oferty najwyżej będzie punktowana ta, która proponuje najniższą cenę brutto za wykonanie przedmiotu zamówienia (otrzyma maksymalną liczbę punktów), pozostałe oferty – liczbę punktów wyliczoną wzoru: Cena = cena najniższa/cena badanej oferty x 100 x </w:t>
            </w:r>
            <w:r>
              <w:rPr>
                <w:rFonts w:cstheme="minorHAnsi"/>
                <w:b/>
                <w:bCs/>
                <w:sz w:val="20"/>
                <w:szCs w:val="20"/>
              </w:rPr>
              <w:t>60%</w:t>
            </w:r>
          </w:p>
        </w:tc>
      </w:tr>
      <w:tr w:rsidR="0078639D">
        <w:trPr>
          <w:trHeight w:val="499"/>
        </w:trPr>
        <w:tc>
          <w:tcPr>
            <w:tcW w:w="1559"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rsidP="000522D8">
            <w:pPr>
              <w:widowControl w:val="0"/>
              <w:spacing w:after="0" w:line="276" w:lineRule="auto"/>
              <w:contextualSpacing/>
              <w:jc w:val="center"/>
              <w:textAlignment w:val="baseline"/>
              <w:rPr>
                <w:rFonts w:cstheme="minorHAnsi"/>
                <w:sz w:val="20"/>
                <w:szCs w:val="20"/>
              </w:rPr>
            </w:pPr>
            <w:r>
              <w:rPr>
                <w:rFonts w:cstheme="minorHAnsi"/>
                <w:sz w:val="20"/>
                <w:szCs w:val="20"/>
              </w:rPr>
              <w:t>Gwarancja (G)</w:t>
            </w:r>
          </w:p>
        </w:tc>
        <w:tc>
          <w:tcPr>
            <w:tcW w:w="708"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rsidP="000522D8">
            <w:pPr>
              <w:widowControl w:val="0"/>
              <w:spacing w:after="0" w:line="276" w:lineRule="auto"/>
              <w:contextualSpacing/>
              <w:jc w:val="center"/>
              <w:textAlignment w:val="baseline"/>
              <w:rPr>
                <w:rFonts w:cstheme="minorHAnsi"/>
                <w:b/>
                <w:bCs/>
                <w:sz w:val="20"/>
                <w:szCs w:val="20"/>
              </w:rPr>
            </w:pPr>
            <w:r>
              <w:rPr>
                <w:rFonts w:cstheme="minorHAnsi"/>
                <w:b/>
                <w:bCs/>
                <w:sz w:val="20"/>
                <w:szCs w:val="20"/>
              </w:rPr>
              <w:t>30%</w:t>
            </w:r>
          </w:p>
        </w:tc>
        <w:tc>
          <w:tcPr>
            <w:tcW w:w="7939" w:type="dxa"/>
            <w:tcBorders>
              <w:top w:val="single" w:sz="2" w:space="0" w:color="000000"/>
              <w:left w:val="single" w:sz="2" w:space="0" w:color="000000"/>
              <w:bottom w:val="single" w:sz="2" w:space="0" w:color="000000"/>
              <w:right w:val="single" w:sz="2" w:space="0" w:color="000000"/>
            </w:tcBorders>
            <w:shd w:val="clear" w:color="auto" w:fill="E2EFD9"/>
          </w:tcPr>
          <w:p w:rsidR="0078639D" w:rsidRDefault="004945CF" w:rsidP="000522D8">
            <w:pPr>
              <w:spacing w:after="0" w:line="276" w:lineRule="auto"/>
              <w:rPr>
                <w:rFonts w:cstheme="minorHAnsi"/>
                <w:sz w:val="20"/>
                <w:szCs w:val="20"/>
              </w:rPr>
            </w:pPr>
            <w:r>
              <w:rPr>
                <w:rFonts w:cstheme="minorHAnsi"/>
                <w:sz w:val="20"/>
                <w:szCs w:val="20"/>
              </w:rPr>
              <w:t xml:space="preserve">Liczba punktów w kryterium </w:t>
            </w:r>
            <w:r>
              <w:rPr>
                <w:rFonts w:cstheme="minorHAnsi"/>
                <w:b/>
                <w:bCs/>
                <w:sz w:val="20"/>
                <w:szCs w:val="20"/>
              </w:rPr>
              <w:t>Gwarancja</w:t>
            </w:r>
            <w:r>
              <w:rPr>
                <w:rFonts w:cstheme="minorHAnsi"/>
                <w:sz w:val="20"/>
                <w:szCs w:val="20"/>
              </w:rPr>
              <w:t xml:space="preserve"> zostanie przyznany następująco: </w:t>
            </w:r>
          </w:p>
          <w:p w:rsidR="0078639D" w:rsidRDefault="004945CF" w:rsidP="000522D8">
            <w:pPr>
              <w:spacing w:after="0" w:line="276" w:lineRule="auto"/>
              <w:rPr>
                <w:rFonts w:cstheme="minorHAnsi"/>
                <w:sz w:val="20"/>
                <w:szCs w:val="20"/>
              </w:rPr>
            </w:pPr>
            <w:r>
              <w:rPr>
                <w:rFonts w:cstheme="minorHAnsi"/>
                <w:b/>
                <w:bCs/>
                <w:sz w:val="20"/>
                <w:szCs w:val="20"/>
              </w:rPr>
              <w:t xml:space="preserve">a) okres udzielonej gwarancji 24 miesiące – 0 pkt </w:t>
            </w:r>
          </w:p>
          <w:p w:rsidR="0078639D" w:rsidRDefault="004945CF" w:rsidP="000522D8">
            <w:pPr>
              <w:spacing w:after="0" w:line="276" w:lineRule="auto"/>
              <w:rPr>
                <w:rFonts w:cstheme="minorHAnsi"/>
                <w:b/>
                <w:bCs/>
                <w:sz w:val="20"/>
                <w:szCs w:val="20"/>
              </w:rPr>
            </w:pPr>
            <w:r>
              <w:rPr>
                <w:rFonts w:cstheme="minorHAnsi"/>
                <w:b/>
                <w:bCs/>
                <w:sz w:val="20"/>
                <w:szCs w:val="20"/>
              </w:rPr>
              <w:t xml:space="preserve">b) okres udzielonej gwarancji 36 miesięcy – 20 pkt </w:t>
            </w:r>
          </w:p>
          <w:p w:rsidR="0078639D" w:rsidRDefault="004945CF" w:rsidP="000522D8">
            <w:pPr>
              <w:spacing w:after="0" w:line="276" w:lineRule="auto"/>
              <w:rPr>
                <w:rFonts w:cstheme="minorHAnsi"/>
                <w:sz w:val="20"/>
                <w:szCs w:val="20"/>
              </w:rPr>
            </w:pPr>
            <w:r>
              <w:rPr>
                <w:rFonts w:cstheme="minorHAnsi"/>
                <w:b/>
                <w:bCs/>
                <w:sz w:val="20"/>
                <w:szCs w:val="20"/>
              </w:rPr>
              <w:t xml:space="preserve">c) okres udzielonej gwarancji 48 miesięcy – 30 pkt </w:t>
            </w:r>
          </w:p>
          <w:p w:rsidR="0078639D" w:rsidRPr="000522D8" w:rsidRDefault="004945CF" w:rsidP="000522D8">
            <w:pPr>
              <w:pStyle w:val="Default"/>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Zamawiający </w:t>
            </w:r>
            <w:r>
              <w:rPr>
                <w:rFonts w:asciiTheme="minorHAnsi" w:hAnsiTheme="minorHAnsi" w:cstheme="minorHAnsi"/>
                <w:b/>
                <w:bCs/>
                <w:sz w:val="20"/>
                <w:szCs w:val="20"/>
              </w:rPr>
              <w:t>wymaga minimum 24-miesięcznego</w:t>
            </w:r>
            <w:r>
              <w:rPr>
                <w:rFonts w:asciiTheme="minorHAnsi" w:hAnsiTheme="minorHAnsi" w:cstheme="minorHAnsi"/>
                <w:sz w:val="20"/>
                <w:szCs w:val="20"/>
              </w:rPr>
              <w:t xml:space="preserve"> okresu gwarancji (2lata). W przypadku podania przez Wykonawcę krótszego niż wymagany okres gwarancji lub niepodanie (brak wpisania) terminu gwarancji, oferta Wykonawcy zostanie odrzucona, jako niezgodna z SWZ mając na uwadze art. 226 ust. 1 pkt 5) ustawy Pzp. Maksymalną ilość punktów otrzyma wykonawca, który zaoferuje 48 miesięczny okres gwarancji. W przypadku dłuższego terminu gwarancji Zamawiający do oceny przyjmie, że Wykonawca udzielił 48 miesięcy gwarancji i przyzna 30 pkt.</w:t>
            </w:r>
          </w:p>
        </w:tc>
      </w:tr>
      <w:tr w:rsidR="0078639D">
        <w:trPr>
          <w:trHeight w:val="499"/>
        </w:trPr>
        <w:tc>
          <w:tcPr>
            <w:tcW w:w="1559"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rsidP="000522D8">
            <w:pPr>
              <w:widowControl w:val="0"/>
              <w:spacing w:after="0" w:line="276" w:lineRule="auto"/>
              <w:contextualSpacing/>
              <w:jc w:val="center"/>
              <w:textAlignment w:val="baseline"/>
              <w:rPr>
                <w:rFonts w:cstheme="minorHAnsi"/>
                <w:sz w:val="20"/>
                <w:szCs w:val="20"/>
              </w:rPr>
            </w:pPr>
            <w:r>
              <w:rPr>
                <w:rFonts w:cstheme="minorHAnsi"/>
                <w:sz w:val="20"/>
                <w:szCs w:val="20"/>
              </w:rPr>
              <w:t>Aspekty środowiskowe</w:t>
            </w:r>
          </w:p>
          <w:p w:rsidR="0078639D" w:rsidRDefault="004945CF" w:rsidP="000522D8">
            <w:pPr>
              <w:widowControl w:val="0"/>
              <w:spacing w:after="0" w:line="276" w:lineRule="auto"/>
              <w:contextualSpacing/>
              <w:jc w:val="center"/>
              <w:textAlignment w:val="baseline"/>
              <w:rPr>
                <w:rFonts w:cstheme="minorHAnsi"/>
                <w:sz w:val="20"/>
                <w:szCs w:val="20"/>
              </w:rPr>
            </w:pPr>
            <w:r>
              <w:rPr>
                <w:rFonts w:cstheme="minorHAnsi"/>
                <w:sz w:val="20"/>
                <w:szCs w:val="20"/>
              </w:rPr>
              <w:t>(AŚR)</w:t>
            </w:r>
          </w:p>
        </w:tc>
        <w:tc>
          <w:tcPr>
            <w:tcW w:w="708" w:type="dxa"/>
            <w:tcBorders>
              <w:top w:val="single" w:sz="2" w:space="0" w:color="000000"/>
              <w:left w:val="single" w:sz="2" w:space="0" w:color="000000"/>
              <w:bottom w:val="single" w:sz="2" w:space="0" w:color="000000"/>
              <w:right w:val="single" w:sz="2" w:space="0" w:color="000000"/>
            </w:tcBorders>
            <w:shd w:val="clear" w:color="auto" w:fill="E2EFD9"/>
            <w:vAlign w:val="center"/>
          </w:tcPr>
          <w:p w:rsidR="0078639D" w:rsidRDefault="004945CF" w:rsidP="000522D8">
            <w:pPr>
              <w:widowControl w:val="0"/>
              <w:spacing w:after="0" w:line="276" w:lineRule="auto"/>
              <w:contextualSpacing/>
              <w:jc w:val="center"/>
              <w:textAlignment w:val="baseline"/>
              <w:rPr>
                <w:rFonts w:cstheme="minorHAnsi"/>
                <w:b/>
                <w:bCs/>
                <w:sz w:val="20"/>
                <w:szCs w:val="20"/>
              </w:rPr>
            </w:pPr>
            <w:r>
              <w:rPr>
                <w:rFonts w:cstheme="minorHAnsi"/>
                <w:b/>
                <w:bCs/>
                <w:sz w:val="20"/>
                <w:szCs w:val="20"/>
              </w:rPr>
              <w:t>10%</w:t>
            </w:r>
          </w:p>
        </w:tc>
        <w:tc>
          <w:tcPr>
            <w:tcW w:w="7939" w:type="dxa"/>
            <w:tcBorders>
              <w:top w:val="single" w:sz="2" w:space="0" w:color="000000"/>
              <w:left w:val="single" w:sz="2" w:space="0" w:color="000000"/>
              <w:bottom w:val="single" w:sz="2" w:space="0" w:color="000000"/>
              <w:right w:val="single" w:sz="2" w:space="0" w:color="000000"/>
            </w:tcBorders>
            <w:shd w:val="clear" w:color="auto" w:fill="E2EFD9"/>
          </w:tcPr>
          <w:p w:rsidR="0078639D" w:rsidRDefault="004945CF" w:rsidP="000522D8">
            <w:pPr>
              <w:spacing w:after="0" w:line="276" w:lineRule="auto"/>
              <w:rPr>
                <w:rFonts w:cstheme="minorHAnsi"/>
                <w:sz w:val="20"/>
                <w:szCs w:val="20"/>
              </w:rPr>
            </w:pPr>
            <w:r>
              <w:rPr>
                <w:rFonts w:cstheme="minorHAnsi"/>
                <w:sz w:val="20"/>
                <w:szCs w:val="20"/>
              </w:rPr>
              <w:t xml:space="preserve">Liczba punktów w kryterium - </w:t>
            </w:r>
            <w:r>
              <w:rPr>
                <w:rFonts w:cstheme="minorHAnsi"/>
                <w:b/>
                <w:bCs/>
                <w:sz w:val="20"/>
                <w:szCs w:val="20"/>
              </w:rPr>
              <w:t>Aspekty środowiskowe</w:t>
            </w:r>
            <w:r>
              <w:rPr>
                <w:rFonts w:cstheme="minorHAnsi"/>
                <w:sz w:val="20"/>
                <w:szCs w:val="20"/>
              </w:rPr>
              <w:t xml:space="preserve"> zostanie przyznany następująco:</w:t>
            </w:r>
          </w:p>
          <w:p w:rsidR="0078639D" w:rsidRDefault="004945CF" w:rsidP="000522D8">
            <w:pPr>
              <w:spacing w:after="0" w:line="276" w:lineRule="auto"/>
              <w:rPr>
                <w:rFonts w:cstheme="minorHAnsi"/>
                <w:b/>
                <w:bCs/>
                <w:sz w:val="20"/>
                <w:szCs w:val="20"/>
              </w:rPr>
            </w:pPr>
            <w:r>
              <w:rPr>
                <w:rFonts w:cstheme="minorHAnsi"/>
                <w:b/>
                <w:bCs/>
                <w:sz w:val="20"/>
                <w:szCs w:val="20"/>
              </w:rPr>
              <w:t>Posiada (TAK) – 10 pkt</w:t>
            </w:r>
          </w:p>
          <w:p w:rsidR="0078639D" w:rsidRDefault="004945CF" w:rsidP="000522D8">
            <w:pPr>
              <w:spacing w:after="0" w:line="276" w:lineRule="auto"/>
              <w:rPr>
                <w:rFonts w:cstheme="minorHAnsi"/>
                <w:b/>
                <w:bCs/>
                <w:sz w:val="20"/>
                <w:szCs w:val="20"/>
              </w:rPr>
            </w:pPr>
            <w:r>
              <w:rPr>
                <w:rFonts w:cstheme="minorHAnsi"/>
                <w:b/>
                <w:bCs/>
                <w:sz w:val="20"/>
                <w:szCs w:val="20"/>
              </w:rPr>
              <w:t>Nie posiada (NIE) – 0 pkt</w:t>
            </w:r>
          </w:p>
          <w:p w:rsidR="0078639D" w:rsidRDefault="004945CF" w:rsidP="000522D8">
            <w:pPr>
              <w:spacing w:after="0" w:line="276" w:lineRule="auto"/>
              <w:jc w:val="both"/>
              <w:rPr>
                <w:rFonts w:cstheme="minorHAnsi"/>
                <w:sz w:val="20"/>
                <w:szCs w:val="20"/>
              </w:rPr>
            </w:pPr>
            <w:r>
              <w:rPr>
                <w:rFonts w:cstheme="minorHAnsi"/>
                <w:b/>
                <w:bCs/>
                <w:sz w:val="20"/>
                <w:szCs w:val="20"/>
              </w:rPr>
              <w:t>Aspekty środowiskowe</w:t>
            </w:r>
            <w:r>
              <w:rPr>
                <w:rFonts w:cstheme="minorHAnsi"/>
                <w:sz w:val="20"/>
                <w:szCs w:val="20"/>
              </w:rPr>
              <w:t xml:space="preserve"> – </w:t>
            </w:r>
            <w:r>
              <w:rPr>
                <w:rFonts w:cstheme="minorHAnsi"/>
                <w:b/>
                <w:bCs/>
                <w:sz w:val="20"/>
                <w:szCs w:val="20"/>
              </w:rPr>
              <w:t xml:space="preserve">Certyfikat ISO 14001 lub inny równoważny certyfikat np. Certyfikat EMAS (ang. Eco-Management and AuditScheme) </w:t>
            </w:r>
            <w:r>
              <w:rPr>
                <w:rFonts w:cstheme="minorHAnsi"/>
                <w:sz w:val="20"/>
                <w:szCs w:val="20"/>
              </w:rPr>
              <w:t>potwierdzający stosowanie przez Wykonawcę systemu zarządzania środowiskiem w zakresie działalności przedsiębiorstwa.</w:t>
            </w:r>
          </w:p>
          <w:p w:rsidR="0078639D" w:rsidRDefault="004945CF" w:rsidP="000522D8">
            <w:pPr>
              <w:spacing w:after="0" w:line="276" w:lineRule="auto"/>
              <w:rPr>
                <w:rFonts w:cstheme="minorHAnsi"/>
                <w:b/>
                <w:bCs/>
                <w:sz w:val="20"/>
                <w:szCs w:val="20"/>
              </w:rPr>
            </w:pPr>
            <w:r>
              <w:rPr>
                <w:rFonts w:cstheme="minorHAnsi"/>
                <w:b/>
                <w:bCs/>
                <w:sz w:val="20"/>
                <w:szCs w:val="20"/>
              </w:rPr>
              <w:t xml:space="preserve">Uwaga! Oświadczenie o posiadaniu albo nieposiadaniu należy złożyć wraz z ofertą- Załącznik </w:t>
            </w:r>
            <w:r>
              <w:rPr>
                <w:rFonts w:cstheme="minorHAnsi"/>
                <w:b/>
                <w:bCs/>
                <w:sz w:val="20"/>
                <w:szCs w:val="20"/>
              </w:rPr>
              <w:lastRenderedPageBreak/>
              <w:t>nr 7 do SWZ.</w:t>
            </w:r>
          </w:p>
        </w:tc>
      </w:tr>
    </w:tbl>
    <w:p w:rsidR="0078639D" w:rsidRDefault="004945CF">
      <w:pPr>
        <w:pStyle w:val="Akapitzlist"/>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Cena oferty stanowi wartość umowy za wykonanie przedmiotu zamówienia w całym zakresie. </w:t>
      </w:r>
    </w:p>
    <w:p w:rsidR="0078639D" w:rsidRDefault="004945CF">
      <w:pPr>
        <w:pStyle w:val="Akapitzlist"/>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Wykonawca, uwzględniając wszystkie wymogi, o których mowa w SWZ, zobowiązany jest w cenie brutto ująć wszelkie koszty niezbędne dla prawidłowego, pełnego i należytego wykonania przedmiotu zamówienia, zgodnie z warunkami wynikającymi </w:t>
      </w:r>
      <w:r>
        <w:rPr>
          <w:rFonts w:asciiTheme="minorHAnsi" w:hAnsiTheme="minorHAnsi" w:cstheme="minorHAnsi"/>
        </w:rPr>
        <w:br/>
        <w:t>z opisu przedmiotu zamówienia.</w:t>
      </w:r>
    </w:p>
    <w:p w:rsidR="0078639D" w:rsidRDefault="004945CF">
      <w:pPr>
        <w:pStyle w:val="Akapitzlist"/>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za najkorzystniejszą uzna ofertę, która uzyska największą liczbę punktów łącznie ze wszystkich powyżej ustalonych kryteriów oceny ofert. Ocenę łączną oferty stanowi suma punktów uzyskanych w ramach poszczególnych kryteriów. </w:t>
      </w:r>
    </w:p>
    <w:p w:rsidR="0078639D" w:rsidRDefault="004945CF">
      <w:pPr>
        <w:pStyle w:val="Akapitzlist"/>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Oferta może uzyskać w kryteriach oceny ofert maksymalnie 100 punktów (100%), przy czym 1 pkt = 1%. Maksymalna liczba punktów w kryterium równa jest określonej wadze kryterium w %. Uzyskana liczba punktów w ramach kryterium zaokrąglana będzie do drugiego miejsca po przecinku. </w:t>
      </w:r>
    </w:p>
    <w:p w:rsidR="0078639D" w:rsidRDefault="004945CF">
      <w:pPr>
        <w:pStyle w:val="Nagwek2"/>
        <w:numPr>
          <w:ilvl w:val="0"/>
          <w:numId w:val="6"/>
        </w:numPr>
        <w:shd w:val="clear" w:color="auto" w:fill="FFE599" w:themeFill="accent4" w:themeFillTint="66"/>
        <w:spacing w:before="0" w:line="276" w:lineRule="auto"/>
        <w:ind w:left="426" w:hanging="378"/>
        <w:jc w:val="center"/>
        <w:rPr>
          <w:rFonts w:asciiTheme="minorHAnsi" w:hAnsiTheme="minorHAnsi" w:cstheme="minorHAnsi"/>
          <w:color w:val="2F5496" w:themeColor="accent1" w:themeShade="BF"/>
          <w:sz w:val="20"/>
          <w:szCs w:val="20"/>
        </w:rPr>
      </w:pPr>
      <w:bookmarkStart w:id="34" w:name="_Toc114403764"/>
      <w:bookmarkStart w:id="35" w:name="_Toc95987080"/>
      <w:r>
        <w:rPr>
          <w:rFonts w:asciiTheme="minorHAnsi" w:hAnsiTheme="minorHAnsi" w:cstheme="minorHAnsi"/>
          <w:color w:val="2F5496" w:themeColor="accent1" w:themeShade="BF"/>
          <w:sz w:val="20"/>
          <w:szCs w:val="20"/>
        </w:rPr>
        <w:t>OPIS SPOSOBU OBLICZENIA CENY</w:t>
      </w:r>
      <w:bookmarkEnd w:id="34"/>
      <w:bookmarkEnd w:id="35"/>
    </w:p>
    <w:p w:rsidR="0078639D" w:rsidRDefault="004945CF">
      <w:pPr>
        <w:pStyle w:val="Akapitzlist"/>
        <w:numPr>
          <w:ilvl w:val="0"/>
          <w:numId w:val="18"/>
        </w:numPr>
        <w:spacing w:line="276" w:lineRule="auto"/>
        <w:ind w:left="284" w:hanging="284"/>
        <w:jc w:val="both"/>
        <w:rPr>
          <w:rFonts w:asciiTheme="minorHAnsi" w:hAnsiTheme="minorHAnsi" w:cstheme="minorHAnsi"/>
          <w:bCs/>
        </w:rPr>
      </w:pPr>
      <w:r>
        <w:rPr>
          <w:rFonts w:asciiTheme="minorHAnsi" w:hAnsiTheme="minorHAnsi" w:cstheme="minorHAnsi"/>
        </w:rPr>
        <w:t xml:space="preserve">Wykonawca poda cenę ofertową </w:t>
      </w:r>
      <w:r>
        <w:rPr>
          <w:rFonts w:asciiTheme="minorHAnsi" w:hAnsiTheme="minorHAnsi" w:cstheme="minorHAnsi"/>
          <w:bCs/>
        </w:rPr>
        <w:t>w Formularzu oferty, zgodnie z Załącznikiem nr 1 do SWZ.</w:t>
      </w:r>
    </w:p>
    <w:p w:rsidR="0078639D" w:rsidRDefault="004945CF">
      <w:pPr>
        <w:pStyle w:val="Akapitzlist"/>
        <w:numPr>
          <w:ilvl w:val="0"/>
          <w:numId w:val="18"/>
        </w:numPr>
        <w:spacing w:line="276" w:lineRule="auto"/>
        <w:ind w:left="284" w:hanging="284"/>
        <w:jc w:val="both"/>
        <w:rPr>
          <w:rFonts w:asciiTheme="minorHAnsi" w:hAnsiTheme="minorHAnsi" w:cstheme="minorHAnsi"/>
        </w:rPr>
      </w:pPr>
      <w:r>
        <w:rPr>
          <w:rFonts w:asciiTheme="minorHAnsi" w:hAnsiTheme="minorHAnsi" w:cstheme="minorHAnsi"/>
        </w:rPr>
        <w:t>Podana cena ofertowa musi zawierać wszystkie koszty związane z realizacją przedmiotu zamówienia wynikające z jego opisu. Cena ta będzie stała i nie może się zmienić, z wyjątkiem przypadków opisanych w projekcie umowy.</w:t>
      </w:r>
    </w:p>
    <w:p w:rsidR="0078639D" w:rsidRDefault="004945CF">
      <w:pPr>
        <w:pStyle w:val="Akapitzlist"/>
        <w:numPr>
          <w:ilvl w:val="0"/>
          <w:numId w:val="18"/>
        </w:numPr>
        <w:spacing w:line="276" w:lineRule="auto"/>
        <w:ind w:left="284" w:hanging="284"/>
        <w:jc w:val="both"/>
        <w:rPr>
          <w:rFonts w:asciiTheme="minorHAnsi" w:hAnsiTheme="minorHAnsi" w:cstheme="minorHAnsi"/>
        </w:rPr>
      </w:pPr>
      <w:r>
        <w:rPr>
          <w:rFonts w:asciiTheme="minorHAnsi" w:hAnsiTheme="minorHAnsi" w:cstheme="minorHAnsi"/>
        </w:rPr>
        <w:t>Cenę oferty należy podać łącznie z należnym podatkiem VAT – cena brutto wraz ze wskazaniem stawki (procentowej) podatku VAT i jego wysokości.</w:t>
      </w:r>
    </w:p>
    <w:p w:rsidR="0078639D" w:rsidRDefault="004945CF">
      <w:pPr>
        <w:pStyle w:val="Akapitzlist"/>
        <w:numPr>
          <w:ilvl w:val="0"/>
          <w:numId w:val="18"/>
        </w:numPr>
        <w:spacing w:line="276" w:lineRule="auto"/>
        <w:ind w:left="284" w:hanging="284"/>
        <w:jc w:val="both"/>
        <w:rPr>
          <w:rFonts w:asciiTheme="minorHAnsi" w:hAnsiTheme="minorHAnsi" w:cstheme="minorHAnsi"/>
        </w:rPr>
      </w:pPr>
      <w:r>
        <w:rPr>
          <w:rFonts w:asciiTheme="minorHAnsi" w:hAnsiTheme="minorHAnsi" w:cstheme="minorHAnsi"/>
        </w:rPr>
        <w:t>Cena ofertowa musi być podana w polskich złotych cyfrowo i słownie (do drugiego miejsca po przecinku). Brak określenia ceny w postaci słownej poczytany zostanie za błąd co do formy oferty i nie będzie skutkować jej odrzuceniem.</w:t>
      </w:r>
    </w:p>
    <w:p w:rsidR="0078639D" w:rsidRDefault="004945CF">
      <w:pPr>
        <w:pStyle w:val="Akapitzlist"/>
        <w:numPr>
          <w:ilvl w:val="0"/>
          <w:numId w:val="18"/>
        </w:numPr>
        <w:spacing w:line="276" w:lineRule="auto"/>
        <w:ind w:left="284" w:hanging="284"/>
        <w:jc w:val="both"/>
        <w:rPr>
          <w:rFonts w:asciiTheme="minorHAnsi" w:hAnsiTheme="minorHAnsi" w:cstheme="minorHAnsi"/>
        </w:rPr>
      </w:pPr>
      <w:r>
        <w:rPr>
          <w:rFonts w:asciiTheme="minorHAnsi" w:hAnsiTheme="minorHAnsi" w:cstheme="minorHAnsi"/>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36" w:name="_Toc114403765"/>
      <w:bookmarkStart w:id="37" w:name="_Toc95987081"/>
      <w:r>
        <w:rPr>
          <w:rFonts w:asciiTheme="minorHAnsi" w:hAnsiTheme="minorHAnsi" w:cstheme="minorHAnsi"/>
          <w:color w:val="2F5496" w:themeColor="accent1" w:themeShade="BF"/>
          <w:sz w:val="20"/>
          <w:szCs w:val="20"/>
        </w:rPr>
        <w:t>INFORMACJE O ŚRODKACH KOMUNIKACJI ELEKTRONICZNEJ</w:t>
      </w:r>
      <w:bookmarkEnd w:id="36"/>
      <w:bookmarkEnd w:id="37"/>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 xml:space="preserve">W postępowaniu o udzielenie zamówienia komunikacja między Zamawiającym, a Wykonawcami odbywa się przy użyciu Platformy zakupowej pod adresem: </w:t>
      </w:r>
      <w:hyperlink r:id="rId16">
        <w:r>
          <w:rPr>
            <w:rFonts w:ascii="Calibri" w:hAnsi="Calibri" w:cs="Calibri"/>
            <w:color w:val="0000FF"/>
            <w:u w:val="single"/>
          </w:rPr>
          <w:t>https://platformazakupowa.pl/pn/szpitalgostyn</w:t>
        </w:r>
      </w:hyperlink>
      <w:r>
        <w:rPr>
          <w:rFonts w:ascii="Calibri" w:hAnsi="Calibri" w:cs="Calibri"/>
        </w:rPr>
        <w:t>.</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W postępowaniu oświadczenia, wnioski, zawiadomienia oraz informacje (zwane dalej ,,korespondencją") Zamawiający i Wykonawcy przekazują powołując się na numer postępowania przez Platformę zakupową.</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Dokumenty elektroniczne, oświadczenia lub elektroniczne kopie dokumentów lub oświadczeń składane są przez Wykonawcę</w:t>
      </w:r>
      <w:r>
        <w:rPr>
          <w:rFonts w:ascii="Calibri" w:hAnsi="Calibri" w:cs="Calibri"/>
        </w:rPr>
        <w:br/>
        <w:t>przy użyciu Platformy zakupowej. Sposób sporządzenia dokumentów elektronicznych, oświadczeń lub  elektronicznych kopii</w:t>
      </w:r>
      <w:r>
        <w:rPr>
          <w:rFonts w:ascii="Calibri" w:hAnsi="Calibri" w:cs="Calibri"/>
        </w:rPr>
        <w:br/>
        <w:t>dokumentów lub oświadczeń musi być zgodny z wymaganiami określonymi w rozporządzeniu Prezesa Rady Ministrów z dnia</w:t>
      </w:r>
      <w:r>
        <w:rPr>
          <w:rFonts w:ascii="Calibri" w:hAnsi="Calibri" w:cs="Calibri"/>
        </w:rPr>
        <w:br/>
        <w:t>30 grudnia 2020 r. w sprawie sposobu sporządzania i przekazywania informacji oraz wymagań technicznych dla dokumentów</w:t>
      </w:r>
      <w:r>
        <w:rPr>
          <w:rFonts w:ascii="Calibri" w:hAnsi="Calibri" w:cs="Calibri"/>
        </w:rPr>
        <w:br/>
        <w:t>elektronicznych oraz środków komunikacji elektronicznej w postępowaniu o udzielenie zamówienia publicznego lub konkursie(Dz.U.2020.2452) oraz w rozporządzeniu Ministra Rozwoju, Pracy i Technologii z dnia 23 grudnia 2020 r. w sprawie</w:t>
      </w:r>
      <w:r>
        <w:rPr>
          <w:rFonts w:ascii="Calibri" w:hAnsi="Calibri" w:cs="Calibri"/>
        </w:rPr>
        <w:br/>
        <w:t>podmiotowych środków dowodowych oraz innych dokumentów lub oświadczeń, jakich może żądać zamawiający od</w:t>
      </w:r>
      <w:r>
        <w:rPr>
          <w:rFonts w:ascii="Calibri" w:hAnsi="Calibri" w:cs="Calibri"/>
        </w:rPr>
        <w:br/>
        <w:t>wykonawcy (Dz.U.2020.2415 z dnia 30 grudnia 2020 roku).</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 xml:space="preserve">Złożenie oferty odbywa się </w:t>
      </w:r>
      <w:r>
        <w:rPr>
          <w:rFonts w:ascii="Calibri" w:hAnsi="Calibri" w:cs="Calibri"/>
          <w:b/>
          <w:bCs/>
        </w:rPr>
        <w:t xml:space="preserve">wyłącznie przy użyciu Platformy zakupowej - </w:t>
      </w:r>
      <w:hyperlink r:id="rId17">
        <w:r>
          <w:rPr>
            <w:rFonts w:ascii="Calibri" w:hAnsi="Calibri" w:cs="Calibri"/>
            <w:color w:val="0000FF"/>
            <w:u w:val="single"/>
          </w:rPr>
          <w:t>https://platformazakupowa.pl/pn/szpitalgostyn</w:t>
        </w:r>
      </w:hyperlink>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Maksymalny rozmiar plików przesyłanych za pośrednictwem dedykowanych formularzy, w tym do: złożenia, zmiany,</w:t>
      </w:r>
      <w:r>
        <w:rPr>
          <w:rFonts w:ascii="Calibri" w:hAnsi="Calibri" w:cs="Calibri"/>
        </w:rPr>
        <w:br/>
        <w:t xml:space="preserve"> wycofania oferty lub wniosku oraz do komunikacji wynosi 150 MB.</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 xml:space="preserve">Wymagania techniczne i organizacyjne wysyłania i odbierania dokumentów elektronicznych, elektronicznych kopii dokumentów i oświadczeń oraz informacji przekazywanych przy ich użyciu opisane zostały w Regulaminie korzystania </w:t>
      </w:r>
      <w:r>
        <w:rPr>
          <w:rFonts w:ascii="Calibri" w:hAnsi="Calibri" w:cs="Calibri"/>
        </w:rPr>
        <w:br/>
        <w:t>z Platformy zakupowej.</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Za datę przekazania oferty, wniosków, zawiadomień, dokumentów elektronicznych, oświadczeń lub elektronicznych kopii dokumentów lub oświadczeń oraz innych informacji, przyjmuje się daty umieszczenia ich na Platformie zakupowej.</w:t>
      </w:r>
    </w:p>
    <w:p w:rsidR="0078639D" w:rsidRDefault="004945CF">
      <w:pPr>
        <w:pStyle w:val="Akapitzlist"/>
        <w:numPr>
          <w:ilvl w:val="0"/>
          <w:numId w:val="34"/>
        </w:numPr>
        <w:spacing w:line="276" w:lineRule="auto"/>
        <w:ind w:left="284" w:hanging="284"/>
        <w:jc w:val="both"/>
        <w:rPr>
          <w:rFonts w:ascii="Calibri" w:hAnsi="Calibri" w:cs="Calibri"/>
        </w:rPr>
      </w:pPr>
      <w:r>
        <w:rPr>
          <w:rFonts w:ascii="Calibri" w:hAnsi="Calibri" w:cs="Calibri"/>
        </w:rPr>
        <w:t>Wykonawca, aby zaszyfrować plik, musi na stronie Platformy zakupowej odnaleźć postępowanie, w którym chce złożyć ofertę. Po wejściu w jego szczegóły odnajdzie przycisk umożliwiający szyfrowanie oferty. Platforma zakupowa automatycznie zapamiętuje, w którym postępowaniu Wykonawca zaszyfrował ofertę. Tak przygotowany plik należy przesłać przez formularz do złożenia, zmiany, wycofania oferty lub wniosku w przedmiotowym postępowaniu.</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38" w:name="_Toc114403766"/>
      <w:r>
        <w:rPr>
          <w:rFonts w:asciiTheme="minorHAnsi" w:hAnsiTheme="minorHAnsi" w:cstheme="minorHAnsi"/>
          <w:color w:val="2F5496" w:themeColor="accent1" w:themeShade="BF"/>
          <w:sz w:val="20"/>
          <w:szCs w:val="20"/>
        </w:rPr>
        <w:t>KOMUNIKACJA W SPOSÓB INNY NIŻ PRZY UŻYCIU ŚRODKÓW KOMUNIKACJI ELEKTRONICZNEJ</w:t>
      </w:r>
      <w:bookmarkEnd w:id="38"/>
    </w:p>
    <w:p w:rsidR="0078639D" w:rsidRDefault="004945CF">
      <w:pPr>
        <w:pStyle w:val="Akapitzlist"/>
        <w:numPr>
          <w:ilvl w:val="0"/>
          <w:numId w:val="35"/>
        </w:numPr>
        <w:spacing w:line="276" w:lineRule="auto"/>
        <w:ind w:left="284" w:hanging="284"/>
        <w:jc w:val="both"/>
        <w:rPr>
          <w:rFonts w:ascii="Calibri" w:hAnsi="Calibri" w:cs="Calibri"/>
        </w:rPr>
      </w:pPr>
      <w:r>
        <w:rPr>
          <w:rFonts w:ascii="Calibri" w:hAnsi="Calibri" w:cs="Calibri"/>
        </w:rPr>
        <w:t xml:space="preserve">O ile w SWZ wskazano wymóg dostarczenia próbek, </w:t>
      </w:r>
      <w:r>
        <w:rPr>
          <w:rFonts w:ascii="Calibri" w:hAnsi="Calibri" w:cs="Calibri"/>
          <w:bCs/>
        </w:rPr>
        <w:t xml:space="preserve">Zamawiający odstępuje od wymogu użycia środków komunikacji elektronicznej wyłącznie w zakresie próbek, które powinny zostać dostarczone do siedziby Zamawiającego. </w:t>
      </w:r>
    </w:p>
    <w:p w:rsidR="0078639D" w:rsidRDefault="004945CF">
      <w:pPr>
        <w:pStyle w:val="Akapitzlist"/>
        <w:numPr>
          <w:ilvl w:val="0"/>
          <w:numId w:val="35"/>
        </w:numPr>
        <w:spacing w:line="276" w:lineRule="auto"/>
        <w:ind w:left="284" w:hanging="284"/>
        <w:jc w:val="both"/>
        <w:rPr>
          <w:rFonts w:ascii="Calibri" w:hAnsi="Calibri" w:cs="Calibri"/>
        </w:rPr>
      </w:pPr>
      <w:r>
        <w:rPr>
          <w:rFonts w:ascii="Calibri" w:hAnsi="Calibri" w:cs="Calibri"/>
        </w:rPr>
        <w:t>W pozostałym zakresie Zamawiający nie odstępuje od wymogu użycia środków komunikacji elektronicznej.</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39" w:name="_Toc114403767"/>
      <w:bookmarkStart w:id="40" w:name="_Toc95987082"/>
      <w:r>
        <w:rPr>
          <w:rFonts w:asciiTheme="minorHAnsi" w:hAnsiTheme="minorHAnsi" w:cstheme="minorHAnsi"/>
          <w:color w:val="2F5496" w:themeColor="accent1" w:themeShade="BF"/>
          <w:sz w:val="20"/>
          <w:szCs w:val="20"/>
        </w:rPr>
        <w:t>WYJAŚNIENIA I ZMIANY TREŚCI SWZ</w:t>
      </w:r>
      <w:bookmarkEnd w:id="39"/>
      <w:bookmarkEnd w:id="40"/>
    </w:p>
    <w:p w:rsidR="0078639D" w:rsidRDefault="004945CF">
      <w:pPr>
        <w:pStyle w:val="Akapitzlist"/>
        <w:numPr>
          <w:ilvl w:val="0"/>
          <w:numId w:val="19"/>
        </w:numPr>
        <w:spacing w:line="276" w:lineRule="auto"/>
        <w:ind w:left="284" w:hanging="284"/>
        <w:jc w:val="both"/>
        <w:rPr>
          <w:rFonts w:asciiTheme="minorHAnsi" w:hAnsiTheme="minorHAnsi" w:cstheme="minorHAnsi"/>
        </w:rPr>
      </w:pPr>
      <w:r>
        <w:rPr>
          <w:rFonts w:asciiTheme="minorHAnsi" w:hAnsiTheme="minorHAnsi" w:cstheme="minorHAnsi"/>
        </w:rPr>
        <w:t xml:space="preserve">Wniosek o wyjaśnienie treści SWZ należy przesłać za pośrednictwem Platformy. Ważne i wiążące Zamawiającego wnioski </w:t>
      </w:r>
      <w:r>
        <w:rPr>
          <w:rFonts w:asciiTheme="minorHAnsi" w:hAnsiTheme="minorHAnsi" w:cstheme="minorHAnsi"/>
        </w:rPr>
        <w:br/>
        <w:t xml:space="preserve">o wyjaśnienie treści SWZ muszą być przesłane/wczytane na Platformę. Zamawiający prosi o przekazywanie pytań również </w:t>
      </w:r>
      <w:r>
        <w:rPr>
          <w:rFonts w:asciiTheme="minorHAnsi" w:hAnsiTheme="minorHAnsi" w:cstheme="minorHAnsi"/>
        </w:rPr>
        <w:br/>
      </w:r>
      <w:r>
        <w:rPr>
          <w:rFonts w:asciiTheme="minorHAnsi" w:hAnsiTheme="minorHAnsi" w:cstheme="minorHAnsi"/>
        </w:rPr>
        <w:lastRenderedPageBreak/>
        <w:t>w formie edytowalnej, gdyż skróci to czas udzielania wyjaśnień przez Zamawiającego i usprawni prowadzenie postępowania</w:t>
      </w:r>
      <w:r>
        <w:rPr>
          <w:rFonts w:asciiTheme="minorHAnsi" w:hAnsiTheme="minorHAnsi" w:cstheme="minorHAnsi"/>
        </w:rPr>
        <w:br/>
        <w:t>o udzielenie zamówienia publicznego.</w:t>
      </w:r>
    </w:p>
    <w:p w:rsidR="0078639D" w:rsidRDefault="004945CF">
      <w:pPr>
        <w:pStyle w:val="Akapitzlist"/>
        <w:numPr>
          <w:ilvl w:val="0"/>
          <w:numId w:val="19"/>
        </w:numPr>
        <w:spacing w:line="276" w:lineRule="auto"/>
        <w:ind w:left="284" w:hanging="284"/>
        <w:jc w:val="both"/>
        <w:rPr>
          <w:rFonts w:asciiTheme="minorHAnsi" w:hAnsiTheme="minorHAnsi" w:cstheme="minorHAnsi"/>
        </w:rPr>
      </w:pPr>
      <w:r>
        <w:rPr>
          <w:rFonts w:asciiTheme="minorHAnsi" w:hAnsiTheme="minorHAnsi" w:cstheme="minorHAnsi"/>
        </w:rPr>
        <w:t>Każda wprowadzona przez Zamawiającego zmiana staje się częścią SWZ. Dokonaną zmianę treści SWZ Zamawiający udostępnia na Platformie.</w:t>
      </w:r>
    </w:p>
    <w:p w:rsidR="0078639D" w:rsidRDefault="004945CF">
      <w:pPr>
        <w:pStyle w:val="Akapitzlist"/>
        <w:numPr>
          <w:ilvl w:val="0"/>
          <w:numId w:val="19"/>
        </w:numPr>
        <w:spacing w:line="276" w:lineRule="auto"/>
        <w:ind w:left="284" w:hanging="284"/>
        <w:jc w:val="both"/>
        <w:rPr>
          <w:rFonts w:asciiTheme="minorHAnsi" w:hAnsiTheme="minorHAnsi" w:cstheme="minorHAnsi"/>
        </w:rPr>
      </w:pPr>
      <w:r>
        <w:rPr>
          <w:rFonts w:asciiTheme="minorHAnsi" w:hAnsiTheme="minorHAnsi" w:cstheme="minorHAnsi"/>
        </w:rPr>
        <w:t>Zamawiający oświadcza, iż nie zamierza zwoływać zebrania Wykonawców w celu wyjaśnienia treści SWZ.</w:t>
      </w:r>
    </w:p>
    <w:p w:rsidR="0078639D" w:rsidRDefault="004945CF">
      <w:pPr>
        <w:pStyle w:val="Akapitzlist"/>
        <w:numPr>
          <w:ilvl w:val="0"/>
          <w:numId w:val="19"/>
        </w:numPr>
        <w:spacing w:line="276" w:lineRule="auto"/>
        <w:ind w:left="284" w:hanging="284"/>
        <w:jc w:val="both"/>
        <w:rPr>
          <w:rFonts w:asciiTheme="minorHAnsi" w:hAnsiTheme="minorHAnsi" w:cstheme="minorHAnsi"/>
        </w:rPr>
      </w:pPr>
      <w:r>
        <w:rPr>
          <w:rFonts w:asciiTheme="minorHAnsi" w:hAnsiTheme="minorHAnsi" w:cstheme="minorHAnsi"/>
        </w:rPr>
        <w:t>W przypadku rozbieżności pomiędzy treścią SWZ, a treścią udzielonych wyjaśnień lub zmian SWZ, jako obowiązującą należy przyjąć treść późniejszego oświadczenia Zamawiającego i ostatnią publikację na Platformie.</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41" w:name="_Toc114403768"/>
      <w:bookmarkStart w:id="42" w:name="_Toc95987083"/>
      <w:r>
        <w:rPr>
          <w:rFonts w:asciiTheme="minorHAnsi" w:hAnsiTheme="minorHAnsi" w:cstheme="minorHAnsi"/>
          <w:color w:val="2F5496" w:themeColor="accent1" w:themeShade="BF"/>
          <w:sz w:val="20"/>
          <w:szCs w:val="20"/>
        </w:rPr>
        <w:t>OPIS SPOSOBU PRZYGOTOWANIA I SKŁADANIA OFERTY</w:t>
      </w:r>
      <w:bookmarkEnd w:id="41"/>
      <w:bookmarkEnd w:id="42"/>
    </w:p>
    <w:p w:rsidR="0078639D" w:rsidRDefault="004945CF">
      <w:pPr>
        <w:pStyle w:val="Akapitzlist"/>
        <w:numPr>
          <w:ilvl w:val="0"/>
          <w:numId w:val="36"/>
        </w:numPr>
        <w:spacing w:line="276" w:lineRule="auto"/>
        <w:ind w:left="284" w:hanging="284"/>
        <w:jc w:val="both"/>
        <w:rPr>
          <w:rFonts w:ascii="Calibri" w:hAnsi="Calibri" w:cs="Calibri"/>
        </w:rPr>
      </w:pPr>
      <w:r>
        <w:rPr>
          <w:rFonts w:ascii="Calibri" w:hAnsi="Calibri" w:cs="Calibri"/>
        </w:rPr>
        <w:t xml:space="preserve">Ofertę należy sporządzić w języku polskim, zgodnie z wymaganiami określonymi w SWZ na Formularzu oferty lub według takiego samego schematu stanowiącego Załącznik nr 1 do SWZ. Oferta powinna zawierać wszystkie informacje/treści wymagane we wzorze Formularza oferty. Wykonawca składa ofertę za pośrednictwem Platformy </w:t>
      </w:r>
      <w:hyperlink r:id="rId18">
        <w:r>
          <w:rPr>
            <w:rStyle w:val="Hipercze"/>
            <w:rFonts w:ascii="Calibri" w:hAnsi="Calibri" w:cs="Calibri"/>
          </w:rPr>
          <w:t>https://platformazakupowa.pl/pn/szpitalgostyn</w:t>
        </w:r>
      </w:hyperlink>
      <w:r>
        <w:rPr>
          <w:rFonts w:ascii="Calibri" w:hAnsi="Calibri" w:cs="Calibri"/>
        </w:rPr>
        <w:t>.</w:t>
      </w:r>
    </w:p>
    <w:p w:rsidR="0078639D" w:rsidRDefault="004945CF">
      <w:pPr>
        <w:pStyle w:val="Akapitzlist"/>
        <w:numPr>
          <w:ilvl w:val="0"/>
          <w:numId w:val="36"/>
        </w:numPr>
        <w:spacing w:line="276" w:lineRule="auto"/>
        <w:ind w:left="284" w:hanging="284"/>
        <w:jc w:val="both"/>
        <w:rPr>
          <w:rFonts w:asciiTheme="minorHAnsi" w:hAnsiTheme="minorHAnsi" w:cstheme="minorHAnsi"/>
        </w:rPr>
      </w:pPr>
      <w:r>
        <w:rPr>
          <w:rFonts w:ascii="Calibri" w:hAnsi="Calibri" w:cs="Calibri"/>
        </w:rPr>
        <w:t xml:space="preserve">Oferta musi być sporządzona w postaci elektronicznej opatrzonej kwalifikowanym podpisem elektronicznym w ogólnie dostępnych formatach danych, w szczególności w formatach: .txt, .rtf, .pdf, .doc, .docx, .odt., </w:t>
      </w:r>
    </w:p>
    <w:p w:rsidR="0078639D" w:rsidRDefault="004945CF">
      <w:pPr>
        <w:pStyle w:val="Akapitzlist"/>
        <w:numPr>
          <w:ilvl w:val="0"/>
          <w:numId w:val="36"/>
        </w:numPr>
        <w:spacing w:line="276" w:lineRule="auto"/>
        <w:ind w:left="284" w:hanging="284"/>
        <w:contextualSpacing/>
        <w:jc w:val="both"/>
        <w:rPr>
          <w:rFonts w:ascii="Calibri" w:hAnsi="Calibri" w:cs="Calibri"/>
        </w:rPr>
      </w:pPr>
      <w:r>
        <w:rPr>
          <w:rFonts w:ascii="Calibri" w:hAnsi="Calibri" w:cs="Calibri"/>
        </w:rPr>
        <w:t>Oferta i inne dokumenty składane w toku postępowania muszą być podpisane przez osobę upoważnioną/osoby upoważnione do reprezentowania Wykonawcy. Jeżeli w imieniu Wykonawcy działa osoba, której umocowanie do jego/jej reprezentowania nie wynika z dokumentów rejestrowych (KRS, CEiDG lub innego właściwego rejestru), Wykonawca dołącza do oferty pełnomocnictwo.</w:t>
      </w:r>
    </w:p>
    <w:p w:rsidR="0078639D" w:rsidRDefault="004945CF">
      <w:pPr>
        <w:pStyle w:val="Akapitzlist"/>
        <w:numPr>
          <w:ilvl w:val="0"/>
          <w:numId w:val="36"/>
        </w:numPr>
        <w:spacing w:line="276" w:lineRule="auto"/>
        <w:ind w:left="284" w:hanging="284"/>
        <w:contextualSpacing/>
        <w:jc w:val="both"/>
        <w:rPr>
          <w:rFonts w:ascii="Calibri" w:hAnsi="Calibri" w:cs="Calibri"/>
        </w:rPr>
      </w:pPr>
      <w:r>
        <w:rPr>
          <w:rFonts w:ascii="Calibri" w:hAnsi="Calibri" w:cs="Calibri"/>
        </w:rPr>
        <w:t>Do oferty należy dołączyć:</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Pełnomocnictwo, jeżeli ofertę podpisuje osoba, której umocowanie do jego/jej reprezentowania nie wynika z dokumentów rejestrowych (KRS, CEiDG lub innego właściwego rejestru), a w przypadku złożenia oferty wspólnej pełnomocnictwo ustanowione do reprezentowania Wykonawców wspólnie ubiegających się o udzielenie zamówienia publicznego. </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W przypadku odpowiedzi twierdzącej w cz. 3 pkt g-i Formularza oferty (Załącznik nr 1) Wykonawca składa oświadczenie zgodnie z załącznikiem nr 1a. W innym przypadku Wykonawca nie jest zobowiązany do jego złożenia. </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Przedmiotowe środki dowodowe zgodnie z żądaniem Zamawiającego określone w SWZ – o ile Zamawiający wymaga przedmiotowych środków dowodowych w treści SWZ.</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Dokument (np. zobowiązanie) innych podmiotów do oddania Wykonawcy do dyspozycji niezbędnych zasobów na potrzeby realizacji, o ile Wykonawca korzysta ze zdolności lub sytuacji innych podmiotów na zasadach określonych w art. 118-123 PZP.</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Załącznik nr 5 – Zestawienie wymaganych parametrów technicznych przedmiotu zamówienia wypełnione przez Wykonawcę</w:t>
      </w:r>
    </w:p>
    <w:p w:rsidR="0078639D" w:rsidRDefault="004945CF">
      <w:pPr>
        <w:numPr>
          <w:ilvl w:val="0"/>
          <w:numId w:val="41"/>
        </w:numPr>
        <w:spacing w:after="0" w:line="276" w:lineRule="auto"/>
        <w:ind w:left="567" w:hanging="283"/>
        <w:jc w:val="both"/>
        <w:rPr>
          <w:rFonts w:ascii="Calibri" w:eastAsia="Times New Roman" w:hAnsi="Calibri" w:cs="Calibri"/>
          <w:sz w:val="20"/>
          <w:szCs w:val="20"/>
          <w:lang w:eastAsia="pl-PL"/>
        </w:rPr>
      </w:pPr>
      <w:r>
        <w:rPr>
          <w:rFonts w:ascii="Calibri" w:eastAsia="Times New Roman" w:hAnsi="Calibri" w:cs="Calibri"/>
          <w:sz w:val="20"/>
          <w:szCs w:val="20"/>
          <w:lang w:eastAsia="pl-PL"/>
        </w:rPr>
        <w:t>Załącznik nr 7 – Oświadczenie dot. certyfikatu ISO 14001 lub innego równoważnego certyfikatu</w:t>
      </w:r>
    </w:p>
    <w:p w:rsidR="0078639D" w:rsidRDefault="004945CF">
      <w:pPr>
        <w:pStyle w:val="Akapitzlist"/>
        <w:numPr>
          <w:ilvl w:val="0"/>
          <w:numId w:val="36"/>
        </w:numPr>
        <w:spacing w:line="276" w:lineRule="auto"/>
        <w:ind w:left="270" w:hanging="270"/>
        <w:jc w:val="both"/>
        <w:rPr>
          <w:rFonts w:asciiTheme="minorHAnsi" w:hAnsiTheme="minorHAnsi" w:cstheme="minorHAnsi"/>
        </w:rPr>
      </w:pPr>
      <w:r>
        <w:rPr>
          <w:rFonts w:asciiTheme="minorHAnsi" w:hAnsiTheme="minorHAnsi" w:cstheme="minorHAnsi"/>
        </w:rPr>
        <w:t xml:space="preserve">Złożona oferta wraz z załącznikami będzie jawna, z wyjątkiem informacji stanowiących tajemnicę przedsiębiorstwa </w:t>
      </w:r>
      <w:r>
        <w:rPr>
          <w:rFonts w:asciiTheme="minorHAnsi" w:hAnsiTheme="minorHAnsi" w:cstheme="minorHAnsi"/>
        </w:rPr>
        <w:br/>
        <w:t>w rozumieniu art. 11 ustawy z dnia 16 kwietnia 1993 r. o zwalczaniu nieuczciwej konkurencji (tj. Dz.U. z 2026 r. poz. 85 ze zm.), co do których Wykonawca składając ofertę zastrzegł oraz wykazał, iż zastrzeżone informacje stanowią tajemnicę przedsiębiorstwa. W przypadku, gdy Wykonawca nie wykaże, że zastrzeżone informacje stanowią tajemnicę przedsiębiorstwa w rozumieniu art. 11 ust. 2 ustawy, Zamawiający uzna zastrzeżone informacje za jawne, o czym poinformuje Wykonawcę. Informacje stanowiące tajemnicę przedsiębiorstwa powinny być zgrupowane w odrębny plik i stanowić oddzielną część oferty, a plik powinien być opisany co najmniej w następujący sposób: „tajemnice przedsiębiorstwa – tylko do wglądu przez Zamawiającego”.</w:t>
      </w:r>
    </w:p>
    <w:p w:rsidR="0078639D" w:rsidRDefault="004945CF">
      <w:pPr>
        <w:pStyle w:val="Akapitzlist"/>
        <w:numPr>
          <w:ilvl w:val="0"/>
          <w:numId w:val="36"/>
        </w:numPr>
        <w:spacing w:line="276" w:lineRule="auto"/>
        <w:ind w:left="284" w:hanging="284"/>
        <w:jc w:val="both"/>
        <w:rPr>
          <w:rFonts w:asciiTheme="minorHAnsi" w:hAnsiTheme="minorHAnsi" w:cstheme="minorHAnsi"/>
        </w:rPr>
      </w:pPr>
      <w:r>
        <w:rPr>
          <w:rFonts w:asciiTheme="minorHAnsi" w:hAnsiTheme="minorHAnsi" w:cstheme="minorHAnsi"/>
        </w:rPr>
        <w:t>Wykonawca składa ofertę na Platformie w następujący sposób:</w:t>
      </w:r>
    </w:p>
    <w:p w:rsidR="0078639D" w:rsidRDefault="004945CF">
      <w:pPr>
        <w:pStyle w:val="Akapitzlist"/>
        <w:numPr>
          <w:ilvl w:val="0"/>
          <w:numId w:val="20"/>
        </w:numPr>
        <w:spacing w:line="276" w:lineRule="auto"/>
        <w:jc w:val="both"/>
        <w:rPr>
          <w:rFonts w:asciiTheme="minorHAnsi" w:hAnsiTheme="minorHAnsi" w:cstheme="minorHAnsi"/>
        </w:rPr>
      </w:pPr>
      <w:r>
        <w:rPr>
          <w:rFonts w:asciiTheme="minorHAnsi" w:hAnsiTheme="minorHAnsi" w:cstheme="minorHAnsi"/>
        </w:rPr>
        <w:t xml:space="preserve">w zakładce „Załączniki” dodaje załączniki określone w SWZ Tom I, podpisane kwalifikowanym podpisem elektronicznym, poprzez polecenie „Dodaj załącznik”, wybranie docelowego pliku, który ma zostać wczytany oraz opisanie nazwy identyfikującej załącznik. W przypadku zastrzeżenia tajemnicy przedsiębiorstwa w treści dokumentu, Wykonawca zaznacza polecenie „Załącznik stanowiący tajemnicę przedsiębiorstwa”. Wczytanie załącznika następuje poprzez polecenie „Zapisz”; </w:t>
      </w:r>
    </w:p>
    <w:p w:rsidR="0078639D" w:rsidRDefault="004945CF">
      <w:pPr>
        <w:pStyle w:val="Akapitzlist"/>
        <w:numPr>
          <w:ilvl w:val="0"/>
          <w:numId w:val="20"/>
        </w:numPr>
        <w:spacing w:line="276" w:lineRule="auto"/>
        <w:jc w:val="both"/>
        <w:rPr>
          <w:rFonts w:asciiTheme="minorHAnsi" w:hAnsiTheme="minorHAnsi" w:cstheme="minorHAnsi"/>
        </w:rPr>
      </w:pPr>
      <w:r>
        <w:rPr>
          <w:rFonts w:asciiTheme="minorHAnsi" w:hAnsiTheme="minorHAnsi" w:cstheme="minorHAnsi"/>
        </w:rPr>
        <w:t>potwierdzeniem prawidłowo złożonej oferty (dodania załącznika) jest automatyczne wygenerowanie komunikatu systemowego o treści „Plik został wczytany” po każdej prawidłowo wykonanej operacji (wczytania załącznika);</w:t>
      </w:r>
    </w:p>
    <w:p w:rsidR="0078639D" w:rsidRDefault="004945CF">
      <w:pPr>
        <w:pStyle w:val="Akapitzlist"/>
        <w:numPr>
          <w:ilvl w:val="0"/>
          <w:numId w:val="20"/>
        </w:numPr>
        <w:spacing w:line="276" w:lineRule="auto"/>
        <w:jc w:val="both"/>
        <w:rPr>
          <w:rFonts w:asciiTheme="minorHAnsi" w:hAnsiTheme="minorHAnsi" w:cstheme="minorHAnsi"/>
        </w:rPr>
      </w:pPr>
      <w:r>
        <w:rPr>
          <w:rFonts w:asciiTheme="minorHAnsi" w:hAnsiTheme="minorHAnsi" w:cstheme="minorHAnsi"/>
        </w:rPr>
        <w:t>o terminie złożenia oferty decyduje czas pełnego przeprocesowania transakcji na Platformie.</w:t>
      </w:r>
    </w:p>
    <w:p w:rsidR="0078639D" w:rsidRDefault="004945CF">
      <w:pPr>
        <w:pStyle w:val="Akapitzlist"/>
        <w:numPr>
          <w:ilvl w:val="0"/>
          <w:numId w:val="36"/>
        </w:numPr>
        <w:spacing w:line="276" w:lineRule="auto"/>
        <w:ind w:left="284" w:hanging="284"/>
        <w:jc w:val="both"/>
        <w:rPr>
          <w:rFonts w:asciiTheme="minorHAnsi" w:hAnsiTheme="minorHAnsi" w:cstheme="minorHAnsi"/>
        </w:rPr>
      </w:pPr>
      <w:r>
        <w:rPr>
          <w:rFonts w:asciiTheme="minorHAnsi" w:hAnsiTheme="minorHAnsi" w:cstheme="minorHAnsi"/>
        </w:rPr>
        <w:t>Po otwarciu złożonych ofert, Wykonawca, który będzie chciał skorzystać z jawności dokumentacji z postępowania (protokołu), w tym ofert, musi wystąpić w tej sprawie do Zamawiającego z wnioskiem.</w:t>
      </w:r>
    </w:p>
    <w:p w:rsidR="0078639D" w:rsidRDefault="004945CF">
      <w:pPr>
        <w:pStyle w:val="Akapitzlist"/>
        <w:numPr>
          <w:ilvl w:val="0"/>
          <w:numId w:val="36"/>
        </w:numPr>
        <w:spacing w:line="276" w:lineRule="auto"/>
        <w:ind w:left="284" w:hanging="284"/>
        <w:jc w:val="both"/>
        <w:rPr>
          <w:rFonts w:asciiTheme="minorHAnsi" w:hAnsiTheme="minorHAnsi" w:cstheme="minorHAnsi"/>
        </w:rPr>
      </w:pPr>
      <w:r>
        <w:rPr>
          <w:rFonts w:asciiTheme="minorHAnsi" w:hAnsiTheme="minorHAnsi" w:cstheme="minorHAnsi"/>
        </w:rPr>
        <w:t>Zamawiający dopuszcza zmiany wielkości pól załączników oraz odmiany wyrazów wynikające ze złożenia oferty wspólnej. Wprowadzone zmiany nie mogą zmieniać treści załączników.</w:t>
      </w:r>
    </w:p>
    <w:p w:rsidR="0078639D" w:rsidRDefault="004945CF">
      <w:pPr>
        <w:pStyle w:val="Akapitzlist"/>
        <w:numPr>
          <w:ilvl w:val="0"/>
          <w:numId w:val="36"/>
        </w:numPr>
        <w:spacing w:line="276" w:lineRule="auto"/>
        <w:ind w:left="284" w:hanging="284"/>
        <w:jc w:val="both"/>
        <w:rPr>
          <w:rFonts w:asciiTheme="minorHAnsi" w:hAnsiTheme="minorHAnsi" w:cstheme="minorHAnsi"/>
        </w:rPr>
      </w:pPr>
      <w:r>
        <w:rPr>
          <w:rFonts w:asciiTheme="minorHAnsi" w:hAnsiTheme="minorHAnsi" w:cstheme="minorHAnsi"/>
        </w:rPr>
        <w:lastRenderedPageBreak/>
        <w:t>W toku dokonywania oceny złożonych ofert Zamawiający może żądać udzielenia przez Wykonawców wyjaśnień dotyczących treści złożonych przez nich ofert.</w:t>
      </w:r>
    </w:p>
    <w:p w:rsidR="0078639D" w:rsidRDefault="004945CF">
      <w:pPr>
        <w:pStyle w:val="Nagwek2"/>
        <w:numPr>
          <w:ilvl w:val="0"/>
          <w:numId w:val="6"/>
        </w:numPr>
        <w:shd w:val="clear" w:color="auto" w:fill="FFE599" w:themeFill="accent4" w:themeFillTint="66"/>
        <w:spacing w:before="0" w:line="276" w:lineRule="auto"/>
        <w:ind w:left="567" w:hanging="567"/>
        <w:jc w:val="center"/>
        <w:rPr>
          <w:rFonts w:asciiTheme="minorHAnsi" w:hAnsiTheme="minorHAnsi" w:cstheme="minorHAnsi"/>
          <w:color w:val="2F5496" w:themeColor="accent1" w:themeShade="BF"/>
          <w:sz w:val="20"/>
          <w:szCs w:val="20"/>
        </w:rPr>
      </w:pPr>
      <w:bookmarkStart w:id="43" w:name="_Toc114403769"/>
      <w:bookmarkStart w:id="44" w:name="_Toc95987073"/>
      <w:bookmarkStart w:id="45" w:name="_Toc95923592"/>
      <w:r>
        <w:rPr>
          <w:rFonts w:asciiTheme="minorHAnsi" w:hAnsiTheme="minorHAnsi" w:cstheme="minorHAnsi"/>
          <w:color w:val="2F5496" w:themeColor="accent1" w:themeShade="BF"/>
          <w:sz w:val="20"/>
          <w:szCs w:val="20"/>
        </w:rPr>
        <w:t>INFORMACJE DOTYCZĄCE WYKONAWCY WSPÓLNIE UBIEGAJĄCYCH SIĘ O ZAMÓWIENIE I PODWYKONAWCY</w:t>
      </w:r>
      <w:bookmarkEnd w:id="43"/>
      <w:bookmarkEnd w:id="44"/>
      <w:bookmarkEnd w:id="45"/>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Wykonawca może powierzyć wykonanie części zamówienia podwykonawcy. Zasady określone w art. 58 PZP i w art. 117 PZP Zamawiający będzie stosował odpowiednio w przedmiotowym postępowaniu.</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Wykonawca, który zamierza wykonywać zamówienie przy udziale podwykonawcy, musi wskazać w ofercie, jaką część (zakres zamówienia) wykonywać będzie w jego imieniu podwykonawca oraz podać firmę/nazwę podwykonawcy – jeśli jest/są znani na etapie składania oferty. Należy w tym celu wypełnić odpowiednio: Załącznik nr 1 – Formularz oferty W przypadku, gdy Wykonawca nie zamierza wykonywać zamówienia przy udziale podwykonawców, należy wpisać w formularzach „nie dotyczy” lub inne podobne sformułowanie. Jeżeli Wykonawca zostawi punkty w formularzu niewypełnione (puste pola), Zamawiający uzna, iż zamówienie zostanie wykonane siłami własnymi Wykonawcy bez udziału podwykonawców.</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 xml:space="preserve">Jeżeli zmiana albo rezygnacja z podwykonawcy dotyczy podmiotu, na którego zasoby Wykonawca powoływał się, na zasadach określonych w art. 118 ust. 1 PZP, w celu wykazania spełniania warunków udziału w postępowaniu, Wykonawca jest zobowiązany wykazać Zamawiającemu, że zaproponowany inny podwykonawca lub sam Wykonawca samodzielnie je spełnia, w stopniu nie mniejszym niż podwykonawca, na którego zasoby Wykonawca powoływał się w trakcie postępowania </w:t>
      </w:r>
      <w:r>
        <w:rPr>
          <w:rFonts w:asciiTheme="minorHAnsi" w:hAnsiTheme="minorHAnsi" w:cstheme="minorHAnsi"/>
        </w:rPr>
        <w:br/>
        <w:t>o udzielenie zamówienia.</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Powierzenie wykonania części zamówienia podwykonawcom nie zwalnia Wykonawcy z odpowiedzialności za należyte wykonanie przedmiotu zamówienia.</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Jeżeli została wybrana oferta wykonawców wspólnie ubiegających się o udzielenie zamówienia, to Zamawiający może żądać przed zawarciem umowy kopii umowy regulującej współpracę tych wykonawców.</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Uwaga! Pełnomocnictwo, o którym mowa powyżej może wynikać albo z dokumentu pod taką samą nazwą, albo z treści umowy zawartej przez podmioty wspólnie składające ofertę. Pełnomocnictwo powinno być sporządzone w postaci elektronicznej i opatrzone kwalifikowanym podpisem elektronicznym.</w:t>
      </w:r>
    </w:p>
    <w:p w:rsidR="0078639D" w:rsidRDefault="004945CF">
      <w:pPr>
        <w:pStyle w:val="Akapitzlist"/>
        <w:numPr>
          <w:ilvl w:val="0"/>
          <w:numId w:val="10"/>
        </w:numPr>
        <w:spacing w:line="276" w:lineRule="auto"/>
        <w:ind w:left="284" w:hanging="284"/>
        <w:jc w:val="both"/>
        <w:rPr>
          <w:rFonts w:asciiTheme="minorHAnsi" w:hAnsiTheme="minorHAnsi" w:cstheme="minorHAnsi"/>
        </w:rPr>
      </w:pPr>
      <w:r>
        <w:rPr>
          <w:rFonts w:asciiTheme="minorHAnsi" w:hAnsiTheme="minorHAnsi" w:cstheme="minorHAnsi"/>
        </w:rPr>
        <w:t xml:space="preserve">W przypadku wspólnego ubiegania się o zamówienie, formularz/oświadczenie Jednolitego Europejskiego Dokumentu Zamówienia (JEDZ/ESPD) </w:t>
      </w:r>
      <w:r>
        <w:rPr>
          <w:rFonts w:asciiTheme="minorHAnsi" w:hAnsiTheme="minorHAnsi" w:cstheme="minorHAnsi"/>
          <w:b/>
          <w:bCs/>
          <w:color w:val="7030A0"/>
        </w:rPr>
        <w:t>składa każdy z Wykonawców wspólnie ubiegających się o zamówienie</w:t>
      </w:r>
      <w:r>
        <w:rPr>
          <w:rFonts w:asciiTheme="minorHAnsi" w:hAnsiTheme="minorHAnsi" w:cstheme="minorHAnsi"/>
        </w:rPr>
        <w:t>. Dokument ten stanowi wstępne oświadczenie potwierdzające brak podstaw do wykluczenia (każdy z Wykonawców wspólnie składających ofertę nie może podlegać wykluczeniu) oraz spełnianie warunków udziału w postępowaniu (część IV JEDZ/ESPD - dany Wykonawca składający ofertę wspólną wypełnia w takim zakresie, w jakim wykazuje spełnianie określonego warunku udziału w postępowaniu).</w:t>
      </w:r>
    </w:p>
    <w:p w:rsidR="0078639D" w:rsidRDefault="004945CF">
      <w:pPr>
        <w:pStyle w:val="Nagwek2"/>
        <w:numPr>
          <w:ilvl w:val="0"/>
          <w:numId w:val="6"/>
        </w:numPr>
        <w:shd w:val="clear" w:color="auto" w:fill="FFE599" w:themeFill="accent4" w:themeFillTint="66"/>
        <w:spacing w:before="0" w:line="276" w:lineRule="auto"/>
        <w:ind w:left="567" w:hanging="567"/>
        <w:jc w:val="center"/>
        <w:rPr>
          <w:rFonts w:asciiTheme="minorHAnsi" w:hAnsiTheme="minorHAnsi" w:cstheme="minorHAnsi"/>
          <w:color w:val="2F5496" w:themeColor="accent1" w:themeShade="BF"/>
          <w:sz w:val="20"/>
          <w:szCs w:val="20"/>
        </w:rPr>
      </w:pPr>
      <w:bookmarkStart w:id="46" w:name="_Toc114403770"/>
      <w:bookmarkStart w:id="47" w:name="_Toc95987084"/>
      <w:r>
        <w:rPr>
          <w:rFonts w:asciiTheme="minorHAnsi" w:hAnsiTheme="minorHAnsi" w:cstheme="minorHAnsi"/>
          <w:color w:val="2F5496" w:themeColor="accent1" w:themeShade="BF"/>
          <w:sz w:val="20"/>
          <w:szCs w:val="20"/>
        </w:rPr>
        <w:t>PROJEKTOWANE POSTANOWIENIA UMOWY W SPRAWIE ZAMÓWIENIA PUBLICZNEGO</w:t>
      </w:r>
      <w:bookmarkEnd w:id="46"/>
      <w:bookmarkEnd w:id="47"/>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Istotne dla Zamawiającego postanowienia umowy, zawiera projekt umowy - </w:t>
      </w:r>
      <w:r>
        <w:rPr>
          <w:rFonts w:asciiTheme="minorHAnsi" w:hAnsiTheme="minorHAnsi" w:cstheme="minorHAnsi"/>
          <w:b/>
          <w:bCs/>
        </w:rPr>
        <w:t>Tom II SWZ.</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wskazuje termin wykonania przedmiotu umowy w projekcie umowy – </w:t>
      </w:r>
      <w:r>
        <w:rPr>
          <w:rFonts w:asciiTheme="minorHAnsi" w:hAnsiTheme="minorHAnsi" w:cstheme="minorHAnsi"/>
          <w:b/>
          <w:bCs/>
        </w:rPr>
        <w:t>Tom II SWZ.</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przewiduje możliwość zmian postanowień zawartej umowy (tzw. zmiany kontraktowe), w stosunku do treści oferty, na podstawie której dokonano wyboru Wykonawcy, zgodnie z warunkami podanymi w projekcie umowy, stanowiącym </w:t>
      </w:r>
      <w:r>
        <w:rPr>
          <w:rFonts w:asciiTheme="minorHAnsi" w:hAnsiTheme="minorHAnsi" w:cstheme="minorHAnsi"/>
          <w:b/>
          <w:bCs/>
        </w:rPr>
        <w:t>Tom II SWZ.</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Umowa w sprawie zamówienia publicznego może zostać zawarta wyłącznie z Wykonawcą, którego oferta zostanie wybrana jako najkorzystniejsza zgodnie z przepisami PZP, po upływie terminów określonych w art. 264 PZP.</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Zamawiający powiadomi Wykonawcę/Wykonawców o terminie podpisania umowy w sprawie zamówienia publicznego.</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przewiduje podpisanie umowy w formie elektronicznej z użyciem podpisu kwalifikowanego, zgodnie </w:t>
      </w:r>
      <w:r>
        <w:rPr>
          <w:rFonts w:asciiTheme="minorHAnsi" w:hAnsiTheme="minorHAnsi" w:cstheme="minorHAnsi"/>
        </w:rPr>
        <w:br/>
        <w:t>z obowiązującymi przepisami prawa.</w:t>
      </w:r>
    </w:p>
    <w:p w:rsidR="0078639D" w:rsidRDefault="004945CF">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W przypadku braku możliwości zawarcia umowy do niniejszego postępowania w formie elektronicznej z użyciem podpisu kwalifikowanego, Wykonawca składa pisemny wniosek do Zamawiającego o wyznaczenie miejsca podpisania umowy. </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48" w:name="_Toc114403771"/>
      <w:r>
        <w:rPr>
          <w:rFonts w:asciiTheme="minorHAnsi" w:hAnsiTheme="minorHAnsi" w:cstheme="minorHAnsi"/>
          <w:color w:val="2F5496" w:themeColor="accent1" w:themeShade="BF"/>
          <w:sz w:val="20"/>
          <w:szCs w:val="20"/>
        </w:rPr>
        <w:t>FORMALNOŚCI, JAKIE MUSZĄ ZOSTAĆ DOPEŁNIONE PO WYBORZE OFERTY W CELU ZAWARCIA UMOWY</w:t>
      </w:r>
      <w:bookmarkEnd w:id="48"/>
    </w:p>
    <w:p w:rsidR="0078639D" w:rsidRDefault="004945CF">
      <w:pPr>
        <w:pStyle w:val="Akapitzlist"/>
        <w:numPr>
          <w:ilvl w:val="0"/>
          <w:numId w:val="30"/>
        </w:numPr>
        <w:spacing w:line="276" w:lineRule="auto"/>
        <w:ind w:left="284" w:hanging="284"/>
        <w:jc w:val="both"/>
        <w:rPr>
          <w:rFonts w:asciiTheme="minorHAnsi" w:hAnsiTheme="minorHAnsi" w:cstheme="minorHAnsi"/>
        </w:rPr>
      </w:pPr>
      <w:r>
        <w:rPr>
          <w:rFonts w:asciiTheme="minorHAnsi" w:hAnsiTheme="minorHAnsi" w:cstheme="minorHAnsi"/>
        </w:rPr>
        <w:t>Jeżeli zostanie wybrana oferta wykonawców wspólnie ubiegających się o udzielenie zamówienia, Zamawiający może żądać przed zawarciem umowy w sprawie zamówienia publicznego kopii umowy regulującej współpracę tych wykonawców.</w:t>
      </w:r>
    </w:p>
    <w:p w:rsidR="0078639D" w:rsidRDefault="004945CF">
      <w:pPr>
        <w:pStyle w:val="Akapitzlist"/>
        <w:numPr>
          <w:ilvl w:val="0"/>
          <w:numId w:val="30"/>
        </w:numPr>
        <w:spacing w:line="276" w:lineRule="auto"/>
        <w:ind w:left="284" w:hanging="284"/>
        <w:jc w:val="both"/>
        <w:rPr>
          <w:rFonts w:asciiTheme="minorHAnsi" w:hAnsiTheme="minorHAnsi" w:cstheme="minorHAnsi"/>
        </w:rPr>
      </w:pPr>
      <w:r>
        <w:rPr>
          <w:rFonts w:asciiTheme="minorHAnsi" w:hAnsiTheme="minorHAnsi" w:cstheme="minorHAnsi"/>
        </w:rPr>
        <w:t xml:space="preserve">W przypadku gdy Wykonawca, którego oferta została wybrana jako najkorzystniejsza, uchyla się od zawarcia umowy </w:t>
      </w:r>
      <w:r>
        <w:rPr>
          <w:rFonts w:asciiTheme="minorHAnsi" w:hAnsiTheme="minorHAnsi" w:cstheme="minorHAnsi"/>
        </w:rPr>
        <w:br/>
        <w:t>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78639D" w:rsidRDefault="004945CF">
      <w:pPr>
        <w:pStyle w:val="Akapitzlist"/>
        <w:numPr>
          <w:ilvl w:val="0"/>
          <w:numId w:val="30"/>
        </w:numPr>
        <w:spacing w:line="276" w:lineRule="auto"/>
        <w:ind w:left="284" w:hanging="284"/>
        <w:jc w:val="both"/>
        <w:rPr>
          <w:rFonts w:asciiTheme="minorHAnsi" w:hAnsiTheme="minorHAnsi" w:cstheme="minorHAnsi"/>
        </w:rPr>
      </w:pPr>
      <w:r>
        <w:rPr>
          <w:rFonts w:asciiTheme="minorHAnsi" w:hAnsiTheme="minorHAnsi" w:cstheme="minorHAnsi"/>
        </w:rPr>
        <w:lastRenderedPageBreak/>
        <w:t>Przed podpisaniem umowy wybrany Wykonawca przekaże Zamawiającemu informacje niezbędne do wpisania do treści umowy (np. imiona i nazwiska upoważnionych osób, które będą reprezentować Wykonawcę przy podpisaniu umowy oraz dane do komunikacji).</w:t>
      </w:r>
    </w:p>
    <w:p w:rsidR="0078639D" w:rsidRDefault="004945CF">
      <w:pPr>
        <w:pStyle w:val="Akapitzlist"/>
        <w:numPr>
          <w:ilvl w:val="0"/>
          <w:numId w:val="30"/>
        </w:numPr>
        <w:spacing w:line="276" w:lineRule="auto"/>
        <w:ind w:left="284" w:hanging="284"/>
        <w:jc w:val="both"/>
        <w:rPr>
          <w:rFonts w:ascii="Calibri" w:hAnsi="Calibri" w:cs="Calibri"/>
        </w:rPr>
      </w:pPr>
      <w:r>
        <w:rPr>
          <w:rFonts w:asciiTheme="minorHAnsi" w:hAnsiTheme="minorHAnsi" w:cstheme="minorHAnsi"/>
        </w:rPr>
        <w:t>Jeżeli Zamawiający w treści SWZ wymaga wniesienia zabezpieczenia należytego wykonania umowy, Wykonawca składa je przed terminem zawarcia umowy, na zasadach określonych w projekcie umowy, k</w:t>
      </w:r>
      <w:r>
        <w:rPr>
          <w:rFonts w:ascii="Calibri" w:hAnsi="Calibri" w:cs="Calibri"/>
        </w:rPr>
        <w:t xml:space="preserve">tóry stanowi tom II SWZ. </w:t>
      </w:r>
    </w:p>
    <w:p w:rsidR="0078639D" w:rsidRDefault="004945CF">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49" w:name="_Toc95987085"/>
      <w:bookmarkStart w:id="50" w:name="_Toc114403772"/>
      <w:r>
        <w:rPr>
          <w:rFonts w:asciiTheme="minorHAnsi" w:hAnsiTheme="minorHAnsi" w:cstheme="minorHAnsi"/>
          <w:color w:val="2F5496" w:themeColor="accent1" w:themeShade="BF"/>
          <w:sz w:val="20"/>
          <w:szCs w:val="20"/>
        </w:rPr>
        <w:t>POUCZENIE O ŚRODKACH OCHRONY PRAWNEJ</w:t>
      </w:r>
      <w:bookmarkEnd w:id="49"/>
      <w:bookmarkEnd w:id="50"/>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Zasady, terminy oraz sposób korzystania ze środków ochrony prawnej szczegółowo regulują przepisy Działu IX PZP – Środki ochrony prawnej (art. 505 - 590 PZP).</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Wykonawcy oraz innemu podmiotowi, jeżeli ma lub miał interes w uzyskaniu zamówienia oraz poniósł lub może ponieść szkodę w wyniku naruszenia przez zamawiającego przepisów ustawy, przysługują środki ochrony prawnej określone w dziale IX PZP.</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 xml:space="preserve">Odwołanie przysługuje na: </w:t>
      </w:r>
    </w:p>
    <w:p w:rsidR="0078639D" w:rsidRDefault="004945CF">
      <w:pPr>
        <w:pStyle w:val="Akapitzlist"/>
        <w:numPr>
          <w:ilvl w:val="0"/>
          <w:numId w:val="23"/>
        </w:numPr>
        <w:spacing w:line="276" w:lineRule="auto"/>
        <w:ind w:left="567" w:hanging="283"/>
        <w:jc w:val="both"/>
        <w:rPr>
          <w:rFonts w:asciiTheme="minorHAnsi" w:hAnsiTheme="minorHAnsi" w:cstheme="minorHAnsi"/>
        </w:rPr>
      </w:pPr>
      <w:r>
        <w:rPr>
          <w:rFonts w:asciiTheme="minorHAnsi" w:hAnsiTheme="minorHAnsi" w:cstheme="minorHAnsi"/>
        </w:rPr>
        <w:t xml:space="preserve">niezgodną z przepisami ustawy czynność zamawiającego, podjętą w postępowaniu o udzielenie zamówienia, w tym na projektowane postanowienie umowy; </w:t>
      </w:r>
    </w:p>
    <w:p w:rsidR="0078639D" w:rsidRDefault="004945CF">
      <w:pPr>
        <w:pStyle w:val="Akapitzlist"/>
        <w:numPr>
          <w:ilvl w:val="0"/>
          <w:numId w:val="23"/>
        </w:numPr>
        <w:spacing w:line="276" w:lineRule="auto"/>
        <w:ind w:left="567" w:hanging="283"/>
        <w:jc w:val="both"/>
        <w:rPr>
          <w:rFonts w:asciiTheme="minorHAnsi" w:hAnsiTheme="minorHAnsi" w:cstheme="minorHAnsi"/>
        </w:rPr>
      </w:pPr>
      <w:r>
        <w:rPr>
          <w:rFonts w:asciiTheme="minorHAnsi" w:hAnsiTheme="minorHAnsi" w:cstheme="minorHAnsi"/>
        </w:rPr>
        <w:t xml:space="preserve">zaniechanie czynności w postępowaniu o udzielenie zamówienia, do której zamawiający był obowiązany na podstawie ustawy; </w:t>
      </w:r>
    </w:p>
    <w:p w:rsidR="0078639D" w:rsidRDefault="004945CF">
      <w:pPr>
        <w:pStyle w:val="Akapitzlist"/>
        <w:numPr>
          <w:ilvl w:val="0"/>
          <w:numId w:val="23"/>
        </w:numPr>
        <w:spacing w:line="276" w:lineRule="auto"/>
        <w:ind w:left="567" w:hanging="283"/>
        <w:jc w:val="both"/>
        <w:rPr>
          <w:rFonts w:asciiTheme="minorHAnsi" w:hAnsiTheme="minorHAnsi" w:cstheme="minorHAnsi"/>
        </w:rPr>
      </w:pPr>
      <w:r>
        <w:rPr>
          <w:rFonts w:asciiTheme="minorHAnsi" w:hAnsiTheme="minorHAnsi" w:cstheme="minorHAnsi"/>
        </w:rPr>
        <w:t>zaniechanie przeprowadzenia postępowania o udzielenie zamówienia na podstawie ustawy, mimo że zamawiający był do tego obowiązany.</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Odwołanie wnosi się do Prezesa KIO. Odwołujący przekazuje Zamawiającemu odwołanie wniesione w formie elektronicznej lub w postaci elektronicznej, w tym na adres do doręczeń elektronicznych, o którym mowa w art. 2 pkt 1 ustawy z dnia 18 listopada 2020 r. o doręczeniach elektronicznych (tj. Dz.U. z 2026 r. poz. 3 ze zm.)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 xml:space="preserve">Odwołanie wnosi się w terminie: </w:t>
      </w:r>
    </w:p>
    <w:p w:rsidR="0078639D" w:rsidRDefault="004945CF">
      <w:pPr>
        <w:pStyle w:val="Akapitzlist"/>
        <w:numPr>
          <w:ilvl w:val="0"/>
          <w:numId w:val="24"/>
        </w:numPr>
        <w:spacing w:line="276" w:lineRule="auto"/>
        <w:ind w:left="567" w:hanging="283"/>
        <w:jc w:val="both"/>
        <w:rPr>
          <w:rFonts w:asciiTheme="minorHAnsi" w:hAnsiTheme="minorHAnsi" w:cstheme="minorHAnsi"/>
        </w:rPr>
      </w:pPr>
      <w:r>
        <w:rPr>
          <w:rFonts w:asciiTheme="minorHAnsi" w:hAnsiTheme="minorHAnsi" w:cstheme="minorHAnsi"/>
        </w:rPr>
        <w:t xml:space="preserve">10 dni od dnia przekazania informacji o czynności zamawiającego stanowiącej podstawę jego wniesienia, jeżeli informacja została przekazana przy użyciu środków komunikacji elektronicznej; </w:t>
      </w:r>
    </w:p>
    <w:p w:rsidR="0078639D" w:rsidRDefault="004945CF">
      <w:pPr>
        <w:pStyle w:val="Akapitzlist"/>
        <w:numPr>
          <w:ilvl w:val="0"/>
          <w:numId w:val="24"/>
        </w:numPr>
        <w:spacing w:line="276" w:lineRule="auto"/>
        <w:ind w:left="567" w:hanging="283"/>
        <w:jc w:val="both"/>
        <w:rPr>
          <w:rFonts w:asciiTheme="minorHAnsi" w:hAnsiTheme="minorHAnsi" w:cstheme="minorHAnsi"/>
        </w:rPr>
      </w:pPr>
      <w:r>
        <w:rPr>
          <w:rFonts w:asciiTheme="minorHAnsi" w:hAnsiTheme="minorHAnsi" w:cstheme="minorHAnsi"/>
        </w:rPr>
        <w:t>15 dni od dnia przekazania informacji o czynności zamawiającego stanowiącej podstawę jego wniesienia, jeżeli informacja została przekazana w sposób inny niż określony w pkt a).</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Odwołanie w przypadkach innych niż określone wyżej wnosi się w terminie 10 dni od dnia, w którym powzięto lub przy zachowaniu należytej staranności można było powziąć wiadomość o okolicznościach stanowiących podstawę jego wniesienia.</w:t>
      </w:r>
    </w:p>
    <w:p w:rsidR="0078639D" w:rsidRDefault="004945CF">
      <w:pPr>
        <w:pStyle w:val="Akapitzlist"/>
        <w:numPr>
          <w:ilvl w:val="0"/>
          <w:numId w:val="22"/>
        </w:numPr>
        <w:spacing w:line="276" w:lineRule="auto"/>
        <w:ind w:left="284" w:hanging="284"/>
        <w:jc w:val="both"/>
        <w:rPr>
          <w:rFonts w:asciiTheme="minorHAnsi" w:hAnsiTheme="minorHAnsi" w:cstheme="minorHAnsi"/>
        </w:rPr>
      </w:pPr>
      <w:r>
        <w:rPr>
          <w:rFonts w:asciiTheme="minorHAnsi" w:hAnsiTheme="minorHAnsi" w:cstheme="minorHAnsi"/>
        </w:rPr>
        <w:t>Na orzeczenie Krajowej Izby Odwoławczej oraz postanowienie Prezesa Krajowej Izby Odwoławczej stronom oraz uczestnikom postępowania odwoławczego przysługuje skarga do Sądu Okręgowego w Warszawie – sądu zamówień publicznych.</w:t>
      </w:r>
      <w:bookmarkStart w:id="51" w:name="_Toc95987086"/>
    </w:p>
    <w:p w:rsidR="0078639D" w:rsidRDefault="004945CF">
      <w:pPr>
        <w:sectPr w:rsidR="0078639D">
          <w:footerReference w:type="even" r:id="rId19"/>
          <w:footerReference w:type="default" r:id="rId20"/>
          <w:pgSz w:w="11906" w:h="16838"/>
          <w:pgMar w:top="468" w:right="720" w:bottom="720" w:left="720" w:header="0" w:footer="283" w:gutter="0"/>
          <w:cols w:space="720"/>
          <w:formProt w:val="0"/>
          <w:titlePg/>
        </w:sectPr>
      </w:pPr>
      <w:r>
        <w:br w:type="page"/>
      </w:r>
    </w:p>
    <w:p w:rsidR="0078639D" w:rsidRDefault="004945CF">
      <w:r>
        <w:rPr>
          <w:noProof/>
          <w:lang w:val="en-US"/>
        </w:rPr>
        <w:lastRenderedPageBreak/>
        <w:drawing>
          <wp:inline distT="0" distB="0" distL="0" distR="0">
            <wp:extent cx="6645910" cy="664845"/>
            <wp:effectExtent l="0" t="0" r="0" b="0"/>
            <wp:docPr id="7" name="Obra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6"/>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pStyle w:val="Nagwek3"/>
        <w:spacing w:line="276" w:lineRule="auto"/>
        <w:rPr>
          <w:rFonts w:asciiTheme="majorHAnsi" w:hAnsiTheme="majorHAnsi"/>
          <w:i w:val="0"/>
          <w:sz w:val="20"/>
          <w:szCs w:val="20"/>
        </w:rPr>
      </w:pPr>
      <w:bookmarkStart w:id="52" w:name="_Toc114403773"/>
      <w:r>
        <w:rPr>
          <w:rFonts w:asciiTheme="majorHAnsi" w:hAnsiTheme="majorHAnsi"/>
          <w:i w:val="0"/>
          <w:sz w:val="20"/>
          <w:szCs w:val="20"/>
        </w:rPr>
        <w:t>Załącznik nr 1 - Wzór formularza oferty</w:t>
      </w:r>
      <w:bookmarkEnd w:id="51"/>
      <w:bookmarkEnd w:id="52"/>
    </w:p>
    <w:p w:rsidR="0078639D" w:rsidRDefault="004945CF">
      <w:pPr>
        <w:spacing w:before="240" w:line="276" w:lineRule="auto"/>
        <w:jc w:val="center"/>
        <w:rPr>
          <w:rFonts w:eastAsia="Times New Roman" w:cstheme="minorHAnsi"/>
          <w:b/>
          <w:color w:val="000000"/>
          <w:sz w:val="20"/>
          <w:szCs w:val="20"/>
          <w:lang w:eastAsia="ar-SA"/>
        </w:rPr>
      </w:pPr>
      <w:r>
        <w:rPr>
          <w:rFonts w:cstheme="minorHAnsi"/>
          <w:b/>
          <w:color w:val="000000"/>
          <w:sz w:val="20"/>
          <w:szCs w:val="20"/>
        </w:rPr>
        <w:t>FORMULARZ OFERTOWY</w:t>
      </w:r>
    </w:p>
    <w:p w:rsidR="0078639D" w:rsidRDefault="004945CF" w:rsidP="006F5606">
      <w:pPr>
        <w:spacing w:after="0" w:line="276" w:lineRule="auto"/>
        <w:jc w:val="both"/>
        <w:rPr>
          <w:rFonts w:cstheme="minorHAnsi"/>
          <w:b/>
          <w:bCs/>
          <w:sz w:val="20"/>
          <w:szCs w:val="20"/>
        </w:rPr>
      </w:pPr>
      <w:r>
        <w:rPr>
          <w:rFonts w:cstheme="minorHAnsi"/>
          <w:bCs/>
          <w:color w:val="000000"/>
          <w:sz w:val="20"/>
          <w:szCs w:val="20"/>
        </w:rPr>
        <w:t xml:space="preserve">Dotyczy: </w:t>
      </w:r>
      <w:sdt>
        <w:sdtPr>
          <w:rPr>
            <w:b/>
            <w:sz w:val="20"/>
            <w:szCs w:val="20"/>
          </w:rPr>
          <w:alias w:val="Tytuł"/>
          <w:id w:val="-1892877997"/>
          <w:placeholder>
            <w:docPart w:val="ACAD2BF53C8348A4A12821071434FD55"/>
          </w:placeholder>
          <w:dataBinding w:prefixMappings="xmlns:ns0='http://purl.org/dc/elements/1.1/' xmlns:ns1='http://schemas.openxmlformats.org/package/2006/metadata/core-properties' " w:xpath="/ns1:coreProperties[1]/ns0:title[1]" w:storeItemID="{6C3C8BC8-F283-45AE-878A-BAB7291924A1}"/>
          <w:text/>
        </w:sdtPr>
        <w:sdtContent>
          <w:r w:rsidR="007E110C">
            <w:rPr>
              <w:b/>
              <w:sz w:val="20"/>
              <w:szCs w:val="20"/>
            </w:rPr>
            <w:t>Zakup wyposażenia Oddziału Wewnętrznego w ramach projektu „Modernizacja infrastruktury kardiologicznej Oddziału Wewnętrznego SPZOZ w Gostyniu"</w:t>
          </w:r>
        </w:sdtContent>
      </w:sdt>
      <w:r>
        <w:rPr>
          <w:rFonts w:cstheme="minorHAnsi"/>
          <w:b/>
          <w:bCs/>
          <w:sz w:val="20"/>
          <w:szCs w:val="20"/>
        </w:rPr>
        <w:t>.</w:t>
      </w:r>
    </w:p>
    <w:p w:rsidR="0078639D" w:rsidRDefault="004945CF">
      <w:pPr>
        <w:tabs>
          <w:tab w:val="left" w:pos="360"/>
        </w:tabs>
        <w:spacing w:line="276" w:lineRule="auto"/>
        <w:contextualSpacing/>
        <w:rPr>
          <w:rFonts w:cstheme="minorHAnsi"/>
          <w:b/>
          <w:bCs/>
          <w:sz w:val="20"/>
          <w:szCs w:val="20"/>
        </w:rPr>
      </w:pPr>
      <w:r>
        <w:rPr>
          <w:rFonts w:cstheme="minorHAnsi"/>
          <w:bCs/>
          <w:sz w:val="20"/>
          <w:szCs w:val="20"/>
        </w:rPr>
        <w:t xml:space="preserve">Nr referencyjny nadany sprawie przez Zamawiającego: </w:t>
      </w:r>
      <w:sdt>
        <w:sdtPr>
          <w:alias w:val="Słowa kluczowe"/>
          <w:id w:val="591514697"/>
          <w:placeholder>
            <w:docPart w:val="AF9370547C6D4F4499ADF1BA64DE7044"/>
          </w:placeholder>
          <w:dataBinding w:prefixMappings="xmlns:ns0='http://purl.org/dc/elements/1.1/' xmlns:ns1='http://schemas.openxmlformats.org/package/2006/metadata/core-properties' " w:xpath="/ns1:coreProperties[1]/ns1:keywords[1]" w:storeItemID="{6C3C8BC8-F283-45AE-878A-BAB7291924A1}"/>
          <w:text/>
        </w:sdtPr>
        <w:sdtContent>
          <w:r>
            <w:rPr>
              <w:rFonts w:cstheme="minorHAnsi"/>
              <w:b/>
              <w:bCs/>
              <w:sz w:val="20"/>
              <w:szCs w:val="20"/>
            </w:rPr>
            <w:t>SPZOZ.XII.231.1/3/2026</w:t>
          </w:r>
        </w:sdtContent>
      </w:sdt>
    </w:p>
    <w:p w:rsidR="0078639D" w:rsidRDefault="0078639D">
      <w:pPr>
        <w:tabs>
          <w:tab w:val="left" w:pos="360"/>
        </w:tabs>
        <w:spacing w:line="276" w:lineRule="auto"/>
        <w:contextualSpacing/>
        <w:rPr>
          <w:rFonts w:cstheme="minorHAnsi"/>
          <w:b/>
          <w:bCs/>
          <w:sz w:val="20"/>
          <w:szCs w:val="20"/>
        </w:rPr>
      </w:pPr>
    </w:p>
    <w:p w:rsidR="0078639D" w:rsidRDefault="004945CF">
      <w:pPr>
        <w:numPr>
          <w:ilvl w:val="0"/>
          <w:numId w:val="3"/>
        </w:numPr>
        <w:spacing w:after="0" w:line="276" w:lineRule="auto"/>
        <w:ind w:left="284"/>
        <w:contextualSpacing/>
        <w:jc w:val="both"/>
        <w:rPr>
          <w:rFonts w:ascii="Calibri" w:eastAsia="Calibri" w:hAnsi="Calibri" w:cs="Calibri"/>
          <w:b/>
          <w:bCs/>
          <w:sz w:val="20"/>
          <w:szCs w:val="20"/>
        </w:rPr>
      </w:pPr>
      <w:r>
        <w:rPr>
          <w:rFonts w:ascii="Calibri" w:eastAsia="Calibri" w:hAnsi="Calibri" w:cs="Calibri"/>
          <w:b/>
          <w:bCs/>
          <w:sz w:val="20"/>
          <w:szCs w:val="20"/>
        </w:rPr>
        <w:t xml:space="preserve">ZAMAWIAJĄCY </w:t>
      </w:r>
    </w:p>
    <w:p w:rsidR="0078639D" w:rsidRDefault="004945CF">
      <w:pPr>
        <w:widowControl w:val="0"/>
        <w:tabs>
          <w:tab w:val="left" w:pos="426"/>
        </w:tabs>
        <w:spacing w:after="0" w:line="276" w:lineRule="auto"/>
        <w:contextualSpacing/>
        <w:jc w:val="both"/>
        <w:rPr>
          <w:b/>
          <w:sz w:val="20"/>
          <w:szCs w:val="20"/>
        </w:rPr>
      </w:pPr>
      <w:r>
        <w:rPr>
          <w:b/>
          <w:sz w:val="20"/>
          <w:szCs w:val="20"/>
        </w:rPr>
        <w:t>Samodzielny Publiczny Zespół Opieki Zdrowotnej w Gostyniu</w:t>
      </w:r>
    </w:p>
    <w:p w:rsidR="0078639D" w:rsidRDefault="0078639D">
      <w:pPr>
        <w:widowControl w:val="0"/>
        <w:tabs>
          <w:tab w:val="left" w:pos="426"/>
        </w:tabs>
        <w:spacing w:after="0" w:line="276" w:lineRule="auto"/>
        <w:contextualSpacing/>
        <w:jc w:val="both"/>
        <w:rPr>
          <w:rFonts w:ascii="Calibri" w:eastAsia="Calibri" w:hAnsi="Calibri" w:cs="Calibri"/>
          <w:b/>
          <w:bCs/>
          <w:color w:val="984806"/>
          <w:sz w:val="20"/>
          <w:szCs w:val="20"/>
        </w:rPr>
      </w:pPr>
    </w:p>
    <w:p w:rsidR="0078639D" w:rsidRDefault="004945CF">
      <w:pPr>
        <w:numPr>
          <w:ilvl w:val="0"/>
          <w:numId w:val="3"/>
        </w:numPr>
        <w:spacing w:after="0" w:line="276" w:lineRule="auto"/>
        <w:ind w:left="284"/>
        <w:contextualSpacing/>
        <w:jc w:val="both"/>
        <w:rPr>
          <w:rFonts w:ascii="Calibri" w:eastAsia="Calibri" w:hAnsi="Calibri" w:cs="Calibri"/>
          <w:b/>
          <w:bCs/>
          <w:sz w:val="20"/>
        </w:rPr>
      </w:pPr>
      <w:r>
        <w:rPr>
          <w:rFonts w:ascii="Calibri" w:eastAsia="Calibri" w:hAnsi="Calibri" w:cs="Calibri"/>
          <w:b/>
          <w:bCs/>
          <w:sz w:val="20"/>
          <w:szCs w:val="20"/>
        </w:rPr>
        <w:t>WYKONAWCA</w:t>
      </w:r>
    </w:p>
    <w:p w:rsidR="0078639D" w:rsidRDefault="00165C1D">
      <w:pPr>
        <w:spacing w:line="276" w:lineRule="auto"/>
        <w:contextualSpacing/>
        <w:rPr>
          <w:rFonts w:ascii="Calibri" w:eastAsia="Calibri" w:hAnsi="Calibri" w:cs="Calibri"/>
          <w:sz w:val="20"/>
          <w:szCs w:val="20"/>
        </w:rPr>
      </w:pPr>
      <w:sdt>
        <w:sdtPr>
          <w:id w:val="486514364"/>
          <w:placeholder>
            <w:docPart w:val="B4345BEB88284B96B60915F870FDC92C"/>
          </w:placeholder>
          <w:showingPlcHdr/>
          <w:text/>
        </w:sdtPr>
        <w:sdtContent>
          <w:r w:rsidR="004945CF">
            <w:rPr>
              <w:rFonts w:ascii="Calibri" w:eastAsia="Calibri" w:hAnsi="Calibri" w:cs="Calibri"/>
              <w:i/>
              <w:sz w:val="20"/>
              <w:szCs w:val="20"/>
            </w:rPr>
            <w:t>NAZWA WYKONAWCY</w:t>
          </w:r>
          <w:r w:rsidR="004945CF">
            <w:rPr>
              <w:rFonts w:ascii="Calibri" w:eastAsia="Calibri" w:hAnsi="Calibri" w:cs="Times New Roman"/>
              <w:color w:val="808080"/>
              <w:sz w:val="20"/>
              <w:szCs w:val="20"/>
            </w:rPr>
            <w:t>(wprowadzić tekst)</w:t>
          </w:r>
        </w:sdtContent>
      </w:sdt>
    </w:p>
    <w:p w:rsidR="0078639D" w:rsidRDefault="00165C1D">
      <w:pPr>
        <w:spacing w:line="276" w:lineRule="auto"/>
        <w:contextualSpacing/>
        <w:rPr>
          <w:rFonts w:ascii="Calibri" w:eastAsia="Calibri" w:hAnsi="Calibri" w:cs="Calibri"/>
          <w:sz w:val="20"/>
          <w:szCs w:val="20"/>
        </w:rPr>
      </w:pPr>
      <w:sdt>
        <w:sdtPr>
          <w:id w:val="-541127762"/>
          <w:placeholder>
            <w:docPart w:val="138813C4B49546AC86606957F67B7431"/>
          </w:placeholder>
          <w:showingPlcHdr/>
          <w:text/>
        </w:sdtPr>
        <w:sdtContent>
          <w:r w:rsidR="004945CF">
            <w:rPr>
              <w:rFonts w:ascii="Calibri" w:eastAsia="Calibri" w:hAnsi="Calibri" w:cs="Calibri"/>
              <w:i/>
              <w:sz w:val="20"/>
              <w:szCs w:val="20"/>
            </w:rPr>
            <w:t>SIEDZIBA WYKONAWCY</w:t>
          </w:r>
          <w:r w:rsidR="004945CF">
            <w:rPr>
              <w:rFonts w:ascii="Calibri" w:eastAsia="Calibri" w:hAnsi="Calibri" w:cs="Times New Roman"/>
              <w:color w:val="808080"/>
              <w:sz w:val="20"/>
              <w:szCs w:val="20"/>
            </w:rPr>
            <w:t>(wprowadzić tekst)</w:t>
          </w:r>
        </w:sdtContent>
      </w:sdt>
    </w:p>
    <w:p w:rsidR="0078639D" w:rsidRDefault="0078639D">
      <w:pPr>
        <w:sectPr w:rsidR="0078639D">
          <w:footerReference w:type="default" r:id="rId21"/>
          <w:footerReference w:type="first" r:id="rId22"/>
          <w:pgSz w:w="11906" w:h="16838"/>
          <w:pgMar w:top="720" w:right="720" w:bottom="720" w:left="720" w:header="0" w:footer="283" w:gutter="0"/>
          <w:cols w:space="720"/>
          <w:formProt w:val="0"/>
          <w:titlePg/>
          <w:docGrid w:linePitch="360"/>
        </w:sectPr>
      </w:pPr>
    </w:p>
    <w:p w:rsidR="0078639D" w:rsidRDefault="00165C1D">
      <w:pPr>
        <w:spacing w:line="276" w:lineRule="auto"/>
        <w:contextualSpacing/>
        <w:rPr>
          <w:rFonts w:ascii="Calibri" w:eastAsia="Calibri" w:hAnsi="Calibri" w:cs="Calibri"/>
          <w:sz w:val="20"/>
          <w:szCs w:val="20"/>
        </w:rPr>
      </w:pPr>
      <w:sdt>
        <w:sdtPr>
          <w:alias w:val=""/>
          <w:id w:val="351172235"/>
          <w:dropDownList>
            <w:listItem w:displayText="Wybierz element." w:value="Wybierz element."/>
            <w:listItem w:displayText="dolnośląskie" w:value="dolnośląskie"/>
            <w:listItem w:displayText="kujawsko-pomorskie" w:value="kujawsko-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mazurskie" w:value="warmińsko-mazurskie"/>
            <w:listItem w:displayText="wielkopolskie" w:value="wielkopolskie"/>
            <w:listItem w:displayText="zachodniopomorskie" w:value="zachodniopomorskie"/>
            <w:listItem w:displayText="WOJEWÓDZTWOWybierz element." w:value="WOJEWÓDZTWOWybierz element."/>
          </w:dropDownList>
        </w:sdtPr>
        <w:sdtContent>
          <w:r w:rsidR="004945CF">
            <w:t>WOJEWÓDZTWOWybierz element.</w:t>
          </w:r>
        </w:sdtContent>
      </w:sdt>
      <w:r w:rsidR="004945CF">
        <w:rPr>
          <w:rFonts w:ascii="Calibri" w:eastAsia="Calibri" w:hAnsi="Calibri" w:cs="Calibri"/>
          <w:sz w:val="20"/>
          <w:szCs w:val="20"/>
        </w:rPr>
        <w:t xml:space="preserve">REGON: </w:t>
      </w:r>
      <w:sdt>
        <w:sdtPr>
          <w:id w:val="423625688"/>
          <w:showingPlcHdr/>
        </w:sdtPr>
        <w:sdtContent>
          <w:r w:rsidR="004945CF">
            <w:rPr>
              <w:rFonts w:ascii="Calibri" w:eastAsia="Calibri" w:hAnsi="Calibri" w:cs="Times New Roman"/>
              <w:color w:val="808080"/>
              <w:sz w:val="20"/>
              <w:szCs w:val="20"/>
            </w:rPr>
            <w:t>(wprowadzić tekst)</w:t>
          </w:r>
        </w:sdtContent>
      </w:sdt>
      <w:r w:rsidR="004945CF">
        <w:rPr>
          <w:rFonts w:ascii="Calibri" w:eastAsia="Calibri" w:hAnsi="Calibri" w:cs="Calibri"/>
          <w:b/>
          <w:sz w:val="20"/>
          <w:szCs w:val="20"/>
        </w:rPr>
        <w:t>|</w:t>
      </w:r>
      <w:r w:rsidR="004945CF">
        <w:rPr>
          <w:rFonts w:ascii="Calibri" w:eastAsia="Calibri" w:hAnsi="Calibri" w:cs="Calibri"/>
          <w:sz w:val="20"/>
          <w:szCs w:val="20"/>
        </w:rPr>
        <w:t xml:space="preserve"> NIP: </w:t>
      </w:r>
      <w:sdt>
        <w:sdtPr>
          <w:id w:val="-732230672"/>
          <w:showingPlcHdr/>
        </w:sdtPr>
        <w:sdtContent>
          <w:r w:rsidR="004945CF">
            <w:rPr>
              <w:rFonts w:ascii="Calibri" w:eastAsia="Calibri" w:hAnsi="Calibri" w:cs="Times New Roman"/>
              <w:color w:val="808080"/>
              <w:sz w:val="20"/>
              <w:szCs w:val="20"/>
            </w:rPr>
            <w:t>(wprowadzić tekst)</w:t>
          </w:r>
        </w:sdtContent>
      </w:sdt>
    </w:p>
    <w:p w:rsidR="0078639D" w:rsidRDefault="004945CF">
      <w:pPr>
        <w:spacing w:line="276" w:lineRule="auto"/>
        <w:contextualSpacing/>
        <w:rPr>
          <w:rFonts w:ascii="Calibri" w:eastAsia="Calibri" w:hAnsi="Calibri" w:cs="Calibri"/>
          <w:sz w:val="20"/>
          <w:szCs w:val="20"/>
        </w:rPr>
      </w:pPr>
      <w:r>
        <w:rPr>
          <w:rFonts w:ascii="Calibri" w:eastAsia="Calibri" w:hAnsi="Calibri" w:cs="Calibri"/>
          <w:sz w:val="20"/>
          <w:szCs w:val="20"/>
        </w:rPr>
        <w:t xml:space="preserve">Miejsce i numer rejestracji lub wpisu do ewidencji: </w:t>
      </w:r>
      <w:sdt>
        <w:sdtPr>
          <w:id w:val="854006556"/>
          <w:showingPlcHdr/>
        </w:sdtPr>
        <w:sdtContent>
          <w:r>
            <w:rPr>
              <w:rFonts w:ascii="Calibri" w:eastAsia="Calibri" w:hAnsi="Calibri" w:cs="Times New Roman"/>
              <w:color w:val="808080"/>
              <w:sz w:val="20"/>
              <w:szCs w:val="20"/>
            </w:rPr>
            <w:t>(wprowadzić tekst)</w:t>
          </w:r>
        </w:sdtContent>
      </w:sdt>
    </w:p>
    <w:tbl>
      <w:tblPr>
        <w:tblW w:w="10428" w:type="dxa"/>
        <w:tblInd w:w="118" w:type="dxa"/>
        <w:tblLayout w:type="fixed"/>
        <w:tblLook w:val="00A0"/>
      </w:tblPr>
      <w:tblGrid>
        <w:gridCol w:w="1730"/>
        <w:gridCol w:w="425"/>
        <w:gridCol w:w="2546"/>
        <w:gridCol w:w="5727"/>
      </w:tblGrid>
      <w:tr w:rsidR="0078639D">
        <w:trPr>
          <w:trHeight w:val="20"/>
        </w:trPr>
        <w:tc>
          <w:tcPr>
            <w:tcW w:w="1730" w:type="dxa"/>
            <w:vMerge w:val="restart"/>
            <w:tcBorders>
              <w:top w:val="single" w:sz="8" w:space="0" w:color="000000"/>
              <w:left w:val="single" w:sz="8" w:space="0" w:color="000000"/>
              <w:bottom w:val="single" w:sz="8" w:space="0" w:color="000000"/>
              <w:right w:val="single" w:sz="4" w:space="0" w:color="000000"/>
            </w:tcBorders>
            <w:shd w:val="clear" w:color="auto" w:fill="F7CAAC" w:themeFill="accent2" w:themeFillTint="66"/>
            <w:vAlign w:val="center"/>
          </w:tcPr>
          <w:p w:rsidR="0078639D" w:rsidRDefault="004945CF">
            <w:pPr>
              <w:tabs>
                <w:tab w:val="left" w:pos="1134"/>
              </w:tabs>
              <w:spacing w:after="0" w:line="276" w:lineRule="auto"/>
              <w:contextualSpacing/>
              <w:jc w:val="center"/>
              <w:rPr>
                <w:rFonts w:eastAsia="Times New Roman" w:cstheme="minorHAnsi"/>
                <w:bCs/>
                <w:sz w:val="12"/>
                <w:szCs w:val="20"/>
              </w:rPr>
            </w:pPr>
            <w:r>
              <w:rPr>
                <w:rFonts w:eastAsia="Times New Roman" w:cstheme="minorHAnsi"/>
                <w:b/>
                <w:bCs/>
                <w:sz w:val="20"/>
                <w:szCs w:val="20"/>
              </w:rPr>
              <w:t xml:space="preserve">Wielkość przedsiębiorstwa </w:t>
            </w:r>
            <w:r>
              <w:rPr>
                <w:rFonts w:eastAsia="Times New Roman" w:cstheme="minorHAnsi"/>
                <w:bCs/>
                <w:sz w:val="12"/>
                <w:szCs w:val="20"/>
              </w:rPr>
              <w:t>(oznaczyć znakiem x /</w:t>
            </w:r>
          </w:p>
          <w:p w:rsidR="0078639D" w:rsidRDefault="004945CF">
            <w:pPr>
              <w:tabs>
                <w:tab w:val="left" w:pos="1134"/>
              </w:tabs>
              <w:spacing w:after="0" w:line="276" w:lineRule="auto"/>
              <w:contextualSpacing/>
              <w:jc w:val="center"/>
              <w:rPr>
                <w:rFonts w:eastAsia="Times New Roman" w:cstheme="minorHAnsi"/>
                <w:sz w:val="20"/>
                <w:szCs w:val="20"/>
              </w:rPr>
            </w:pPr>
            <w:r>
              <w:rPr>
                <w:rFonts w:eastAsia="Times New Roman" w:cstheme="minorHAnsi"/>
                <w:bCs/>
                <w:sz w:val="12"/>
                <w:szCs w:val="20"/>
              </w:rPr>
              <w:t>kliknąć właściwy kwadrat)</w:t>
            </w:r>
          </w:p>
        </w:tc>
        <w:tc>
          <w:tcPr>
            <w:tcW w:w="425" w:type="dxa"/>
            <w:tcBorders>
              <w:top w:val="single" w:sz="8" w:space="0" w:color="000000"/>
              <w:left w:val="single" w:sz="4" w:space="0" w:color="000000"/>
              <w:bottom w:val="single" w:sz="4" w:space="0" w:color="000000"/>
              <w:right w:val="single" w:sz="4" w:space="0" w:color="000000"/>
            </w:tcBorders>
            <w:shd w:val="clear" w:color="auto" w:fill="FFFFFF" w:themeFill="background1"/>
            <w:vAlign w:val="center"/>
          </w:tcPr>
          <w:p w:rsidR="0078639D" w:rsidRDefault="00165C1D">
            <w:pPr>
              <w:tabs>
                <w:tab w:val="left" w:pos="1134"/>
              </w:tabs>
              <w:spacing w:after="0" w:line="276" w:lineRule="auto"/>
              <w:contextualSpacing/>
              <w:jc w:val="center"/>
              <w:rPr>
                <w:rFonts w:eastAsia="Times New Roman" w:cstheme="minorHAnsi"/>
                <w:b/>
                <w:sz w:val="20"/>
                <w:szCs w:val="20"/>
              </w:rPr>
            </w:pPr>
            <w:sdt>
              <w:sdtPr>
                <w:id w:val="1732420315"/>
              </w:sdtPr>
              <w:sdtContent>
                <w:r w:rsidR="004945CF">
                  <w:rPr>
                    <w:rFonts w:ascii="MS Gothic" w:eastAsia="MS Gothic" w:hAnsi="MS Gothic" w:cstheme="minorHAnsi"/>
                    <w:b/>
                    <w:sz w:val="20"/>
                    <w:szCs w:val="20"/>
                  </w:rPr>
                  <w:t>☐</w:t>
                </w:r>
              </w:sdtContent>
            </w:sdt>
          </w:p>
        </w:tc>
        <w:tc>
          <w:tcPr>
            <w:tcW w:w="2546" w:type="dxa"/>
            <w:tcBorders>
              <w:top w:val="single" w:sz="8" w:space="0" w:color="000000"/>
              <w:left w:val="single" w:sz="4" w:space="0" w:color="000000"/>
              <w:bottom w:val="single" w:sz="4" w:space="0" w:color="000000"/>
              <w:right w:val="single" w:sz="8" w:space="0" w:color="000000"/>
            </w:tcBorders>
            <w:shd w:val="clear" w:color="auto" w:fill="F7CAAC" w:themeFill="accent2" w:themeFillTint="66"/>
            <w:vAlign w:val="center"/>
          </w:tcPr>
          <w:p w:rsidR="0078639D" w:rsidRDefault="004945CF">
            <w:pPr>
              <w:tabs>
                <w:tab w:val="left" w:pos="1134"/>
              </w:tabs>
              <w:spacing w:after="0" w:line="276" w:lineRule="auto"/>
              <w:contextualSpacing/>
              <w:rPr>
                <w:rFonts w:eastAsia="Times New Roman" w:cstheme="minorHAnsi"/>
                <w:sz w:val="20"/>
                <w:szCs w:val="20"/>
              </w:rPr>
            </w:pPr>
            <w:r>
              <w:rPr>
                <w:rFonts w:eastAsia="Times New Roman" w:cstheme="minorHAnsi"/>
                <w:sz w:val="20"/>
                <w:szCs w:val="20"/>
              </w:rPr>
              <w:t>Mikroprzedsiębiorstwo</w:t>
            </w:r>
            <w:r>
              <w:rPr>
                <w:rStyle w:val="Odwoanieprzypisudolnego"/>
                <w:rFonts w:eastAsia="Times New Roman" w:cstheme="minorHAnsi"/>
                <w:sz w:val="20"/>
                <w:szCs w:val="20"/>
              </w:rPr>
              <w:footnoteReference w:id="1"/>
            </w:r>
          </w:p>
        </w:tc>
        <w:tc>
          <w:tcPr>
            <w:tcW w:w="5726" w:type="dxa"/>
            <w:tcBorders>
              <w:top w:val="single" w:sz="8" w:space="0" w:color="000000"/>
              <w:left w:val="single" w:sz="8" w:space="0" w:color="000000"/>
              <w:bottom w:val="single" w:sz="4" w:space="0" w:color="000000"/>
              <w:right w:val="single" w:sz="8" w:space="0" w:color="000000"/>
            </w:tcBorders>
            <w:shd w:val="clear" w:color="auto" w:fill="F7CAAC" w:themeFill="accent2" w:themeFillTint="66"/>
          </w:tcPr>
          <w:p w:rsidR="0078639D" w:rsidRDefault="004945CF">
            <w:pPr>
              <w:spacing w:after="0" w:line="276" w:lineRule="auto"/>
              <w:contextualSpacing/>
              <w:jc w:val="center"/>
              <w:rPr>
                <w:rFonts w:eastAsia="Calibri" w:cstheme="minorHAnsi"/>
                <w:b/>
                <w:bCs/>
                <w:sz w:val="20"/>
                <w:szCs w:val="20"/>
              </w:rPr>
            </w:pPr>
            <w:r>
              <w:rPr>
                <w:rFonts w:eastAsia="Calibri" w:cstheme="minorHAnsi"/>
                <w:b/>
                <w:bCs/>
                <w:sz w:val="20"/>
                <w:szCs w:val="20"/>
              </w:rPr>
              <w:t>Osoba uprawniona do kontaktów</w:t>
            </w:r>
          </w:p>
        </w:tc>
      </w:tr>
      <w:tr w:rsidR="0078639D">
        <w:trPr>
          <w:trHeight w:val="20"/>
        </w:trPr>
        <w:tc>
          <w:tcPr>
            <w:tcW w:w="1730" w:type="dxa"/>
            <w:vMerge/>
            <w:tcBorders>
              <w:top w:val="single" w:sz="4" w:space="0" w:color="000000"/>
              <w:left w:val="single" w:sz="8" w:space="0" w:color="000000"/>
              <w:bottom w:val="single" w:sz="4" w:space="0" w:color="000000"/>
              <w:right w:val="single" w:sz="4" w:space="0" w:color="000000"/>
            </w:tcBorders>
            <w:shd w:val="clear" w:color="auto" w:fill="F7CAAC" w:themeFill="accent2" w:themeFillTint="66"/>
            <w:vAlign w:val="center"/>
          </w:tcPr>
          <w:p w:rsidR="0078639D" w:rsidRDefault="0078639D">
            <w:pPr>
              <w:tabs>
                <w:tab w:val="left" w:pos="1134"/>
              </w:tabs>
              <w:spacing w:after="0" w:line="276" w:lineRule="auto"/>
              <w:contextualSpacing/>
              <w:jc w:val="center"/>
              <w:rPr>
                <w:rFonts w:eastAsia="Times New Roman" w:cstheme="minorHAnsi"/>
                <w:sz w:val="20"/>
                <w:szCs w:val="20"/>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8639D" w:rsidRDefault="00165C1D">
            <w:pPr>
              <w:tabs>
                <w:tab w:val="left" w:pos="1134"/>
              </w:tabs>
              <w:spacing w:after="0" w:line="276" w:lineRule="auto"/>
              <w:contextualSpacing/>
              <w:jc w:val="center"/>
              <w:rPr>
                <w:rFonts w:eastAsia="Times New Roman" w:cstheme="minorHAnsi"/>
                <w:b/>
                <w:sz w:val="20"/>
                <w:szCs w:val="20"/>
              </w:rPr>
            </w:pPr>
            <w:sdt>
              <w:sdtPr>
                <w:id w:val="1163895493"/>
                <w:text/>
              </w:sdtPr>
              <w:sdtContent>
                <w:r w:rsidR="004945CF">
                  <w:rPr>
                    <w:rFonts w:ascii="MS Gothic" w:eastAsia="MS Gothic" w:hAnsi="MS Gothic" w:cstheme="minorHAnsi"/>
                    <w:b/>
                    <w:sz w:val="20"/>
                    <w:szCs w:val="20"/>
                  </w:rPr>
                  <w:t>☐</w:t>
                </w:r>
              </w:sdtContent>
            </w:sdt>
          </w:p>
        </w:tc>
        <w:tc>
          <w:tcPr>
            <w:tcW w:w="2546" w:type="dxa"/>
            <w:tcBorders>
              <w:top w:val="single" w:sz="4" w:space="0" w:color="000000"/>
              <w:left w:val="single" w:sz="4" w:space="0" w:color="000000"/>
              <w:bottom w:val="single" w:sz="4" w:space="0" w:color="000000"/>
              <w:right w:val="single" w:sz="8" w:space="0" w:color="000000"/>
            </w:tcBorders>
            <w:shd w:val="clear" w:color="auto" w:fill="F7CAAC" w:themeFill="accent2" w:themeFillTint="66"/>
            <w:vAlign w:val="center"/>
          </w:tcPr>
          <w:p w:rsidR="0078639D" w:rsidRDefault="004945CF">
            <w:pPr>
              <w:tabs>
                <w:tab w:val="left" w:pos="1134"/>
              </w:tabs>
              <w:spacing w:after="0" w:line="276" w:lineRule="auto"/>
              <w:contextualSpacing/>
              <w:rPr>
                <w:rFonts w:eastAsia="Times New Roman" w:cstheme="minorHAnsi"/>
                <w:sz w:val="20"/>
                <w:szCs w:val="20"/>
              </w:rPr>
            </w:pPr>
            <w:r>
              <w:rPr>
                <w:rFonts w:eastAsia="Times New Roman" w:cstheme="minorHAnsi"/>
                <w:sz w:val="20"/>
                <w:szCs w:val="20"/>
              </w:rPr>
              <w:t>Małe przedsiębiorstwo</w:t>
            </w:r>
            <w:r>
              <w:rPr>
                <w:rStyle w:val="Odwoanieprzypisudolnego"/>
                <w:rFonts w:eastAsia="Times New Roman" w:cstheme="minorHAnsi"/>
                <w:sz w:val="20"/>
                <w:szCs w:val="20"/>
              </w:rPr>
              <w:footnoteReference w:id="2"/>
            </w:r>
          </w:p>
        </w:tc>
        <w:tc>
          <w:tcPr>
            <w:tcW w:w="5726" w:type="dxa"/>
            <w:tcBorders>
              <w:top w:val="single" w:sz="4" w:space="0" w:color="000000"/>
              <w:left w:val="single" w:sz="8" w:space="0" w:color="000000"/>
              <w:bottom w:val="single" w:sz="4" w:space="0" w:color="000000"/>
              <w:right w:val="single" w:sz="8" w:space="0" w:color="000000"/>
            </w:tcBorders>
          </w:tcPr>
          <w:p w:rsidR="0078639D" w:rsidRDefault="00165C1D">
            <w:pPr>
              <w:spacing w:line="276" w:lineRule="auto"/>
              <w:contextualSpacing/>
              <w:rPr>
                <w:rFonts w:eastAsia="Calibri" w:cstheme="minorHAnsi"/>
                <w:b/>
                <w:sz w:val="20"/>
                <w:szCs w:val="20"/>
              </w:rPr>
            </w:pPr>
            <w:sdt>
              <w:sdtPr>
                <w:id w:val="425010793"/>
                <w:showingPlcHdr/>
                <w:text/>
              </w:sdtPr>
              <w:sdtContent>
                <w:r w:rsidR="004945CF">
                  <w:rPr>
                    <w:rFonts w:eastAsia="Calibri" w:cstheme="minorHAnsi"/>
                    <w:i/>
                    <w:sz w:val="20"/>
                    <w:szCs w:val="20"/>
                  </w:rPr>
                  <w:t>IMIĘ I NAZWISKO: ………………</w:t>
                </w:r>
              </w:sdtContent>
            </w:sdt>
          </w:p>
        </w:tc>
      </w:tr>
      <w:tr w:rsidR="0078639D">
        <w:trPr>
          <w:trHeight w:val="20"/>
        </w:trPr>
        <w:tc>
          <w:tcPr>
            <w:tcW w:w="1730" w:type="dxa"/>
            <w:vMerge/>
            <w:tcBorders>
              <w:top w:val="single" w:sz="4" w:space="0" w:color="000000"/>
              <w:left w:val="single" w:sz="8" w:space="0" w:color="000000"/>
              <w:bottom w:val="single" w:sz="4" w:space="0" w:color="000000"/>
              <w:right w:val="single" w:sz="4" w:space="0" w:color="000000"/>
            </w:tcBorders>
            <w:shd w:val="clear" w:color="auto" w:fill="F7CAAC" w:themeFill="accent2" w:themeFillTint="66"/>
            <w:vAlign w:val="center"/>
          </w:tcPr>
          <w:p w:rsidR="0078639D" w:rsidRDefault="0078639D">
            <w:pPr>
              <w:tabs>
                <w:tab w:val="left" w:pos="1134"/>
              </w:tabs>
              <w:spacing w:after="0" w:line="276" w:lineRule="auto"/>
              <w:contextualSpacing/>
              <w:jc w:val="center"/>
              <w:rPr>
                <w:rFonts w:eastAsia="Times New Roman" w:cstheme="minorHAnsi"/>
                <w:sz w:val="20"/>
                <w:szCs w:val="20"/>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8639D" w:rsidRDefault="00165C1D">
            <w:pPr>
              <w:tabs>
                <w:tab w:val="left" w:pos="1134"/>
              </w:tabs>
              <w:spacing w:after="0" w:line="276" w:lineRule="auto"/>
              <w:contextualSpacing/>
              <w:jc w:val="center"/>
              <w:rPr>
                <w:rFonts w:eastAsia="Times New Roman" w:cstheme="minorHAnsi"/>
                <w:b/>
                <w:sz w:val="20"/>
                <w:szCs w:val="20"/>
              </w:rPr>
            </w:pPr>
            <w:sdt>
              <w:sdtPr>
                <w:id w:val="-407928385"/>
                <w:text/>
              </w:sdtPr>
              <w:sdtContent>
                <w:r w:rsidR="004945CF">
                  <w:rPr>
                    <w:rFonts w:ascii="MS Gothic" w:eastAsia="MS Gothic" w:hAnsi="MS Gothic" w:cstheme="minorHAnsi"/>
                    <w:b/>
                    <w:sz w:val="20"/>
                    <w:szCs w:val="20"/>
                  </w:rPr>
                  <w:t>☐</w:t>
                </w:r>
              </w:sdtContent>
            </w:sdt>
          </w:p>
        </w:tc>
        <w:tc>
          <w:tcPr>
            <w:tcW w:w="2546" w:type="dxa"/>
            <w:tcBorders>
              <w:top w:val="single" w:sz="4" w:space="0" w:color="000000"/>
              <w:left w:val="single" w:sz="4" w:space="0" w:color="000000"/>
              <w:bottom w:val="single" w:sz="4" w:space="0" w:color="000000"/>
              <w:right w:val="single" w:sz="8" w:space="0" w:color="000000"/>
            </w:tcBorders>
            <w:shd w:val="clear" w:color="auto" w:fill="F7CAAC" w:themeFill="accent2" w:themeFillTint="66"/>
            <w:vAlign w:val="center"/>
          </w:tcPr>
          <w:p w:rsidR="0078639D" w:rsidRDefault="004945CF">
            <w:pPr>
              <w:tabs>
                <w:tab w:val="left" w:pos="1134"/>
              </w:tabs>
              <w:spacing w:after="0" w:line="276" w:lineRule="auto"/>
              <w:contextualSpacing/>
              <w:rPr>
                <w:rFonts w:eastAsia="Times New Roman" w:cstheme="minorHAnsi"/>
                <w:sz w:val="20"/>
                <w:szCs w:val="20"/>
              </w:rPr>
            </w:pPr>
            <w:r>
              <w:rPr>
                <w:rFonts w:eastAsia="Times New Roman" w:cstheme="minorHAnsi"/>
                <w:sz w:val="20"/>
                <w:szCs w:val="20"/>
              </w:rPr>
              <w:t>Średnie przedsiębiorstwo</w:t>
            </w:r>
            <w:r>
              <w:rPr>
                <w:rStyle w:val="Odwoanieprzypisudolnego"/>
                <w:rFonts w:eastAsia="Times New Roman" w:cstheme="minorHAnsi"/>
                <w:sz w:val="20"/>
                <w:szCs w:val="20"/>
              </w:rPr>
              <w:footnoteReference w:id="3"/>
            </w:r>
          </w:p>
        </w:tc>
        <w:tc>
          <w:tcPr>
            <w:tcW w:w="5726" w:type="dxa"/>
            <w:tcBorders>
              <w:top w:val="single" w:sz="4" w:space="0" w:color="000000"/>
              <w:left w:val="single" w:sz="8" w:space="0" w:color="000000"/>
              <w:bottom w:val="single" w:sz="4" w:space="0" w:color="000000"/>
              <w:right w:val="single" w:sz="8" w:space="0" w:color="000000"/>
            </w:tcBorders>
          </w:tcPr>
          <w:p w:rsidR="0078639D" w:rsidRDefault="00165C1D">
            <w:pPr>
              <w:spacing w:line="276" w:lineRule="auto"/>
              <w:contextualSpacing/>
              <w:rPr>
                <w:rFonts w:eastAsia="Calibri" w:cstheme="minorHAnsi"/>
                <w:b/>
                <w:sz w:val="20"/>
                <w:szCs w:val="20"/>
              </w:rPr>
            </w:pPr>
            <w:sdt>
              <w:sdtPr>
                <w:id w:val="1540008335"/>
                <w:showingPlcHdr/>
                <w:text/>
              </w:sdtPr>
              <w:sdtContent>
                <w:r w:rsidR="004945CF">
                  <w:rPr>
                    <w:rFonts w:eastAsia="Calibri" w:cstheme="minorHAnsi"/>
                    <w:i/>
                    <w:sz w:val="20"/>
                    <w:szCs w:val="20"/>
                  </w:rPr>
                  <w:t>E-MAIL: ………………</w:t>
                </w:r>
              </w:sdtContent>
            </w:sdt>
          </w:p>
        </w:tc>
      </w:tr>
      <w:tr w:rsidR="0078639D">
        <w:trPr>
          <w:trHeight w:val="20"/>
        </w:trPr>
        <w:tc>
          <w:tcPr>
            <w:tcW w:w="1730" w:type="dxa"/>
            <w:vMerge/>
            <w:tcBorders>
              <w:top w:val="single" w:sz="4" w:space="0" w:color="000000"/>
              <w:left w:val="single" w:sz="8" w:space="0" w:color="000000"/>
              <w:bottom w:val="single" w:sz="8" w:space="0" w:color="000000"/>
              <w:right w:val="single" w:sz="4" w:space="0" w:color="000000"/>
            </w:tcBorders>
            <w:shd w:val="clear" w:color="auto" w:fill="F7CAAC" w:themeFill="accent2" w:themeFillTint="66"/>
            <w:vAlign w:val="center"/>
          </w:tcPr>
          <w:p w:rsidR="0078639D" w:rsidRDefault="0078639D">
            <w:pPr>
              <w:tabs>
                <w:tab w:val="left" w:pos="1134"/>
              </w:tabs>
              <w:spacing w:after="0" w:line="276" w:lineRule="auto"/>
              <w:contextualSpacing/>
              <w:jc w:val="center"/>
              <w:rPr>
                <w:rFonts w:eastAsia="Times New Roman" w:cstheme="minorHAnsi"/>
                <w:sz w:val="20"/>
                <w:szCs w:val="20"/>
              </w:rPr>
            </w:pPr>
          </w:p>
        </w:tc>
        <w:tc>
          <w:tcPr>
            <w:tcW w:w="425" w:type="dxa"/>
            <w:tcBorders>
              <w:top w:val="single" w:sz="4" w:space="0" w:color="000000"/>
              <w:left w:val="single" w:sz="4" w:space="0" w:color="000000"/>
              <w:bottom w:val="single" w:sz="8" w:space="0" w:color="000000"/>
              <w:right w:val="single" w:sz="4" w:space="0" w:color="000000"/>
            </w:tcBorders>
            <w:shd w:val="clear" w:color="auto" w:fill="FFFFFF" w:themeFill="background1"/>
            <w:vAlign w:val="center"/>
          </w:tcPr>
          <w:p w:rsidR="0078639D" w:rsidRDefault="00165C1D">
            <w:pPr>
              <w:tabs>
                <w:tab w:val="left" w:pos="1134"/>
              </w:tabs>
              <w:spacing w:after="0" w:line="276" w:lineRule="auto"/>
              <w:contextualSpacing/>
              <w:jc w:val="center"/>
              <w:rPr>
                <w:rFonts w:eastAsia="Times New Roman" w:cstheme="minorHAnsi"/>
                <w:b/>
                <w:sz w:val="20"/>
                <w:szCs w:val="20"/>
              </w:rPr>
            </w:pPr>
            <w:sdt>
              <w:sdtPr>
                <w:id w:val="-295767820"/>
                <w:text/>
              </w:sdtPr>
              <w:sdtContent>
                <w:r w:rsidR="004945CF">
                  <w:rPr>
                    <w:rFonts w:ascii="MS Gothic" w:eastAsia="MS Gothic" w:hAnsi="MS Gothic" w:cstheme="minorHAnsi"/>
                    <w:b/>
                    <w:sz w:val="20"/>
                    <w:szCs w:val="20"/>
                  </w:rPr>
                  <w:t>☐</w:t>
                </w:r>
              </w:sdtContent>
            </w:sdt>
          </w:p>
        </w:tc>
        <w:tc>
          <w:tcPr>
            <w:tcW w:w="2546" w:type="dxa"/>
            <w:tcBorders>
              <w:top w:val="single" w:sz="4" w:space="0" w:color="000000"/>
              <w:left w:val="single" w:sz="4" w:space="0" w:color="000000"/>
              <w:bottom w:val="single" w:sz="8" w:space="0" w:color="000000"/>
              <w:right w:val="single" w:sz="8" w:space="0" w:color="000000"/>
            </w:tcBorders>
            <w:shd w:val="clear" w:color="auto" w:fill="F7CAAC" w:themeFill="accent2" w:themeFillTint="66"/>
            <w:vAlign w:val="center"/>
          </w:tcPr>
          <w:p w:rsidR="0078639D" w:rsidRDefault="004945CF">
            <w:pPr>
              <w:tabs>
                <w:tab w:val="left" w:pos="1134"/>
              </w:tabs>
              <w:spacing w:after="0" w:line="276" w:lineRule="auto"/>
              <w:contextualSpacing/>
              <w:rPr>
                <w:rFonts w:eastAsia="Times New Roman" w:cstheme="minorHAnsi"/>
                <w:sz w:val="20"/>
                <w:szCs w:val="20"/>
              </w:rPr>
            </w:pPr>
            <w:r>
              <w:rPr>
                <w:rFonts w:eastAsia="Times New Roman" w:cstheme="minorHAnsi"/>
                <w:sz w:val="20"/>
                <w:szCs w:val="20"/>
              </w:rPr>
              <w:t>Żadne z powyższych</w:t>
            </w:r>
          </w:p>
        </w:tc>
        <w:tc>
          <w:tcPr>
            <w:tcW w:w="5726" w:type="dxa"/>
            <w:tcBorders>
              <w:top w:val="single" w:sz="4" w:space="0" w:color="000000"/>
              <w:left w:val="single" w:sz="8" w:space="0" w:color="000000"/>
              <w:bottom w:val="single" w:sz="8" w:space="0" w:color="000000"/>
              <w:right w:val="single" w:sz="8" w:space="0" w:color="000000"/>
            </w:tcBorders>
          </w:tcPr>
          <w:p w:rsidR="0078639D" w:rsidRDefault="00165C1D">
            <w:pPr>
              <w:spacing w:line="276" w:lineRule="auto"/>
              <w:contextualSpacing/>
              <w:rPr>
                <w:rFonts w:eastAsia="Calibri" w:cstheme="minorHAnsi"/>
                <w:b/>
                <w:sz w:val="20"/>
                <w:szCs w:val="20"/>
              </w:rPr>
            </w:pPr>
            <w:sdt>
              <w:sdtPr>
                <w:id w:val="1625122778"/>
                <w:showingPlcHdr/>
                <w:text/>
              </w:sdtPr>
              <w:sdtContent>
                <w:r w:rsidR="004945CF">
                  <w:rPr>
                    <w:rFonts w:eastAsia="Calibri" w:cstheme="minorHAnsi"/>
                    <w:i/>
                    <w:sz w:val="20"/>
                    <w:szCs w:val="20"/>
                  </w:rPr>
                  <w:t>TELEFON: ………………</w:t>
                </w:r>
              </w:sdtContent>
            </w:sdt>
          </w:p>
        </w:tc>
      </w:tr>
    </w:tbl>
    <w:p w:rsidR="0078639D" w:rsidRDefault="0078639D">
      <w:pPr>
        <w:spacing w:line="276" w:lineRule="auto"/>
        <w:contextualSpacing/>
        <w:rPr>
          <w:rFonts w:ascii="Calibri" w:eastAsia="Calibri" w:hAnsi="Calibri" w:cs="Calibri"/>
          <w:sz w:val="20"/>
          <w:szCs w:val="20"/>
        </w:rPr>
      </w:pPr>
    </w:p>
    <w:p w:rsidR="0078639D" w:rsidRDefault="004945CF">
      <w:pPr>
        <w:numPr>
          <w:ilvl w:val="0"/>
          <w:numId w:val="3"/>
        </w:numPr>
        <w:spacing w:after="0" w:line="276" w:lineRule="auto"/>
        <w:ind w:left="284"/>
        <w:contextualSpacing/>
        <w:jc w:val="both"/>
        <w:rPr>
          <w:rFonts w:ascii="Calibri" w:eastAsia="Calibri" w:hAnsi="Calibri" w:cs="Calibri"/>
          <w:sz w:val="20"/>
          <w:szCs w:val="20"/>
        </w:rPr>
      </w:pPr>
      <w:r>
        <w:rPr>
          <w:rFonts w:ascii="Calibri" w:eastAsia="Calibri" w:hAnsi="Calibri" w:cs="Calibri"/>
          <w:b/>
          <w:bCs/>
          <w:sz w:val="20"/>
          <w:szCs w:val="20"/>
        </w:rPr>
        <w:t>JA NIŻEJ PODPISANY OŚWIADCZAM, ŻE:</w:t>
      </w:r>
    </w:p>
    <w:p w:rsidR="0078639D" w:rsidRDefault="004945CF">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 xml:space="preserve">zapoznałem się z treścią SWZ, akceptuję bez zastrzeżeń </w:t>
      </w:r>
      <w:r>
        <w:rPr>
          <w:rFonts w:ascii="Calibri" w:eastAsia="Calibri" w:hAnsi="Calibri" w:cs="Calibri"/>
          <w:bCs/>
          <w:sz w:val="20"/>
          <w:szCs w:val="20"/>
        </w:rPr>
        <w:t>wzór umowy</w:t>
      </w:r>
      <w:r>
        <w:rPr>
          <w:rFonts w:ascii="Calibri" w:eastAsia="Calibri" w:hAnsi="Calibri" w:cs="Calibri"/>
          <w:sz w:val="20"/>
          <w:szCs w:val="20"/>
        </w:rPr>
        <w:t xml:space="preserve"> i spełniam warunki udziału w postępowaniu;</w:t>
      </w:r>
    </w:p>
    <w:p w:rsidR="0078639D" w:rsidRDefault="004945CF">
      <w:pPr>
        <w:numPr>
          <w:ilvl w:val="1"/>
          <w:numId w:val="4"/>
        </w:numPr>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gwarantuję wykonanie całości przedmiotu zamówienia zgodnie z treścią SWZ, modyfikacji/wyjaśnień SWZ (o ile dotyczy);</w:t>
      </w:r>
    </w:p>
    <w:p w:rsidR="0078639D" w:rsidRDefault="004945CF">
      <w:pPr>
        <w:numPr>
          <w:ilvl w:val="1"/>
          <w:numId w:val="4"/>
        </w:numPr>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 xml:space="preserve">niniejsza oferta wiąże mnie przez </w:t>
      </w:r>
      <w:r>
        <w:rPr>
          <w:rFonts w:ascii="Calibri" w:eastAsia="Calibri" w:hAnsi="Calibri" w:cs="Calibri"/>
          <w:bCs/>
          <w:sz w:val="20"/>
          <w:szCs w:val="20"/>
        </w:rPr>
        <w:t>90 dni</w:t>
      </w:r>
      <w:r>
        <w:rPr>
          <w:rFonts w:ascii="Calibri" w:eastAsia="Calibri" w:hAnsi="Calibri" w:cs="Calibri"/>
          <w:sz w:val="20"/>
          <w:szCs w:val="20"/>
        </w:rPr>
        <w:t xml:space="preserve"> od upływu ostatecznego terminu składania ofert;</w:t>
      </w:r>
    </w:p>
    <w:p w:rsidR="0078639D" w:rsidRDefault="004945CF">
      <w:pPr>
        <w:numPr>
          <w:ilvl w:val="1"/>
          <w:numId w:val="4"/>
        </w:numPr>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w przypadku wyboru mojej oferty jako najkorzystniejszej zobowiązuję się zawrzeć umowę w formie elektronicznej z użyciem podpisu kwalifikowanego, w terminie wyznaczonym przez Zamawiającego;</w:t>
      </w:r>
    </w:p>
    <w:p w:rsidR="0078639D" w:rsidRDefault="004945CF">
      <w:pPr>
        <w:numPr>
          <w:ilvl w:val="1"/>
          <w:numId w:val="4"/>
        </w:numPr>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wypełniłem obowiązki informacyjne przewidziane w art. 13 lub art. 14 RODO wobec osób fizycznych, od których dane osobowe bezpośrednio lub pośrednio pozyskałem, w celu ubiegania się o udzielenie niniejszego zamówienia publicznego;</w:t>
      </w:r>
    </w:p>
    <w:p w:rsidR="0078639D" w:rsidRDefault="004945CF">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Pr>
          <w:rFonts w:cstheme="minorHAnsi"/>
          <w:sz w:val="20"/>
          <w:szCs w:val="20"/>
          <w:u w:val="single"/>
        </w:rPr>
        <w:t>składam</w:t>
      </w:r>
      <w:r>
        <w:rPr>
          <w:rFonts w:cstheme="minorHAnsi"/>
          <w:sz w:val="20"/>
          <w:szCs w:val="20"/>
        </w:rPr>
        <w:t xml:space="preserve"> /</w:t>
      </w:r>
      <w:r>
        <w:rPr>
          <w:rFonts w:cstheme="minorHAnsi"/>
          <w:sz w:val="20"/>
          <w:szCs w:val="20"/>
          <w:u w:val="single"/>
        </w:rPr>
        <w:t xml:space="preserve"> nie składam</w:t>
      </w:r>
      <w:r>
        <w:rPr>
          <w:rFonts w:cstheme="minorHAnsi"/>
          <w:sz w:val="20"/>
          <w:szCs w:val="20"/>
        </w:rPr>
        <w:t xml:space="preserve"> ofertę jako Wykonawca wspólnie ubiegający się o udzielenie zamówienia;</w:t>
      </w:r>
    </w:p>
    <w:p w:rsidR="0078639D" w:rsidRDefault="004945CF">
      <w:pPr>
        <w:numPr>
          <w:ilvl w:val="1"/>
          <w:numId w:val="4"/>
        </w:numPr>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u w:val="single"/>
        </w:rPr>
        <w:t>zamierzam</w:t>
      </w:r>
      <w:r>
        <w:rPr>
          <w:rFonts w:ascii="Calibri" w:eastAsia="Calibri" w:hAnsi="Calibri" w:cs="Calibri"/>
          <w:sz w:val="20"/>
          <w:szCs w:val="20"/>
        </w:rPr>
        <w:t xml:space="preserve"> /</w:t>
      </w:r>
      <w:r>
        <w:rPr>
          <w:rFonts w:ascii="Calibri" w:eastAsia="Calibri" w:hAnsi="Calibri" w:cs="Calibri"/>
          <w:sz w:val="20"/>
          <w:szCs w:val="20"/>
          <w:u w:val="single"/>
        </w:rPr>
        <w:t xml:space="preserve">nie zamierzam </w:t>
      </w:r>
      <w:r>
        <w:rPr>
          <w:rFonts w:cstheme="minorHAnsi"/>
          <w:sz w:val="20"/>
          <w:szCs w:val="20"/>
        </w:rPr>
        <w:t>powierzyć wykonanie części zamówienia Podwykonawcy</w:t>
      </w:r>
      <w:r>
        <w:rPr>
          <w:rFonts w:ascii="Calibri" w:eastAsia="Calibri" w:hAnsi="Calibri" w:cs="Calibri"/>
          <w:sz w:val="20"/>
          <w:szCs w:val="20"/>
        </w:rPr>
        <w:t>;</w:t>
      </w:r>
    </w:p>
    <w:p w:rsidR="0078639D" w:rsidRDefault="004945CF">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 xml:space="preserve">wybór oferty </w:t>
      </w:r>
      <w:r>
        <w:rPr>
          <w:rFonts w:ascii="Calibri" w:eastAsia="Calibri" w:hAnsi="Calibri" w:cs="Calibri"/>
          <w:sz w:val="20"/>
          <w:szCs w:val="20"/>
          <w:u w:val="single"/>
        </w:rPr>
        <w:t>będzie</w:t>
      </w:r>
      <w:r>
        <w:rPr>
          <w:rFonts w:ascii="Calibri" w:eastAsia="Calibri" w:hAnsi="Calibri" w:cs="Calibri"/>
          <w:sz w:val="20"/>
          <w:szCs w:val="20"/>
        </w:rPr>
        <w:t xml:space="preserve"> /</w:t>
      </w:r>
      <w:r>
        <w:rPr>
          <w:rFonts w:ascii="Calibri" w:eastAsia="Calibri" w:hAnsi="Calibri" w:cs="Calibri"/>
          <w:sz w:val="20"/>
          <w:szCs w:val="20"/>
          <w:u w:val="single"/>
        </w:rPr>
        <w:t>nie będzie</w:t>
      </w:r>
      <w:r>
        <w:rPr>
          <w:rFonts w:ascii="Calibri" w:eastAsia="Calibri" w:hAnsi="Calibri" w:cs="Calibri"/>
          <w:sz w:val="20"/>
          <w:szCs w:val="20"/>
        </w:rPr>
        <w:t xml:space="preserve"> prowadzić do powstania obowiązku podatkowego u Zamawiającego;</w:t>
      </w:r>
    </w:p>
    <w:p w:rsidR="0078639D" w:rsidRDefault="004945CF">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Pr>
          <w:rFonts w:ascii="Calibri" w:eastAsia="Calibri" w:hAnsi="Calibri" w:cs="Calibri"/>
          <w:sz w:val="20"/>
          <w:szCs w:val="20"/>
        </w:rPr>
        <w:t xml:space="preserve">oferta </w:t>
      </w:r>
      <w:r>
        <w:rPr>
          <w:rFonts w:ascii="Calibri" w:eastAsia="Calibri" w:hAnsi="Calibri" w:cs="Calibri"/>
          <w:sz w:val="20"/>
          <w:szCs w:val="20"/>
          <w:u w:val="single"/>
        </w:rPr>
        <w:t>zawiera</w:t>
      </w:r>
      <w:r>
        <w:rPr>
          <w:rFonts w:ascii="Calibri" w:eastAsia="Calibri" w:hAnsi="Calibri" w:cs="Calibri"/>
          <w:sz w:val="20"/>
          <w:szCs w:val="20"/>
        </w:rPr>
        <w:t xml:space="preserve"> /</w:t>
      </w:r>
      <w:r>
        <w:rPr>
          <w:rFonts w:ascii="Calibri" w:eastAsia="Calibri" w:hAnsi="Calibri" w:cs="Calibri"/>
          <w:sz w:val="20"/>
          <w:szCs w:val="20"/>
          <w:u w:val="single"/>
        </w:rPr>
        <w:t>nie zawiera</w:t>
      </w:r>
      <w:r>
        <w:rPr>
          <w:rFonts w:ascii="Calibri" w:eastAsia="Calibri" w:hAnsi="Calibri" w:cs="Calibri"/>
          <w:sz w:val="20"/>
          <w:szCs w:val="20"/>
        </w:rPr>
        <w:t xml:space="preserve"> tajemnicy przedsiębiorstwa.</w:t>
      </w:r>
    </w:p>
    <w:p w:rsidR="0078639D" w:rsidRDefault="0078639D">
      <w:pPr>
        <w:tabs>
          <w:tab w:val="left" w:pos="1134"/>
        </w:tabs>
        <w:spacing w:after="0" w:line="276" w:lineRule="auto"/>
        <w:contextualSpacing/>
        <w:jc w:val="both"/>
        <w:rPr>
          <w:rFonts w:ascii="Calibri" w:eastAsia="Calibri" w:hAnsi="Calibri" w:cs="Calibri"/>
          <w:sz w:val="20"/>
          <w:szCs w:val="20"/>
        </w:rPr>
      </w:pPr>
    </w:p>
    <w:p w:rsidR="0078639D" w:rsidRDefault="004945CF">
      <w:pPr>
        <w:numPr>
          <w:ilvl w:val="0"/>
          <w:numId w:val="3"/>
        </w:numPr>
        <w:spacing w:after="0" w:line="276" w:lineRule="auto"/>
        <w:ind w:left="284"/>
        <w:contextualSpacing/>
        <w:jc w:val="both"/>
        <w:rPr>
          <w:rFonts w:ascii="Calibri" w:eastAsia="Calibri" w:hAnsi="Calibri" w:cs="Calibri"/>
          <w:b/>
          <w:bCs/>
          <w:sz w:val="20"/>
          <w:szCs w:val="20"/>
        </w:rPr>
      </w:pPr>
      <w:r>
        <w:rPr>
          <w:rFonts w:ascii="Calibri" w:eastAsia="Calibri" w:hAnsi="Calibri" w:cs="Calibri"/>
          <w:b/>
          <w:bCs/>
          <w:sz w:val="20"/>
          <w:szCs w:val="20"/>
        </w:rPr>
        <w:t>INFORMACJE DODATKOWE</w:t>
      </w:r>
    </w:p>
    <w:p w:rsidR="0078639D" w:rsidRDefault="004945CF">
      <w:pPr>
        <w:pStyle w:val="Akapitzlist"/>
        <w:numPr>
          <w:ilvl w:val="0"/>
          <w:numId w:val="25"/>
        </w:numPr>
        <w:spacing w:line="276" w:lineRule="auto"/>
        <w:ind w:left="426" w:hanging="284"/>
        <w:jc w:val="both"/>
        <w:rPr>
          <w:rFonts w:ascii="Calibri" w:eastAsia="Calibri" w:hAnsi="Calibri" w:cs="Calibri"/>
          <w:bCs/>
          <w:color w:val="FF0000"/>
        </w:rPr>
      </w:pPr>
      <w:r>
        <w:rPr>
          <w:rFonts w:ascii="Calibri" w:eastAsia="Calibri" w:hAnsi="Calibri" w:cs="Calibri"/>
          <w:bCs/>
          <w:color w:val="FF0000"/>
        </w:rPr>
        <w:t xml:space="preserve">Jeżeli w Tomie III SWZ znajdują się tabele „OCENA JAKOŚCIOWA” i/lub „PARAMETRY GRANICZNE”, Zamawiający wymaga ich wypełnienia i złożenia wraz z formularzem ofertowym (ofertą). W przypadku braku złożenia ww. tabeli, Zamawiający przyzna 0 pkt. w pozacenowym kryterium oceny ofert. </w:t>
      </w:r>
    </w:p>
    <w:p w:rsidR="0078639D" w:rsidRDefault="004945CF">
      <w:pPr>
        <w:pStyle w:val="Akapitzlist"/>
        <w:numPr>
          <w:ilvl w:val="0"/>
          <w:numId w:val="25"/>
        </w:numPr>
        <w:spacing w:line="276" w:lineRule="auto"/>
        <w:ind w:left="426" w:hanging="284"/>
        <w:jc w:val="both"/>
        <w:rPr>
          <w:rFonts w:ascii="Calibri" w:eastAsia="Calibri" w:hAnsi="Calibri"/>
          <w:bCs/>
          <w:color w:val="FF0000"/>
        </w:rPr>
      </w:pPr>
      <w:r>
        <w:rPr>
          <w:rFonts w:ascii="Calibri" w:eastAsia="Calibri" w:hAnsi="Calibri"/>
          <w:bCs/>
          <w:color w:val="FF0000"/>
        </w:rPr>
        <w:t xml:space="preserve">Jeżeli z treści SWZ wynika, że Zamawiający wymaga złożenia przedmiotowych środków dowodowych, Wykonawca składa je wraz z ofertą. Zamawiający zwraca uwagę na treść art. 107 ust. 3 PZP. </w:t>
      </w:r>
    </w:p>
    <w:p w:rsidR="0078639D" w:rsidRDefault="004945CF">
      <w:pPr>
        <w:pStyle w:val="Akapitzlist"/>
        <w:numPr>
          <w:ilvl w:val="0"/>
          <w:numId w:val="25"/>
        </w:numPr>
        <w:spacing w:line="276" w:lineRule="auto"/>
        <w:ind w:left="426" w:hanging="284"/>
        <w:jc w:val="both"/>
        <w:rPr>
          <w:rFonts w:ascii="Calibri" w:eastAsia="Calibri" w:hAnsi="Calibri" w:cs="Calibri"/>
          <w:bCs/>
          <w:color w:val="FF0000"/>
        </w:rPr>
      </w:pPr>
      <w:r>
        <w:rPr>
          <w:rFonts w:ascii="Calibri" w:eastAsia="Calibri" w:hAnsi="Calibri" w:cs="Calibri"/>
          <w:bCs/>
          <w:color w:val="FF0000"/>
        </w:rPr>
        <w:t>W przypadku Wykonawców składających ofertę wspólną należy wskazać wszystkich Wykonawców występujących wspólnie lub zaznaczyć, iż wskazany podmiot (Pełnomocnik/Lider) występuje w imieniu wszystkich podmiotów składających ofertę.</w:t>
      </w:r>
    </w:p>
    <w:p w:rsidR="0078639D" w:rsidRDefault="004945CF">
      <w:pPr>
        <w:pStyle w:val="Akapitzlist"/>
        <w:numPr>
          <w:ilvl w:val="0"/>
          <w:numId w:val="25"/>
        </w:numPr>
        <w:spacing w:line="276" w:lineRule="auto"/>
        <w:ind w:left="426" w:hanging="284"/>
        <w:jc w:val="both"/>
        <w:rPr>
          <w:rFonts w:ascii="Calibri" w:eastAsia="Calibri" w:hAnsi="Calibri" w:cs="Calibri"/>
          <w:bCs/>
          <w:color w:val="FF0000"/>
        </w:rPr>
      </w:pPr>
      <w:r>
        <w:rPr>
          <w:rFonts w:ascii="Calibri" w:eastAsia="Calibri" w:hAnsi="Calibri" w:cs="Calibri"/>
          <w:bCs/>
          <w:color w:val="FF0000"/>
        </w:rPr>
        <w:lastRenderedPageBreak/>
        <w:t>Wykonawca w cz.3 pkt f-i formularza oferty przekreśla lub usuwa niepoprawną odpowiedź spośród podkreślonych. W przypadku odpowiedzi twierdzącej w pkt g-i, Wykonawca obowiązkowo składa wraz z ofertą załącznik nr 1a. W innym przypadku Wykonawca nie jest zobowiązany do jego złożenia.</w:t>
      </w:r>
    </w:p>
    <w:p w:rsidR="0078639D" w:rsidRDefault="004945CF">
      <w:pPr>
        <w:pStyle w:val="Akapitzlist"/>
        <w:numPr>
          <w:ilvl w:val="0"/>
          <w:numId w:val="25"/>
        </w:numPr>
        <w:spacing w:after="160" w:line="276" w:lineRule="auto"/>
        <w:ind w:left="426" w:hanging="284"/>
        <w:jc w:val="both"/>
        <w:rPr>
          <w:rFonts w:ascii="Calibri" w:eastAsia="Calibri" w:hAnsi="Calibri" w:cs="Calibri"/>
          <w:bCs/>
          <w:color w:val="FF0000"/>
        </w:rPr>
      </w:pPr>
      <w:r>
        <w:rPr>
          <w:rFonts w:ascii="Calibri" w:eastAsia="Calibri" w:hAnsi="Calibri" w:cs="Calibri"/>
          <w:bCs/>
          <w:color w:val="FF0000"/>
        </w:rPr>
        <w:t xml:space="preserve">W przypadku braku możliwości zawarcia umowy do niniejszego postępowania </w:t>
      </w:r>
      <w:r>
        <w:rPr>
          <w:rFonts w:ascii="Calibri" w:eastAsia="Calibri" w:hAnsi="Calibri" w:cs="Calibri"/>
          <w:color w:val="FF0000"/>
        </w:rPr>
        <w:t xml:space="preserve">w formie elektronicznej z użyciem podpisu kwalifikowanego, Wykonawca składa pisemny wniosek do Zamawiającego o wyznaczenie miejsca podpisania umowy. </w:t>
      </w:r>
    </w:p>
    <w:p w:rsidR="0078639D" w:rsidRDefault="0078639D">
      <w:pPr>
        <w:sectPr w:rsidR="0078639D">
          <w:type w:val="continuous"/>
          <w:pgSz w:w="11906" w:h="16838"/>
          <w:pgMar w:top="720" w:right="720" w:bottom="720" w:left="720" w:header="0" w:footer="283" w:gutter="0"/>
          <w:cols w:space="720"/>
          <w:formProt w:val="0"/>
          <w:titlePg/>
          <w:docGrid w:linePitch="360"/>
        </w:sectPr>
      </w:pPr>
    </w:p>
    <w:p w:rsidR="0078639D" w:rsidRDefault="004945CF">
      <w:pPr>
        <w:pStyle w:val="Nagwek3"/>
        <w:spacing w:line="276" w:lineRule="auto"/>
        <w:rPr>
          <w:rFonts w:asciiTheme="majorHAnsi" w:hAnsiTheme="majorHAnsi"/>
          <w:i w:val="0"/>
          <w:sz w:val="20"/>
          <w:szCs w:val="20"/>
        </w:rPr>
      </w:pPr>
      <w:bookmarkStart w:id="53" w:name="_Toc114403774"/>
      <w:bookmarkStart w:id="54" w:name="_Toc110176095"/>
      <w:r>
        <w:rPr>
          <w:rFonts w:asciiTheme="majorHAnsi" w:hAnsiTheme="majorHAnsi"/>
          <w:i w:val="0"/>
          <w:sz w:val="20"/>
          <w:szCs w:val="20"/>
        </w:rPr>
        <w:lastRenderedPageBreak/>
        <w:t>Wzór formularza oferty cd.</w:t>
      </w:r>
      <w:bookmarkEnd w:id="53"/>
      <w:bookmarkEnd w:id="54"/>
    </w:p>
    <w:p w:rsidR="0078639D" w:rsidRDefault="004945CF">
      <w:pPr>
        <w:spacing w:after="0" w:line="276" w:lineRule="auto"/>
        <w:rPr>
          <w:rFonts w:ascii="Calibri" w:eastAsia="Times New Roman" w:hAnsi="Calibri" w:cs="Calibri"/>
          <w:b/>
          <w:bCs/>
          <w:sz w:val="20"/>
          <w:szCs w:val="20"/>
          <w:u w:val="single"/>
          <w:lang w:eastAsia="pl-PL"/>
        </w:rPr>
      </w:pPr>
      <w:r>
        <w:rPr>
          <w:noProof/>
          <w:lang w:val="en-US"/>
        </w:rPr>
        <w:drawing>
          <wp:inline distT="0" distB="0" distL="0" distR="0">
            <wp:extent cx="6645910" cy="664845"/>
            <wp:effectExtent l="0" t="0" r="0" b="0"/>
            <wp:docPr id="9"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7"/>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spacing w:after="0" w:line="276" w:lineRule="auto"/>
        <w:rPr>
          <w:rFonts w:ascii="Calibri" w:eastAsia="Times New Roman" w:hAnsi="Calibri" w:cs="Calibri"/>
          <w:b/>
          <w:bCs/>
          <w:sz w:val="20"/>
          <w:szCs w:val="20"/>
          <w:u w:val="single"/>
          <w:lang w:eastAsia="pl-PL"/>
        </w:rPr>
      </w:pPr>
      <w:r>
        <w:rPr>
          <w:rFonts w:ascii="Calibri" w:eastAsia="Times New Roman" w:hAnsi="Calibri" w:cs="Calibri"/>
          <w:b/>
          <w:bCs/>
          <w:sz w:val="20"/>
          <w:szCs w:val="20"/>
          <w:u w:val="single"/>
          <w:lang w:eastAsia="pl-PL"/>
        </w:rPr>
        <w:t>Część Formularza oferty – Formularz cenowy</w:t>
      </w:r>
    </w:p>
    <w:p w:rsidR="0078639D" w:rsidRDefault="0078639D">
      <w:pPr>
        <w:spacing w:after="0" w:line="276" w:lineRule="auto"/>
        <w:rPr>
          <w:rFonts w:ascii="Calibri" w:eastAsia="Times New Roman" w:hAnsi="Calibri" w:cs="Calibri"/>
          <w:b/>
          <w:bCs/>
          <w:sz w:val="20"/>
          <w:szCs w:val="20"/>
          <w:lang w:eastAsia="pl-PL"/>
        </w:rPr>
      </w:pPr>
    </w:p>
    <w:p w:rsidR="0078639D" w:rsidRDefault="004945CF">
      <w:pPr>
        <w:spacing w:after="0" w:line="276" w:lineRule="auto"/>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Pakiet nr …</w:t>
      </w:r>
    </w:p>
    <w:p w:rsidR="0078639D" w:rsidRDefault="0078639D">
      <w:pPr>
        <w:spacing w:after="0" w:line="276" w:lineRule="auto"/>
        <w:rPr>
          <w:rFonts w:ascii="Calibri" w:eastAsia="Times New Roman" w:hAnsi="Calibri" w:cs="Calibri"/>
          <w:b/>
          <w:bCs/>
          <w:sz w:val="20"/>
          <w:szCs w:val="20"/>
          <w:lang w:eastAsia="pl-PL"/>
        </w:rPr>
      </w:pPr>
    </w:p>
    <w:tbl>
      <w:tblPr>
        <w:tblW w:w="14775" w:type="dxa"/>
        <w:tblInd w:w="130" w:type="dxa"/>
        <w:tblLayout w:type="fixed"/>
        <w:tblCellMar>
          <w:left w:w="70" w:type="dxa"/>
          <w:right w:w="70" w:type="dxa"/>
        </w:tblCellMar>
        <w:tblLook w:val="04A0"/>
      </w:tblPr>
      <w:tblGrid>
        <w:gridCol w:w="376"/>
        <w:gridCol w:w="2747"/>
        <w:gridCol w:w="1574"/>
        <w:gridCol w:w="1170"/>
        <w:gridCol w:w="1080"/>
        <w:gridCol w:w="1080"/>
        <w:gridCol w:w="1141"/>
        <w:gridCol w:w="569"/>
        <w:gridCol w:w="900"/>
        <w:gridCol w:w="1350"/>
        <w:gridCol w:w="2788"/>
      </w:tblGrid>
      <w:tr w:rsidR="0078639D">
        <w:trPr>
          <w:trHeight w:val="340"/>
        </w:trPr>
        <w:tc>
          <w:tcPr>
            <w:tcW w:w="37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Lp</w:t>
            </w:r>
          </w:p>
        </w:tc>
        <w:tc>
          <w:tcPr>
            <w:tcW w:w="274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jc w:val="center"/>
              <w:rPr>
                <w:rFonts w:eastAsia="Times New Roman" w:cstheme="minorHAnsi"/>
                <w:b/>
                <w:bCs/>
                <w:sz w:val="20"/>
                <w:szCs w:val="20"/>
                <w:lang w:eastAsia="pl-PL"/>
              </w:rPr>
            </w:pPr>
            <w:r>
              <w:rPr>
                <w:rFonts w:eastAsia="Times New Roman" w:cstheme="minorHAnsi"/>
                <w:b/>
                <w:bCs/>
                <w:sz w:val="20"/>
                <w:szCs w:val="20"/>
                <w:lang w:eastAsia="pl-PL"/>
              </w:rPr>
              <w:t>Przedmiot zamówienia</w:t>
            </w:r>
          </w:p>
        </w:tc>
        <w:tc>
          <w:tcPr>
            <w:tcW w:w="157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Jedn. miary</w:t>
            </w:r>
          </w:p>
        </w:tc>
        <w:tc>
          <w:tcPr>
            <w:tcW w:w="117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Ilość</w:t>
            </w:r>
          </w:p>
        </w:tc>
        <w:tc>
          <w:tcPr>
            <w:tcW w:w="108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Cena jedn. netto</w:t>
            </w:r>
          </w:p>
        </w:tc>
        <w:tc>
          <w:tcPr>
            <w:tcW w:w="1080"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Cena jedn. brutto</w:t>
            </w:r>
          </w:p>
        </w:tc>
        <w:tc>
          <w:tcPr>
            <w:tcW w:w="1141"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Wartość netto</w:t>
            </w:r>
          </w:p>
        </w:tc>
        <w:tc>
          <w:tcPr>
            <w:tcW w:w="569"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VAT %</w:t>
            </w:r>
          </w:p>
        </w:tc>
        <w:tc>
          <w:tcPr>
            <w:tcW w:w="900"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Wartość VAT</w:t>
            </w:r>
          </w:p>
        </w:tc>
        <w:tc>
          <w:tcPr>
            <w:tcW w:w="1350"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Wartość brutto</w:t>
            </w:r>
          </w:p>
        </w:tc>
        <w:tc>
          <w:tcPr>
            <w:tcW w:w="2788" w:type="dxa"/>
            <w:tcBorders>
              <w:top w:val="single" w:sz="4" w:space="0" w:color="000000"/>
              <w:bottom w:val="single" w:sz="4" w:space="0" w:color="000000"/>
              <w:right w:val="single" w:sz="4" w:space="0" w:color="000000"/>
            </w:tcBorders>
            <w:shd w:val="clear" w:color="auto" w:fill="A8D08D" w:themeFill="accent6" w:themeFillTint="99"/>
            <w:vAlign w:val="center"/>
          </w:tcPr>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 xml:space="preserve">Producent; nazwa urządzenia, </w:t>
            </w:r>
          </w:p>
          <w:p w:rsidR="0078639D" w:rsidRDefault="004945CF">
            <w:pPr>
              <w:widowControl w:val="0"/>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nr katalogowy</w:t>
            </w:r>
          </w:p>
        </w:tc>
      </w:tr>
      <w:tr w:rsidR="0078639D">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rsidR="0078639D" w:rsidRDefault="004945CF">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1</w:t>
            </w:r>
          </w:p>
        </w:tc>
        <w:tc>
          <w:tcPr>
            <w:tcW w:w="2746"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b/>
                <w:bCs/>
                <w:i/>
                <w:iCs/>
                <w:sz w:val="20"/>
                <w:szCs w:val="20"/>
                <w:lang w:eastAsia="pl-PL"/>
              </w:rPr>
            </w:pPr>
          </w:p>
        </w:tc>
        <w:tc>
          <w:tcPr>
            <w:tcW w:w="1574"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7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41"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569"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90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35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2788"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trike/>
                <w:sz w:val="20"/>
                <w:szCs w:val="20"/>
                <w:lang w:eastAsia="pl-PL"/>
              </w:rPr>
            </w:pPr>
          </w:p>
        </w:tc>
      </w:tr>
      <w:tr w:rsidR="0078639D">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rsidR="0078639D" w:rsidRDefault="004945CF">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2</w:t>
            </w:r>
          </w:p>
        </w:tc>
        <w:tc>
          <w:tcPr>
            <w:tcW w:w="2746"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b/>
                <w:bCs/>
                <w:i/>
                <w:iCs/>
                <w:sz w:val="20"/>
                <w:szCs w:val="20"/>
                <w:lang w:eastAsia="pl-PL"/>
              </w:rPr>
            </w:pPr>
          </w:p>
        </w:tc>
        <w:tc>
          <w:tcPr>
            <w:tcW w:w="1574"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7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41"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569"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90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35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2788"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trike/>
                <w:sz w:val="20"/>
                <w:szCs w:val="20"/>
                <w:lang w:eastAsia="pl-PL"/>
              </w:rPr>
            </w:pPr>
          </w:p>
        </w:tc>
      </w:tr>
      <w:tr w:rsidR="0078639D">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rsidR="0078639D" w:rsidRDefault="004945CF">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w:t>
            </w:r>
          </w:p>
        </w:tc>
        <w:tc>
          <w:tcPr>
            <w:tcW w:w="2746"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b/>
                <w:bCs/>
                <w:i/>
                <w:iCs/>
                <w:sz w:val="20"/>
                <w:szCs w:val="20"/>
                <w:lang w:eastAsia="pl-PL"/>
              </w:rPr>
            </w:pPr>
          </w:p>
        </w:tc>
        <w:tc>
          <w:tcPr>
            <w:tcW w:w="1574"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7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080" w:type="dxa"/>
            <w:tcBorders>
              <w:left w:val="single" w:sz="4" w:space="0" w:color="000000"/>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141"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569"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90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35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2788"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trike/>
                <w:sz w:val="20"/>
                <w:szCs w:val="20"/>
                <w:lang w:eastAsia="pl-PL"/>
              </w:rPr>
            </w:pPr>
          </w:p>
        </w:tc>
      </w:tr>
      <w:tr w:rsidR="0078639D">
        <w:trPr>
          <w:trHeight w:val="340"/>
        </w:trPr>
        <w:tc>
          <w:tcPr>
            <w:tcW w:w="8025" w:type="dxa"/>
            <w:gridSpan w:val="6"/>
            <w:tcBorders>
              <w:left w:val="single" w:sz="4" w:space="0" w:color="000000"/>
              <w:bottom w:val="single" w:sz="4" w:space="0" w:color="000000"/>
              <w:right w:val="single" w:sz="4" w:space="0" w:color="000000"/>
            </w:tcBorders>
            <w:shd w:val="clear" w:color="FFFFCC" w:fill="FFFFFF"/>
            <w:vAlign w:val="center"/>
          </w:tcPr>
          <w:p w:rsidR="0078639D" w:rsidRDefault="004945CF">
            <w:pPr>
              <w:widowControl w:val="0"/>
              <w:spacing w:after="0"/>
              <w:jc w:val="right"/>
              <w:rPr>
                <w:rFonts w:eastAsia="Times New Roman" w:cstheme="minorHAnsi"/>
                <w:sz w:val="20"/>
                <w:szCs w:val="20"/>
                <w:lang w:eastAsia="pl-PL"/>
              </w:rPr>
            </w:pPr>
            <w:r>
              <w:rPr>
                <w:rFonts w:cstheme="minorHAnsi"/>
                <w:b/>
                <w:sz w:val="20"/>
              </w:rPr>
              <w:t>RAZEM</w:t>
            </w:r>
          </w:p>
        </w:tc>
        <w:tc>
          <w:tcPr>
            <w:tcW w:w="1141"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569" w:type="dxa"/>
            <w:tcBorders>
              <w:bottom w:val="single" w:sz="4" w:space="0" w:color="000000"/>
              <w:right w:val="single" w:sz="4" w:space="0" w:color="000000"/>
            </w:tcBorders>
            <w:shd w:val="clear" w:color="FFFFCC" w:fill="FFFFFF"/>
            <w:vAlign w:val="center"/>
          </w:tcPr>
          <w:p w:rsidR="0078639D" w:rsidRDefault="004945CF">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x</w:t>
            </w:r>
          </w:p>
        </w:tc>
        <w:tc>
          <w:tcPr>
            <w:tcW w:w="90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1350" w:type="dxa"/>
            <w:tcBorders>
              <w:bottom w:val="single" w:sz="4" w:space="0" w:color="000000"/>
              <w:right w:val="single" w:sz="4" w:space="0" w:color="000000"/>
            </w:tcBorders>
            <w:shd w:val="clear" w:color="FFFFCC" w:fill="FFFFFF"/>
            <w:vAlign w:val="center"/>
          </w:tcPr>
          <w:p w:rsidR="0078639D" w:rsidRDefault="0078639D">
            <w:pPr>
              <w:widowControl w:val="0"/>
              <w:spacing w:after="0" w:line="240" w:lineRule="auto"/>
              <w:jc w:val="center"/>
              <w:rPr>
                <w:rFonts w:eastAsia="Times New Roman" w:cstheme="minorHAnsi"/>
                <w:sz w:val="20"/>
                <w:szCs w:val="20"/>
                <w:lang w:eastAsia="pl-PL"/>
              </w:rPr>
            </w:pPr>
          </w:p>
        </w:tc>
        <w:tc>
          <w:tcPr>
            <w:tcW w:w="2788" w:type="dxa"/>
            <w:tcBorders>
              <w:bottom w:val="single" w:sz="4" w:space="0" w:color="000000"/>
              <w:right w:val="single" w:sz="4" w:space="0" w:color="000000"/>
            </w:tcBorders>
            <w:shd w:val="clear" w:color="FFFFCC" w:fill="FFFFFF"/>
            <w:vAlign w:val="center"/>
          </w:tcPr>
          <w:p w:rsidR="0078639D" w:rsidRPr="00A45AB0" w:rsidRDefault="004945CF">
            <w:pPr>
              <w:widowControl w:val="0"/>
              <w:spacing w:after="0" w:line="240" w:lineRule="auto"/>
              <w:jc w:val="center"/>
              <w:rPr>
                <w:rFonts w:eastAsia="Times New Roman" w:cstheme="minorHAnsi"/>
                <w:sz w:val="20"/>
                <w:szCs w:val="20"/>
                <w:lang w:eastAsia="pl-PL"/>
              </w:rPr>
            </w:pPr>
            <w:r w:rsidRPr="00A45AB0">
              <w:rPr>
                <w:rFonts w:eastAsia="Times New Roman" w:cstheme="minorHAnsi"/>
                <w:sz w:val="20"/>
                <w:szCs w:val="20"/>
                <w:lang w:eastAsia="pl-PL"/>
              </w:rPr>
              <w:t>x</w:t>
            </w:r>
          </w:p>
        </w:tc>
      </w:tr>
    </w:tbl>
    <w:p w:rsidR="0078639D" w:rsidRDefault="0078639D">
      <w:pPr>
        <w:spacing w:line="276" w:lineRule="auto"/>
      </w:pPr>
    </w:p>
    <w:p w:rsidR="0078639D" w:rsidRDefault="004945CF">
      <w:pPr>
        <w:spacing w:after="0" w:line="276" w:lineRule="auto"/>
        <w:rPr>
          <w:sz w:val="20"/>
        </w:rPr>
      </w:pPr>
      <w:r>
        <w:rPr>
          <w:sz w:val="20"/>
        </w:rPr>
        <w:t>Wartość netto dla pakietu nr ….. wynosi: …………….. (słownie: …………..)</w:t>
      </w:r>
    </w:p>
    <w:p w:rsidR="0078639D" w:rsidRDefault="004945CF">
      <w:pPr>
        <w:spacing w:after="0" w:line="276" w:lineRule="auto"/>
      </w:pPr>
      <w:bookmarkStart w:id="55" w:name="_Toc110176106"/>
      <w:bookmarkStart w:id="56" w:name="_Toc110175963"/>
      <w:bookmarkStart w:id="57" w:name="_Toc110174856"/>
      <w:bookmarkStart w:id="58" w:name="_Toc109653686"/>
      <w:bookmarkStart w:id="59" w:name="_Toc109650639"/>
      <w:bookmarkStart w:id="60" w:name="_Toc109208257"/>
      <w:r>
        <w:rPr>
          <w:sz w:val="20"/>
        </w:rPr>
        <w:t>Wartość brutto dla pakietu nr ……. wynosi: ………… (słownie: ………..)</w:t>
      </w:r>
      <w:bookmarkEnd w:id="55"/>
      <w:bookmarkEnd w:id="56"/>
      <w:bookmarkEnd w:id="57"/>
      <w:bookmarkEnd w:id="58"/>
      <w:bookmarkEnd w:id="59"/>
      <w:bookmarkEnd w:id="60"/>
    </w:p>
    <w:p w:rsidR="0078639D" w:rsidRDefault="0078639D">
      <w:pPr>
        <w:spacing w:after="0" w:line="276" w:lineRule="auto"/>
      </w:pPr>
    </w:p>
    <w:p w:rsidR="0078639D" w:rsidRDefault="004945CF">
      <w:pPr>
        <w:spacing w:after="0" w:line="276" w:lineRule="auto"/>
        <w:rPr>
          <w:sz w:val="20"/>
        </w:rPr>
      </w:pPr>
      <w:r>
        <w:rPr>
          <w:sz w:val="20"/>
        </w:rPr>
        <w:t>Oświadczam, że udzielam gwarancji na okres ………………………………….*</w:t>
      </w:r>
    </w:p>
    <w:p w:rsidR="0078639D" w:rsidRDefault="004945CF">
      <w:pPr>
        <w:spacing w:after="0" w:line="276" w:lineRule="auto"/>
        <w:rPr>
          <w:b/>
          <w:bCs/>
          <w:i/>
          <w:iCs/>
          <w:sz w:val="20"/>
        </w:rPr>
      </w:pPr>
      <w:r>
        <w:rPr>
          <w:b/>
          <w:bCs/>
          <w:i/>
          <w:iCs/>
          <w:sz w:val="20"/>
        </w:rPr>
        <w:t xml:space="preserve">*uzupełnić </w:t>
      </w:r>
    </w:p>
    <w:p w:rsidR="0078639D" w:rsidRDefault="004945CF">
      <w:pPr>
        <w:spacing w:after="0" w:line="276" w:lineRule="auto"/>
        <w:rPr>
          <w:sz w:val="20"/>
        </w:rPr>
      </w:pPr>
      <w:r>
        <w:rPr>
          <w:sz w:val="20"/>
        </w:rPr>
        <w:t>Podpis(y)</w:t>
      </w: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78639D">
      <w:pPr>
        <w:spacing w:line="276" w:lineRule="auto"/>
        <w:contextualSpacing/>
        <w:rPr>
          <w:rFonts w:ascii="Calibri" w:eastAsia="Calibri" w:hAnsi="Calibri" w:cs="Calibri"/>
          <w:sz w:val="20"/>
          <w:szCs w:val="20"/>
        </w:rPr>
      </w:pPr>
    </w:p>
    <w:p w:rsidR="0078639D" w:rsidRDefault="004945CF">
      <w:pPr>
        <w:spacing w:after="0" w:line="276" w:lineRule="auto"/>
        <w:contextualSpacing/>
        <w:rPr>
          <w:rFonts w:ascii="Calibri" w:eastAsia="Calibri" w:hAnsi="Calibri" w:cs="Calibri"/>
          <w:i/>
          <w:sz w:val="18"/>
          <w:szCs w:val="18"/>
          <w:u w:val="single"/>
        </w:rPr>
        <w:sectPr w:rsidR="0078639D">
          <w:footerReference w:type="even" r:id="rId23"/>
          <w:footerReference w:type="default" r:id="rId24"/>
          <w:footerReference w:type="first" r:id="rId25"/>
          <w:pgSz w:w="16838" w:h="11906" w:orient="landscape"/>
          <w:pgMar w:top="720" w:right="720" w:bottom="720" w:left="720" w:header="0" w:footer="284" w:gutter="0"/>
          <w:cols w:space="720"/>
          <w:formProt w:val="0"/>
          <w:titlePg/>
          <w:docGrid w:linePitch="360"/>
        </w:sectPr>
      </w:pPr>
      <w:r>
        <w:rPr>
          <w:rFonts w:ascii="Calibri" w:eastAsia="Calibri" w:hAnsi="Calibri"/>
          <w:sz w:val="18"/>
          <w:szCs w:val="18"/>
        </w:rPr>
        <w:t>* Jeżeli dotyczy</w:t>
      </w:r>
      <w:r>
        <w:br w:type="page"/>
      </w:r>
    </w:p>
    <w:p w:rsidR="0078639D" w:rsidRDefault="004945CF">
      <w:pPr>
        <w:pStyle w:val="Nagwek3"/>
        <w:spacing w:line="276" w:lineRule="auto"/>
        <w:rPr>
          <w:rFonts w:asciiTheme="majorHAnsi" w:hAnsiTheme="majorHAnsi"/>
          <w:i w:val="0"/>
          <w:sz w:val="20"/>
          <w:szCs w:val="20"/>
        </w:rPr>
      </w:pPr>
      <w:bookmarkStart w:id="61" w:name="_Toc95987088"/>
      <w:bookmarkEnd w:id="61"/>
      <w:r>
        <w:rPr>
          <w:noProof/>
          <w:lang w:val="en-US"/>
        </w:rPr>
        <w:lastRenderedPageBreak/>
        <w:drawing>
          <wp:inline distT="0" distB="0" distL="0" distR="0">
            <wp:extent cx="6645910" cy="664845"/>
            <wp:effectExtent l="0" t="0" r="0" b="0"/>
            <wp:docPr id="11" name="Obra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8"/>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pStyle w:val="Nagwek3"/>
        <w:spacing w:line="276" w:lineRule="auto"/>
        <w:rPr>
          <w:rFonts w:asciiTheme="majorHAnsi" w:hAnsiTheme="majorHAnsi"/>
          <w:i w:val="0"/>
          <w:sz w:val="20"/>
          <w:szCs w:val="20"/>
        </w:rPr>
      </w:pPr>
      <w:bookmarkStart w:id="62" w:name="_Toc114403775"/>
      <w:bookmarkStart w:id="63" w:name="_Toc95987089"/>
      <w:r>
        <w:rPr>
          <w:rFonts w:asciiTheme="majorHAnsi" w:hAnsiTheme="majorHAnsi"/>
          <w:i w:val="0"/>
          <w:sz w:val="20"/>
          <w:szCs w:val="20"/>
        </w:rPr>
        <w:t>Załącznik nr 1a - Wzór fakultatywnego oświadczenia Wykonawcy</w:t>
      </w:r>
      <w:bookmarkEnd w:id="62"/>
      <w:bookmarkEnd w:id="63"/>
    </w:p>
    <w:p w:rsidR="0078639D" w:rsidRDefault="004945CF">
      <w:pPr>
        <w:spacing w:line="276" w:lineRule="auto"/>
        <w:jc w:val="right"/>
        <w:rPr>
          <w:color w:val="FF0000"/>
          <w:sz w:val="20"/>
        </w:rPr>
      </w:pPr>
      <w:r>
        <w:rPr>
          <w:color w:val="FF0000"/>
          <w:sz w:val="20"/>
        </w:rPr>
        <w:t>Wypełnić i złożyć tylko w przypadku odpowiedzi twierdzącej w cz. 3 pkt g-i Formularza oferty (Załącznik nr 1)</w:t>
      </w:r>
    </w:p>
    <w:p w:rsidR="0078639D" w:rsidRDefault="0078639D">
      <w:pPr>
        <w:spacing w:after="0" w:line="276" w:lineRule="auto"/>
        <w:rPr>
          <w:rFonts w:cstheme="minorHAnsi"/>
          <w:b/>
          <w:bCs/>
          <w:sz w:val="20"/>
          <w:szCs w:val="20"/>
          <w:u w:val="single"/>
          <w:lang w:eastAsia="ar-SA"/>
        </w:rPr>
      </w:pPr>
    </w:p>
    <w:p w:rsidR="0078639D" w:rsidRDefault="004945CF">
      <w:pPr>
        <w:spacing w:after="0" w:line="276" w:lineRule="auto"/>
        <w:rPr>
          <w:rFonts w:cstheme="minorHAnsi"/>
          <w:b/>
          <w:bCs/>
          <w:sz w:val="20"/>
          <w:szCs w:val="20"/>
          <w:u w:val="single"/>
          <w:lang w:eastAsia="ar-SA"/>
        </w:rPr>
      </w:pPr>
      <w:r>
        <w:rPr>
          <w:rFonts w:cstheme="minorHAnsi"/>
          <w:b/>
          <w:bCs/>
          <w:sz w:val="20"/>
          <w:szCs w:val="20"/>
          <w:u w:val="single"/>
          <w:lang w:eastAsia="ar-SA"/>
        </w:rPr>
        <w:t>Wykonawca:</w:t>
      </w:r>
    </w:p>
    <w:p w:rsidR="0078639D" w:rsidRDefault="004945CF">
      <w:pPr>
        <w:spacing w:after="0" w:line="276" w:lineRule="auto"/>
        <w:rPr>
          <w:rFonts w:cstheme="minorHAnsi"/>
          <w:b/>
          <w:bCs/>
          <w:sz w:val="20"/>
          <w:szCs w:val="20"/>
          <w:lang w:eastAsia="ar-SA"/>
        </w:rPr>
      </w:pPr>
      <w:r>
        <w:rPr>
          <w:rFonts w:cstheme="minorHAnsi"/>
          <w:b/>
          <w:bCs/>
          <w:sz w:val="20"/>
          <w:szCs w:val="20"/>
          <w:lang w:eastAsia="ar-SA"/>
        </w:rPr>
        <w:t>………………………………………….</w:t>
      </w:r>
    </w:p>
    <w:p w:rsidR="0078639D" w:rsidRDefault="004945CF">
      <w:pPr>
        <w:spacing w:after="0" w:line="276" w:lineRule="auto"/>
        <w:rPr>
          <w:rFonts w:cstheme="minorHAnsi"/>
          <w:bCs/>
          <w:sz w:val="20"/>
          <w:szCs w:val="20"/>
          <w:lang w:eastAsia="ar-SA"/>
        </w:rPr>
      </w:pPr>
      <w:r>
        <w:rPr>
          <w:rFonts w:cstheme="minorHAnsi"/>
          <w:bCs/>
          <w:sz w:val="20"/>
          <w:szCs w:val="20"/>
          <w:lang w:eastAsia="ar-SA"/>
        </w:rPr>
        <w:t>(</w:t>
      </w:r>
      <w:r>
        <w:rPr>
          <w:rFonts w:cstheme="minorHAnsi"/>
          <w:i/>
          <w:sz w:val="20"/>
          <w:szCs w:val="20"/>
        </w:rPr>
        <w:t>pełna nazwa/firma, adres</w:t>
      </w:r>
      <w:r>
        <w:rPr>
          <w:rFonts w:cstheme="minorHAnsi"/>
          <w:bCs/>
          <w:sz w:val="20"/>
          <w:szCs w:val="20"/>
          <w:lang w:eastAsia="ar-SA"/>
        </w:rPr>
        <w:t>)</w:t>
      </w:r>
    </w:p>
    <w:p w:rsidR="0078639D" w:rsidRDefault="004945CF">
      <w:pPr>
        <w:spacing w:before="240" w:line="276" w:lineRule="auto"/>
        <w:jc w:val="center"/>
        <w:rPr>
          <w:rFonts w:cstheme="minorHAnsi"/>
          <w:b/>
          <w:color w:val="000000"/>
          <w:sz w:val="20"/>
          <w:szCs w:val="20"/>
        </w:rPr>
      </w:pPr>
      <w:r>
        <w:rPr>
          <w:rFonts w:cstheme="minorHAnsi"/>
          <w:b/>
          <w:color w:val="000000"/>
          <w:sz w:val="20"/>
          <w:szCs w:val="20"/>
        </w:rPr>
        <w:t>FORMULARZ OFERTOWY cd.</w:t>
      </w:r>
    </w:p>
    <w:p w:rsidR="0078639D" w:rsidRDefault="004945CF" w:rsidP="006F5606">
      <w:pPr>
        <w:spacing w:after="0" w:line="276" w:lineRule="auto"/>
        <w:jc w:val="both"/>
        <w:rPr>
          <w:rFonts w:cstheme="minorHAnsi"/>
          <w:b/>
          <w:bCs/>
          <w:color w:val="7030A0"/>
          <w:sz w:val="20"/>
          <w:szCs w:val="20"/>
        </w:rPr>
      </w:pPr>
      <w:r>
        <w:rPr>
          <w:rFonts w:cstheme="minorHAnsi"/>
          <w:bCs/>
          <w:color w:val="000000"/>
          <w:sz w:val="20"/>
          <w:szCs w:val="20"/>
        </w:rPr>
        <w:t>Dotyczy:</w:t>
      </w:r>
      <w:sdt>
        <w:sdtPr>
          <w:rPr>
            <w:b/>
            <w:sz w:val="20"/>
            <w:szCs w:val="20"/>
          </w:rPr>
          <w:alias w:val="Tytuł"/>
          <w:id w:val="479575213"/>
          <w:dataBinding w:prefixMappings="xmlns:ns0='http://purl.org/dc/elements/1.1/' xmlns:ns1='http://schemas.openxmlformats.org/package/2006/metadata/core-properties' " w:xpath="/ns1:coreProperties[1]/ns0:title[1]" w:storeItemID="{6C3C8BC8-F283-45AE-878A-BAB7291924A1}"/>
          <w:text/>
        </w:sdtPr>
        <w:sdtContent>
          <w:r w:rsidR="007E110C">
            <w:rPr>
              <w:b/>
              <w:sz w:val="20"/>
              <w:szCs w:val="20"/>
            </w:rPr>
            <w:t>Zakup wyposażenia Oddziału Wewnętrznego w ramach projektu „Modernizacja infrastruktury kardiologicznej Oddziału Wewnętrznego SPZOZ w Gostyniu"</w:t>
          </w:r>
        </w:sdtContent>
      </w:sdt>
      <w:r w:rsidRPr="0048590C">
        <w:rPr>
          <w:rFonts w:cstheme="minorHAnsi"/>
          <w:b/>
          <w:bCs/>
          <w:sz w:val="20"/>
          <w:szCs w:val="20"/>
        </w:rPr>
        <w:t>.</w:t>
      </w:r>
    </w:p>
    <w:p w:rsidR="0078639D" w:rsidRDefault="004945CF">
      <w:pPr>
        <w:tabs>
          <w:tab w:val="left" w:pos="360"/>
        </w:tabs>
        <w:spacing w:line="276" w:lineRule="auto"/>
        <w:contextualSpacing/>
        <w:rPr>
          <w:rFonts w:cstheme="minorHAnsi"/>
          <w:b/>
          <w:bCs/>
          <w:sz w:val="20"/>
          <w:szCs w:val="20"/>
        </w:rPr>
      </w:pPr>
      <w:r>
        <w:rPr>
          <w:rFonts w:cstheme="minorHAnsi"/>
          <w:bCs/>
          <w:sz w:val="20"/>
          <w:szCs w:val="20"/>
        </w:rPr>
        <w:t xml:space="preserve">Nr referencyjny nadany sprawie przez Zamawiającego: </w:t>
      </w:r>
      <w:sdt>
        <w:sdtPr>
          <w:alias w:val="Słowa kluczowe"/>
          <w:id w:val="-1088622611"/>
          <w:dataBinding w:prefixMappings="xmlns:ns0='http://purl.org/dc/elements/1.1/' xmlns:ns1='http://schemas.openxmlformats.org/package/2006/metadata/core-properties' " w:xpath="/ns1:coreProperties[1]/ns1:keywords[1]" w:storeItemID="{6C3C8BC8-F283-45AE-878A-BAB7291924A1}"/>
          <w:text/>
        </w:sdtPr>
        <w:sdtContent>
          <w:r>
            <w:rPr>
              <w:rFonts w:cstheme="minorHAnsi"/>
              <w:b/>
              <w:bCs/>
              <w:sz w:val="20"/>
              <w:szCs w:val="20"/>
            </w:rPr>
            <w:t>SPZOZ.XII.231.1/3/2026</w:t>
          </w:r>
        </w:sdtContent>
      </w:sdt>
    </w:p>
    <w:p w:rsidR="0078639D" w:rsidRDefault="0078639D">
      <w:pPr>
        <w:spacing w:line="276" w:lineRule="auto"/>
        <w:contextualSpacing/>
        <w:jc w:val="both"/>
        <w:rPr>
          <w:rFonts w:cstheme="minorHAnsi"/>
          <w:b/>
          <w:bCs/>
          <w:sz w:val="20"/>
          <w:szCs w:val="20"/>
        </w:rPr>
      </w:pPr>
    </w:p>
    <w:p w:rsidR="0078639D" w:rsidRDefault="004945CF">
      <w:pPr>
        <w:spacing w:line="276" w:lineRule="auto"/>
        <w:rPr>
          <w:rFonts w:cstheme="minorHAnsi"/>
          <w:b/>
        </w:rPr>
      </w:pPr>
      <w:bookmarkStart w:id="64" w:name="_Toc65043863"/>
      <w:bookmarkStart w:id="65" w:name="_Toc65043763"/>
      <w:bookmarkStart w:id="66" w:name="_Toc65043282"/>
      <w:r>
        <w:rPr>
          <w:rFonts w:cstheme="minorHAnsi"/>
          <w:b/>
        </w:rPr>
        <w:t>I. OŚWIADCZENI</w:t>
      </w:r>
      <w:bookmarkEnd w:id="64"/>
      <w:bookmarkEnd w:id="65"/>
      <w:bookmarkEnd w:id="66"/>
      <w:r>
        <w:rPr>
          <w:rFonts w:cstheme="minorHAnsi"/>
          <w:b/>
        </w:rPr>
        <w:t>A</w:t>
      </w:r>
    </w:p>
    <w:p w:rsidR="0078639D" w:rsidRDefault="004945CF">
      <w:pPr>
        <w:pStyle w:val="Standardowy2"/>
        <w:spacing w:after="240" w:line="27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Działając w imieniu Wykonawca i będąc należycie upoważnionym do jego reprezentowania oświadczam, że: </w:t>
      </w:r>
      <w:r>
        <w:rPr>
          <w:rFonts w:asciiTheme="minorHAnsi" w:hAnsiTheme="minorHAnsi" w:cstheme="minorHAnsi"/>
          <w:i/>
          <w:sz w:val="16"/>
          <w:szCs w:val="20"/>
        </w:rPr>
        <w:t>(niepotrzebne skreślić)</w:t>
      </w:r>
    </w:p>
    <w:p w:rsidR="0078639D" w:rsidRDefault="004945CF">
      <w:pPr>
        <w:numPr>
          <w:ilvl w:val="0"/>
          <w:numId w:val="2"/>
        </w:numPr>
        <w:tabs>
          <w:tab w:val="left" w:pos="7200"/>
          <w:tab w:val="left" w:pos="7560"/>
          <w:tab w:val="left" w:pos="8280"/>
        </w:tabs>
        <w:spacing w:line="276" w:lineRule="auto"/>
        <w:ind w:left="397" w:hanging="397"/>
        <w:contextualSpacing/>
        <w:jc w:val="both"/>
        <w:rPr>
          <w:rFonts w:cstheme="minorHAnsi"/>
          <w:sz w:val="20"/>
          <w:szCs w:val="20"/>
        </w:rPr>
      </w:pPr>
      <w:r>
        <w:rPr>
          <w:rFonts w:cstheme="minorHAnsi"/>
          <w:sz w:val="20"/>
          <w:szCs w:val="20"/>
        </w:rPr>
        <w:t xml:space="preserve">wskazane poniżej informacje zawarte w ofercie </w:t>
      </w:r>
      <w:r>
        <w:rPr>
          <w:rFonts w:cstheme="minorHAnsi"/>
          <w:b/>
          <w:bCs/>
          <w:sz w:val="20"/>
          <w:szCs w:val="20"/>
        </w:rPr>
        <w:t>stanowią tajemnicę przedsiębiorstwa</w:t>
      </w:r>
      <w:r>
        <w:rPr>
          <w:rFonts w:cstheme="minorHAnsi"/>
          <w:sz w:val="20"/>
          <w:szCs w:val="20"/>
        </w:rPr>
        <w:t xml:space="preserve"> w rozumieniu przepisów o zwalczaniu nieuczciwej konkurencji, w związku z tym nie mogą być udostępniane, w szczególności innym uczestnikom postępowania.</w:t>
      </w:r>
    </w:p>
    <w:tbl>
      <w:tblPr>
        <w:tblW w:w="10064" w:type="dxa"/>
        <w:tblInd w:w="496" w:type="dxa"/>
        <w:tblLayout w:type="fixed"/>
        <w:tblCellMar>
          <w:left w:w="70" w:type="dxa"/>
          <w:right w:w="70" w:type="dxa"/>
        </w:tblCellMar>
        <w:tblLook w:val="0000"/>
      </w:tblPr>
      <w:tblGrid>
        <w:gridCol w:w="282"/>
        <w:gridCol w:w="6806"/>
        <w:gridCol w:w="1487"/>
        <w:gridCol w:w="1489"/>
      </w:tblGrid>
      <w:tr w:rsidR="0078639D">
        <w:trPr>
          <w:cantSplit/>
          <w:trHeight w:val="20"/>
        </w:trPr>
        <w:tc>
          <w:tcPr>
            <w:tcW w:w="7087" w:type="dxa"/>
            <w:gridSpan w:val="2"/>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78639D" w:rsidRDefault="004945CF">
            <w:pPr>
              <w:pStyle w:val="Tekstpodstawowy2"/>
              <w:spacing w:after="0" w:line="276" w:lineRule="auto"/>
              <w:contextualSpacing/>
              <w:jc w:val="center"/>
              <w:rPr>
                <w:rFonts w:cstheme="minorHAnsi"/>
                <w:sz w:val="20"/>
              </w:rPr>
            </w:pPr>
            <w:r>
              <w:rPr>
                <w:rFonts w:cstheme="minorHAnsi"/>
                <w:sz w:val="20"/>
              </w:rPr>
              <w:t>Oznaczenie rodzaju (nazwy) informacji w ofercie</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78639D" w:rsidRDefault="004945CF">
            <w:pPr>
              <w:pStyle w:val="Tekstpodstawowy2"/>
              <w:spacing w:after="0" w:line="276" w:lineRule="auto"/>
              <w:contextualSpacing/>
              <w:jc w:val="center"/>
              <w:rPr>
                <w:rFonts w:cstheme="minorHAnsi"/>
                <w:sz w:val="20"/>
              </w:rPr>
            </w:pPr>
            <w:r>
              <w:rPr>
                <w:rFonts w:cstheme="minorHAnsi"/>
                <w:sz w:val="20"/>
              </w:rPr>
              <w:t>Strony w ofercie (wyrażone cyfrą)</w:t>
            </w: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1</w:t>
            </w:r>
          </w:p>
        </w:tc>
        <w:tc>
          <w:tcPr>
            <w:tcW w:w="6805"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7"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9"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2</w:t>
            </w:r>
          </w:p>
        </w:tc>
        <w:tc>
          <w:tcPr>
            <w:tcW w:w="6805"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7"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9"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w:t>
            </w:r>
          </w:p>
        </w:tc>
        <w:tc>
          <w:tcPr>
            <w:tcW w:w="6805"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7"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1489"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r w:rsidR="0078639D">
        <w:trPr>
          <w:cantSplit/>
          <w:trHeight w:val="20"/>
        </w:trPr>
        <w:tc>
          <w:tcPr>
            <w:tcW w:w="10063" w:type="dxa"/>
            <w:gridSpan w:val="4"/>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78639D" w:rsidRDefault="004945CF">
            <w:pPr>
              <w:pStyle w:val="Tekstpodstawowy2"/>
              <w:spacing w:after="0" w:line="276" w:lineRule="auto"/>
              <w:contextualSpacing/>
              <w:rPr>
                <w:rFonts w:cstheme="minorHAnsi"/>
                <w:sz w:val="20"/>
                <w:highlight w:val="lightGray"/>
              </w:rPr>
            </w:pPr>
            <w:r>
              <w:rPr>
                <w:rFonts w:cstheme="minorHAnsi"/>
                <w:sz w:val="20"/>
              </w:rPr>
              <w:t>Oznaczenie pliku (nazwa pliku), który zawiera informacje objęte tajemnicą przedsiębiorstwa - ………………… (wpisać)</w:t>
            </w:r>
          </w:p>
        </w:tc>
      </w:tr>
    </w:tbl>
    <w:p w:rsidR="0078639D" w:rsidRDefault="0078639D">
      <w:pPr>
        <w:tabs>
          <w:tab w:val="left" w:pos="7200"/>
          <w:tab w:val="left" w:pos="7560"/>
          <w:tab w:val="left" w:pos="8280"/>
        </w:tabs>
        <w:spacing w:after="0" w:line="276" w:lineRule="auto"/>
        <w:ind w:left="397"/>
        <w:contextualSpacing/>
        <w:jc w:val="both"/>
        <w:rPr>
          <w:rFonts w:cstheme="minorHAnsi"/>
          <w:sz w:val="20"/>
          <w:szCs w:val="20"/>
        </w:rPr>
      </w:pPr>
    </w:p>
    <w:p w:rsidR="0078639D" w:rsidRDefault="004945CF">
      <w:pPr>
        <w:numPr>
          <w:ilvl w:val="0"/>
          <w:numId w:val="2"/>
        </w:numPr>
        <w:tabs>
          <w:tab w:val="left" w:pos="7200"/>
          <w:tab w:val="left" w:pos="7560"/>
          <w:tab w:val="left" w:pos="8280"/>
        </w:tabs>
        <w:spacing w:after="0" w:line="276" w:lineRule="auto"/>
        <w:ind w:left="397" w:hanging="397"/>
        <w:contextualSpacing/>
        <w:jc w:val="both"/>
        <w:rPr>
          <w:rFonts w:cstheme="minorHAnsi"/>
          <w:sz w:val="20"/>
          <w:szCs w:val="20"/>
        </w:rPr>
      </w:pPr>
      <w:r>
        <w:rPr>
          <w:rFonts w:cstheme="minorHAnsi"/>
          <w:sz w:val="20"/>
          <w:szCs w:val="20"/>
        </w:rPr>
        <w:t xml:space="preserve">następujące części niniejszego zamówienia </w:t>
      </w:r>
      <w:r>
        <w:rPr>
          <w:rFonts w:cstheme="minorHAnsi"/>
          <w:b/>
          <w:bCs/>
          <w:sz w:val="20"/>
          <w:szCs w:val="20"/>
        </w:rPr>
        <w:t>zamierzam(y) powierzyć podwykonawcom:</w:t>
      </w:r>
    </w:p>
    <w:tbl>
      <w:tblPr>
        <w:tblW w:w="10064" w:type="dxa"/>
        <w:tblInd w:w="534" w:type="dxa"/>
        <w:tblLayout w:type="fixed"/>
        <w:tblLook w:val="01E0"/>
      </w:tblPr>
      <w:tblGrid>
        <w:gridCol w:w="282"/>
        <w:gridCol w:w="4678"/>
        <w:gridCol w:w="5104"/>
      </w:tblGrid>
      <w:tr w:rsidR="0078639D">
        <w:trPr>
          <w:trHeight w:val="113"/>
        </w:trPr>
        <w:tc>
          <w:tcPr>
            <w:tcW w:w="4960" w:type="dxa"/>
            <w:gridSpan w:val="2"/>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78639D" w:rsidRDefault="004945CF">
            <w:pPr>
              <w:spacing w:after="0" w:line="276" w:lineRule="auto"/>
              <w:contextualSpacing/>
              <w:jc w:val="center"/>
              <w:rPr>
                <w:rFonts w:ascii="Calibri" w:eastAsia="Calibri" w:hAnsi="Calibri" w:cs="Calibri"/>
                <w:sz w:val="20"/>
              </w:rPr>
            </w:pPr>
            <w:r>
              <w:rPr>
                <w:rFonts w:ascii="Calibri" w:eastAsia="Calibri" w:hAnsi="Calibri" w:cs="Calibri"/>
                <w:sz w:val="20"/>
              </w:rPr>
              <w:t>Część/zakres zamówienia</w:t>
            </w:r>
          </w:p>
        </w:tc>
        <w:tc>
          <w:tcPr>
            <w:tcW w:w="5104"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78639D" w:rsidRDefault="004945CF">
            <w:pPr>
              <w:spacing w:after="0" w:line="276" w:lineRule="auto"/>
              <w:contextualSpacing/>
              <w:jc w:val="center"/>
              <w:rPr>
                <w:rFonts w:ascii="Calibri" w:eastAsia="Calibri" w:hAnsi="Calibri" w:cs="Calibri"/>
                <w:sz w:val="20"/>
                <w:vertAlign w:val="superscript"/>
              </w:rPr>
            </w:pPr>
            <w:r>
              <w:rPr>
                <w:rFonts w:ascii="Calibri" w:eastAsia="Calibri" w:hAnsi="Calibri" w:cs="Calibri"/>
                <w:sz w:val="20"/>
              </w:rPr>
              <w:t>Nazwa (firma) podwykonawcy</w:t>
            </w: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1</w:t>
            </w:r>
          </w:p>
        </w:tc>
        <w:tc>
          <w:tcPr>
            <w:tcW w:w="4678"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5104"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2</w:t>
            </w:r>
          </w:p>
        </w:tc>
        <w:tc>
          <w:tcPr>
            <w:tcW w:w="4678"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5104"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r w:rsidR="0078639D">
        <w:trPr>
          <w:cantSplit/>
          <w:trHeight w:val="20"/>
        </w:trPr>
        <w:tc>
          <w:tcPr>
            <w:tcW w:w="282" w:type="dxa"/>
            <w:tcBorders>
              <w:top w:val="single" w:sz="4" w:space="0" w:color="000000"/>
              <w:left w:val="single" w:sz="4" w:space="0" w:color="000000"/>
              <w:bottom w:val="single" w:sz="4" w:space="0" w:color="000000"/>
              <w:right w:val="single" w:sz="4" w:space="0" w:color="000000"/>
            </w:tcBorders>
            <w:vAlign w:val="center"/>
          </w:tcPr>
          <w:p w:rsidR="0078639D" w:rsidRDefault="004945CF">
            <w:pPr>
              <w:pStyle w:val="Tekstpodstawowy2"/>
              <w:spacing w:after="0" w:line="276" w:lineRule="auto"/>
              <w:contextualSpacing/>
              <w:jc w:val="center"/>
              <w:rPr>
                <w:rFonts w:cstheme="minorHAnsi"/>
                <w:bCs/>
                <w:sz w:val="20"/>
              </w:rPr>
            </w:pPr>
            <w:r>
              <w:rPr>
                <w:rFonts w:cstheme="minorHAnsi"/>
                <w:bCs/>
                <w:sz w:val="20"/>
              </w:rPr>
              <w:t>…</w:t>
            </w:r>
          </w:p>
        </w:tc>
        <w:tc>
          <w:tcPr>
            <w:tcW w:w="4678"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c>
          <w:tcPr>
            <w:tcW w:w="5104" w:type="dxa"/>
            <w:tcBorders>
              <w:top w:val="single" w:sz="4" w:space="0" w:color="000000"/>
              <w:left w:val="single" w:sz="4" w:space="0" w:color="000000"/>
              <w:bottom w:val="single" w:sz="4" w:space="0" w:color="000000"/>
              <w:right w:val="single" w:sz="4" w:space="0" w:color="000000"/>
            </w:tcBorders>
          </w:tcPr>
          <w:p w:rsidR="0078639D" w:rsidRDefault="0078639D">
            <w:pPr>
              <w:pStyle w:val="Tekstpodstawowy2"/>
              <w:spacing w:after="0" w:line="276" w:lineRule="auto"/>
              <w:contextualSpacing/>
              <w:rPr>
                <w:rFonts w:cstheme="minorHAnsi"/>
                <w:sz w:val="20"/>
              </w:rPr>
            </w:pPr>
          </w:p>
        </w:tc>
      </w:tr>
    </w:tbl>
    <w:p w:rsidR="0078639D" w:rsidRDefault="0078639D">
      <w:pPr>
        <w:spacing w:line="276" w:lineRule="auto"/>
        <w:rPr>
          <w:rFonts w:cstheme="minorHAnsi"/>
          <w:sz w:val="18"/>
          <w:szCs w:val="18"/>
        </w:rPr>
      </w:pPr>
    </w:p>
    <w:p w:rsidR="0078639D" w:rsidRDefault="004945CF">
      <w:pPr>
        <w:numPr>
          <w:ilvl w:val="0"/>
          <w:numId w:val="2"/>
        </w:numPr>
        <w:tabs>
          <w:tab w:val="left" w:pos="7200"/>
          <w:tab w:val="left" w:pos="7560"/>
          <w:tab w:val="left" w:pos="8280"/>
        </w:tabs>
        <w:spacing w:after="0" w:line="276" w:lineRule="auto"/>
        <w:ind w:left="397" w:hanging="397"/>
        <w:contextualSpacing/>
        <w:jc w:val="both"/>
        <w:rPr>
          <w:rFonts w:cstheme="minorHAnsi"/>
          <w:sz w:val="20"/>
          <w:szCs w:val="20"/>
        </w:rPr>
      </w:pPr>
      <w:r>
        <w:rPr>
          <w:rFonts w:cstheme="minorHAnsi"/>
          <w:sz w:val="20"/>
          <w:szCs w:val="20"/>
        </w:rPr>
        <w:t xml:space="preserve">wybór oferty prowadzić będzie do powstania u Zamawiającego obowiązku podatkowego o wartości ……….. zł. </w:t>
      </w: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4945CF">
      <w:pPr>
        <w:spacing w:after="0" w:line="276" w:lineRule="auto"/>
        <w:rPr>
          <w:sz w:val="20"/>
        </w:rPr>
      </w:pPr>
      <w:r>
        <w:rPr>
          <w:sz w:val="20"/>
        </w:rPr>
        <w:t>Podpis(y)</w:t>
      </w: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p>
    <w:p w:rsidR="0078639D" w:rsidRDefault="0078639D">
      <w:pPr>
        <w:pStyle w:val="Akapitzlist"/>
        <w:spacing w:line="276" w:lineRule="auto"/>
        <w:ind w:left="0"/>
        <w:jc w:val="both"/>
        <w:rPr>
          <w:rFonts w:asciiTheme="minorHAnsi" w:hAnsiTheme="minorHAnsi" w:cstheme="minorHAnsi"/>
        </w:rPr>
      </w:pPr>
      <w:bookmarkStart w:id="67" w:name="_Toc95987090"/>
      <w:bookmarkEnd w:id="67"/>
    </w:p>
    <w:p w:rsidR="0078639D" w:rsidRDefault="0078639D">
      <w:pPr>
        <w:sectPr w:rsidR="0078639D">
          <w:footerReference w:type="default" r:id="rId26"/>
          <w:footerReference w:type="first" r:id="rId27"/>
          <w:pgSz w:w="11906" w:h="16838"/>
          <w:pgMar w:top="720" w:right="720" w:bottom="720" w:left="720" w:header="0" w:footer="284" w:gutter="0"/>
          <w:cols w:space="720"/>
          <w:formProt w:val="0"/>
          <w:titlePg/>
          <w:docGrid w:linePitch="360"/>
        </w:sectPr>
      </w:pPr>
    </w:p>
    <w:p w:rsidR="0078639D" w:rsidRDefault="004945CF">
      <w:pPr>
        <w:pStyle w:val="Nagwek3"/>
        <w:spacing w:line="276" w:lineRule="auto"/>
        <w:rPr>
          <w:rFonts w:asciiTheme="majorHAnsi" w:hAnsiTheme="majorHAnsi"/>
          <w:i w:val="0"/>
          <w:sz w:val="21"/>
          <w:szCs w:val="21"/>
        </w:rPr>
      </w:pPr>
      <w:r>
        <w:rPr>
          <w:noProof/>
          <w:lang w:val="en-US"/>
        </w:rPr>
        <w:lastRenderedPageBreak/>
        <w:drawing>
          <wp:inline distT="0" distB="0" distL="0" distR="0">
            <wp:extent cx="6645910" cy="664845"/>
            <wp:effectExtent l="0" t="0" r="0" b="0"/>
            <wp:docPr id="13" name="Obra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9"/>
                    <pic:cNvPicPr>
                      <a:picLocks noChangeAspect="1" noChangeArrowheads="1"/>
                    </pic:cNvPicPr>
                  </pic:nvPicPr>
                  <pic:blipFill>
                    <a:blip r:embed="rId8" cstate="print"/>
                    <a:stretch>
                      <a:fillRect/>
                    </a:stretch>
                  </pic:blipFill>
                  <pic:spPr bwMode="auto">
                    <a:xfrm>
                      <a:off x="0" y="0"/>
                      <a:ext cx="6645910" cy="664845"/>
                    </a:xfrm>
                    <a:prstGeom prst="rect">
                      <a:avLst/>
                    </a:prstGeom>
                    <a:noFill/>
                  </pic:spPr>
                </pic:pic>
              </a:graphicData>
            </a:graphic>
          </wp:inline>
        </w:drawing>
      </w:r>
    </w:p>
    <w:p w:rsidR="0078639D" w:rsidRDefault="004945CF">
      <w:pPr>
        <w:pStyle w:val="Nagwek3"/>
        <w:spacing w:line="276" w:lineRule="auto"/>
        <w:rPr>
          <w:rFonts w:asciiTheme="majorHAnsi" w:hAnsiTheme="majorHAnsi"/>
          <w:i w:val="0"/>
          <w:sz w:val="20"/>
          <w:szCs w:val="20"/>
        </w:rPr>
      </w:pPr>
      <w:r>
        <w:rPr>
          <w:rFonts w:asciiTheme="majorHAnsi" w:hAnsiTheme="majorHAnsi"/>
          <w:i w:val="0"/>
          <w:sz w:val="20"/>
          <w:szCs w:val="20"/>
        </w:rPr>
        <w:t>Załącznik nr 2 – Zasady składania ofert równoważnych</w:t>
      </w:r>
    </w:p>
    <w:p w:rsidR="0078639D" w:rsidRDefault="0078639D">
      <w:pPr>
        <w:spacing w:after="0" w:line="276" w:lineRule="auto"/>
        <w:rPr>
          <w:rFonts w:cstheme="minorHAnsi"/>
          <w:b/>
          <w:color w:val="7030A0"/>
          <w:sz w:val="20"/>
          <w:szCs w:val="20"/>
        </w:rPr>
      </w:pPr>
    </w:p>
    <w:p w:rsidR="0078639D" w:rsidRDefault="004945CF">
      <w:pPr>
        <w:spacing w:after="0" w:line="276" w:lineRule="auto"/>
        <w:jc w:val="center"/>
        <w:rPr>
          <w:rFonts w:cstheme="minorHAnsi"/>
          <w:b/>
          <w:color w:val="7030A0"/>
          <w:sz w:val="20"/>
          <w:szCs w:val="20"/>
        </w:rPr>
      </w:pPr>
      <w:r>
        <w:rPr>
          <w:rFonts w:cstheme="minorHAnsi"/>
          <w:b/>
          <w:color w:val="7030A0"/>
          <w:sz w:val="20"/>
          <w:szCs w:val="20"/>
        </w:rPr>
        <w:t>WARUNKI RÓWNOWAŻNE/ WARUNKI REALIZACJI ZAMÓWIENIA</w:t>
      </w:r>
    </w:p>
    <w:p w:rsidR="0078639D" w:rsidRPr="007E110C" w:rsidRDefault="0078639D">
      <w:pPr>
        <w:tabs>
          <w:tab w:val="left" w:pos="1701"/>
        </w:tabs>
        <w:spacing w:after="0" w:line="276" w:lineRule="auto"/>
        <w:contextualSpacing/>
        <w:jc w:val="both"/>
        <w:rPr>
          <w:rFonts w:cstheme="minorHAnsi"/>
          <w:sz w:val="16"/>
          <w:szCs w:val="16"/>
        </w:rPr>
      </w:pPr>
    </w:p>
    <w:p w:rsidR="0078639D" w:rsidRDefault="004945CF">
      <w:pPr>
        <w:tabs>
          <w:tab w:val="left" w:pos="1701"/>
        </w:tabs>
        <w:spacing w:after="0" w:line="240" w:lineRule="auto"/>
        <w:contextualSpacing/>
        <w:jc w:val="both"/>
        <w:rPr>
          <w:rFonts w:cstheme="minorHAnsi"/>
          <w:sz w:val="20"/>
          <w:szCs w:val="20"/>
        </w:rPr>
      </w:pPr>
      <w:r>
        <w:rPr>
          <w:rFonts w:cstheme="minorHAnsi"/>
          <w:sz w:val="20"/>
          <w:szCs w:val="20"/>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78639D" w:rsidRDefault="004945CF">
      <w:pPr>
        <w:pStyle w:val="Akapitzlist"/>
        <w:numPr>
          <w:ilvl w:val="0"/>
          <w:numId w:val="47"/>
        </w:numPr>
        <w:ind w:left="270" w:hanging="270"/>
        <w:contextualSpacing/>
        <w:jc w:val="both"/>
        <w:rPr>
          <w:rFonts w:asciiTheme="minorHAnsi" w:hAnsiTheme="minorHAnsi" w:cstheme="minorHAnsi"/>
        </w:rPr>
      </w:pPr>
      <w:r>
        <w:rPr>
          <w:rFonts w:asciiTheme="minorHAnsi" w:hAnsiTheme="minorHAnsi" w:cstheme="minorHAnsi"/>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78639D" w:rsidRDefault="004945CF">
      <w:pPr>
        <w:pStyle w:val="Akapitzlist"/>
        <w:numPr>
          <w:ilvl w:val="0"/>
          <w:numId w:val="47"/>
        </w:numPr>
        <w:ind w:left="270" w:hanging="270"/>
        <w:contextualSpacing/>
        <w:jc w:val="both"/>
        <w:rPr>
          <w:rFonts w:asciiTheme="minorHAnsi" w:hAnsiTheme="minorHAnsi" w:cstheme="minorHAnsi"/>
        </w:rPr>
      </w:pPr>
      <w:r>
        <w:rPr>
          <w:rFonts w:asciiTheme="minorHAnsi" w:hAnsiTheme="minorHAnsi" w:cstheme="minorHAnsi"/>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78639D" w:rsidRDefault="004945CF">
      <w:pPr>
        <w:pStyle w:val="Akapitzlist"/>
        <w:numPr>
          <w:ilvl w:val="0"/>
          <w:numId w:val="47"/>
        </w:numPr>
        <w:ind w:left="270" w:hanging="270"/>
        <w:contextualSpacing/>
        <w:jc w:val="both"/>
        <w:rPr>
          <w:rFonts w:asciiTheme="minorHAnsi" w:hAnsiTheme="minorHAnsi" w:cstheme="minorHAnsi"/>
        </w:rPr>
      </w:pPr>
      <w:r>
        <w:rPr>
          <w:rFonts w:asciiTheme="minorHAnsi" w:hAnsiTheme="minorHAnsi" w:cstheme="minorHAnsi"/>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78639D" w:rsidRDefault="004945CF">
      <w:pPr>
        <w:pStyle w:val="Akapitzlist"/>
        <w:numPr>
          <w:ilvl w:val="0"/>
          <w:numId w:val="47"/>
        </w:numPr>
        <w:ind w:left="270" w:hanging="270"/>
        <w:contextualSpacing/>
        <w:jc w:val="both"/>
        <w:rPr>
          <w:rFonts w:asciiTheme="minorHAnsi" w:hAnsiTheme="minorHAnsi" w:cstheme="minorHAnsi"/>
        </w:rPr>
      </w:pPr>
      <w:r>
        <w:rPr>
          <w:rFonts w:asciiTheme="minorHAnsi" w:hAnsiTheme="minorHAnsi" w:cstheme="minorHAnsi"/>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78639D" w:rsidRDefault="004945CF">
      <w:pPr>
        <w:pStyle w:val="Akapitzlist"/>
        <w:numPr>
          <w:ilvl w:val="0"/>
          <w:numId w:val="47"/>
        </w:numPr>
        <w:ind w:left="270" w:hanging="270"/>
        <w:contextualSpacing/>
        <w:jc w:val="both"/>
        <w:rPr>
          <w:rFonts w:asciiTheme="minorHAnsi" w:hAnsiTheme="minorHAnsi" w:cstheme="minorHAnsi"/>
        </w:rPr>
      </w:pPr>
      <w:r>
        <w:rPr>
          <w:rFonts w:asciiTheme="minorHAnsi" w:hAnsiTheme="minorHAnsi" w:cstheme="minorHAnsi"/>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78639D" w:rsidRDefault="004945CF">
      <w:pPr>
        <w:pStyle w:val="Akapitzlist"/>
        <w:numPr>
          <w:ilvl w:val="0"/>
          <w:numId w:val="48"/>
        </w:numPr>
        <w:ind w:left="540" w:hanging="270"/>
        <w:contextualSpacing/>
        <w:jc w:val="both"/>
        <w:rPr>
          <w:rFonts w:asciiTheme="minorHAnsi" w:hAnsiTheme="minorHAnsi" w:cstheme="minorHAnsi"/>
        </w:rPr>
      </w:pPr>
      <w:r>
        <w:rPr>
          <w:rFonts w:asciiTheme="minorHAnsi" w:hAnsiTheme="minorHAnsi" w:cstheme="minorHAnsi"/>
        </w:rPr>
        <w:t>gabaryt/konstrukcja (co oznacza takie parametry, jak: wielkość, rodzaj, ciężar, właściwości fizyczne, liczba elementów składowych, samodzielna konstrukcja, konstrukcja złożona)</w:t>
      </w:r>
    </w:p>
    <w:p w:rsidR="0078639D" w:rsidRDefault="004945CF">
      <w:pPr>
        <w:pStyle w:val="Akapitzlist"/>
        <w:numPr>
          <w:ilvl w:val="0"/>
          <w:numId w:val="48"/>
        </w:numPr>
        <w:ind w:left="540" w:hanging="270"/>
        <w:contextualSpacing/>
        <w:jc w:val="both"/>
        <w:rPr>
          <w:rFonts w:asciiTheme="minorHAnsi" w:hAnsiTheme="minorHAnsi" w:cstheme="minorHAnsi"/>
        </w:rPr>
      </w:pPr>
      <w:r>
        <w:rPr>
          <w:rFonts w:asciiTheme="minorHAnsi" w:hAnsiTheme="minorHAnsi" w:cstheme="minorHAnsi"/>
        </w:rPr>
        <w:t>charakter użytkowy (tożsamość funkcji i przeznaczenie)</w:t>
      </w:r>
    </w:p>
    <w:p w:rsidR="0078639D" w:rsidRDefault="004945CF">
      <w:pPr>
        <w:pStyle w:val="Akapitzlist"/>
        <w:numPr>
          <w:ilvl w:val="0"/>
          <w:numId w:val="48"/>
        </w:numPr>
        <w:ind w:left="540" w:hanging="270"/>
        <w:contextualSpacing/>
        <w:jc w:val="both"/>
        <w:rPr>
          <w:rFonts w:asciiTheme="minorHAnsi" w:hAnsiTheme="minorHAnsi" w:cstheme="minorHAnsi"/>
        </w:rPr>
      </w:pPr>
      <w:r>
        <w:rPr>
          <w:rFonts w:asciiTheme="minorHAnsi" w:hAnsiTheme="minorHAnsi" w:cstheme="minorHAnsi"/>
        </w:rPr>
        <w:t>charakter materiałowy (rodzaj i jakość materiałów)</w:t>
      </w:r>
    </w:p>
    <w:p w:rsidR="0078639D" w:rsidRDefault="004945CF">
      <w:pPr>
        <w:pStyle w:val="Akapitzlist"/>
        <w:numPr>
          <w:ilvl w:val="0"/>
          <w:numId w:val="48"/>
        </w:numPr>
        <w:ind w:left="540" w:hanging="270"/>
        <w:contextualSpacing/>
        <w:jc w:val="both"/>
        <w:rPr>
          <w:rFonts w:asciiTheme="minorHAnsi" w:hAnsiTheme="minorHAnsi" w:cstheme="minorHAnsi"/>
        </w:rPr>
      </w:pPr>
      <w:r>
        <w:rPr>
          <w:rFonts w:asciiTheme="minorHAnsi" w:hAnsiTheme="minorHAnsi" w:cstheme="minorHAnsi"/>
        </w:rPr>
        <w:lastRenderedPageBreak/>
        <w:t>parametry techniczne (wytrzymałość, trwałość, dane techniczne, dane konstrukcyjne)</w:t>
      </w:r>
    </w:p>
    <w:p w:rsidR="0078639D" w:rsidRDefault="004945CF">
      <w:pPr>
        <w:pStyle w:val="Akapitzlist"/>
        <w:numPr>
          <w:ilvl w:val="0"/>
          <w:numId w:val="48"/>
        </w:numPr>
        <w:ind w:left="540" w:hanging="270"/>
        <w:contextualSpacing/>
        <w:jc w:val="both"/>
        <w:rPr>
          <w:rFonts w:asciiTheme="minorHAnsi" w:hAnsiTheme="minorHAnsi" w:cstheme="minorHAnsi"/>
        </w:rPr>
      </w:pPr>
      <w:r>
        <w:rPr>
          <w:rFonts w:asciiTheme="minorHAnsi" w:hAnsiTheme="minorHAnsi" w:cstheme="minorHAnsi"/>
        </w:rPr>
        <w:t>parametry bezpieczeństwa użytkowania (bezpieczeństwo dla użytkownika, bezpieczeństwo dla pacjenta, bezpieczeństwo środowiskowe m.in. utylizacja)</w:t>
      </w:r>
    </w:p>
    <w:p w:rsidR="0078639D" w:rsidRDefault="0078639D">
      <w:pPr>
        <w:sectPr w:rsidR="0078639D">
          <w:type w:val="continuous"/>
          <w:pgSz w:w="11906" w:h="16838"/>
          <w:pgMar w:top="720" w:right="720" w:bottom="720" w:left="720" w:header="0" w:footer="284" w:gutter="0"/>
          <w:cols w:space="720"/>
          <w:formProt w:val="0"/>
          <w:titlePg/>
          <w:docGrid w:linePitch="360"/>
        </w:sectPr>
      </w:pPr>
    </w:p>
    <w:p w:rsidR="0078639D" w:rsidRDefault="004945CF">
      <w:pPr>
        <w:pStyle w:val="Nagwek3"/>
        <w:spacing w:line="276" w:lineRule="auto"/>
        <w:rPr>
          <w:rFonts w:asciiTheme="majorHAnsi" w:hAnsiTheme="majorHAnsi"/>
          <w:i w:val="0"/>
          <w:sz w:val="20"/>
          <w:szCs w:val="20"/>
        </w:rPr>
      </w:pPr>
      <w:r>
        <w:rPr>
          <w:noProof/>
          <w:lang w:val="en-US"/>
        </w:rPr>
        <w:lastRenderedPageBreak/>
        <w:drawing>
          <wp:inline distT="0" distB="0" distL="0" distR="0">
            <wp:extent cx="6457950" cy="646430"/>
            <wp:effectExtent l="0" t="0" r="0" b="0"/>
            <wp:docPr id="14" name="Obraz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10"/>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pStyle w:val="Nagwek3"/>
        <w:spacing w:line="276" w:lineRule="auto"/>
        <w:rPr>
          <w:rFonts w:asciiTheme="majorHAnsi" w:hAnsiTheme="majorHAnsi"/>
          <w:i w:val="0"/>
          <w:sz w:val="20"/>
          <w:szCs w:val="20"/>
        </w:rPr>
      </w:pPr>
      <w:bookmarkStart w:id="68" w:name="_Toc95987091"/>
      <w:bookmarkStart w:id="69" w:name="_Toc114403777"/>
      <w:r>
        <w:rPr>
          <w:rFonts w:asciiTheme="majorHAnsi" w:hAnsiTheme="majorHAnsi"/>
          <w:i w:val="0"/>
          <w:sz w:val="20"/>
          <w:szCs w:val="20"/>
        </w:rPr>
        <w:t>Załącznik nr 3 – Oświadczenie Grupa Kapitałowa</w:t>
      </w:r>
      <w:bookmarkEnd w:id="68"/>
      <w:bookmarkEnd w:id="69"/>
    </w:p>
    <w:p w:rsidR="0078639D" w:rsidRDefault="0078639D">
      <w:pPr>
        <w:spacing w:after="0" w:line="276" w:lineRule="auto"/>
        <w:rPr>
          <w:rFonts w:cstheme="minorHAnsi"/>
          <w:b/>
          <w:szCs w:val="20"/>
          <w:u w:val="single"/>
        </w:rPr>
      </w:pPr>
    </w:p>
    <w:p w:rsidR="0078639D" w:rsidRDefault="004945CF">
      <w:pPr>
        <w:spacing w:after="0" w:line="276" w:lineRule="auto"/>
        <w:rPr>
          <w:rFonts w:cstheme="minorHAnsi"/>
          <w:b/>
          <w:bCs/>
          <w:sz w:val="20"/>
          <w:szCs w:val="20"/>
          <w:u w:val="single"/>
          <w:lang w:eastAsia="ar-SA"/>
        </w:rPr>
      </w:pPr>
      <w:r>
        <w:rPr>
          <w:rFonts w:cstheme="minorHAnsi"/>
          <w:b/>
          <w:bCs/>
          <w:sz w:val="20"/>
          <w:szCs w:val="20"/>
          <w:u w:val="single"/>
          <w:lang w:eastAsia="ar-SA"/>
        </w:rPr>
        <w:t>Wykonawca:</w:t>
      </w:r>
    </w:p>
    <w:p w:rsidR="0078639D" w:rsidRDefault="004945CF">
      <w:pPr>
        <w:spacing w:after="0" w:line="276" w:lineRule="auto"/>
        <w:rPr>
          <w:rFonts w:cstheme="minorHAnsi"/>
          <w:b/>
          <w:bCs/>
          <w:sz w:val="20"/>
          <w:szCs w:val="20"/>
          <w:lang w:eastAsia="ar-SA"/>
        </w:rPr>
      </w:pPr>
      <w:r>
        <w:rPr>
          <w:rFonts w:cstheme="minorHAnsi"/>
          <w:b/>
          <w:bCs/>
          <w:sz w:val="20"/>
          <w:szCs w:val="20"/>
          <w:lang w:eastAsia="ar-SA"/>
        </w:rPr>
        <w:t>………………………………………….</w:t>
      </w:r>
    </w:p>
    <w:p w:rsidR="0078639D" w:rsidRDefault="004945CF">
      <w:pPr>
        <w:spacing w:after="0" w:line="276" w:lineRule="auto"/>
        <w:rPr>
          <w:rFonts w:cstheme="minorHAnsi"/>
          <w:bCs/>
          <w:sz w:val="20"/>
          <w:szCs w:val="20"/>
          <w:lang w:eastAsia="ar-SA"/>
        </w:rPr>
      </w:pPr>
      <w:r>
        <w:rPr>
          <w:rFonts w:cstheme="minorHAnsi"/>
          <w:bCs/>
          <w:sz w:val="20"/>
          <w:szCs w:val="20"/>
          <w:lang w:eastAsia="ar-SA"/>
        </w:rPr>
        <w:t>(</w:t>
      </w:r>
      <w:r>
        <w:rPr>
          <w:rFonts w:cstheme="minorHAnsi"/>
          <w:i/>
          <w:sz w:val="20"/>
          <w:szCs w:val="20"/>
        </w:rPr>
        <w:t>pełna nazwa/firma, adres</w:t>
      </w:r>
      <w:r>
        <w:rPr>
          <w:rFonts w:cstheme="minorHAnsi"/>
          <w:bCs/>
          <w:sz w:val="20"/>
          <w:szCs w:val="20"/>
          <w:lang w:eastAsia="ar-SA"/>
        </w:rPr>
        <w:t>)</w:t>
      </w:r>
    </w:p>
    <w:p w:rsidR="0078639D" w:rsidRDefault="0078639D">
      <w:pPr>
        <w:spacing w:after="0" w:line="276" w:lineRule="auto"/>
        <w:rPr>
          <w:rFonts w:cstheme="minorHAnsi"/>
          <w:b/>
          <w:bCs/>
          <w:sz w:val="20"/>
          <w:szCs w:val="20"/>
          <w:lang w:eastAsia="ar-SA"/>
        </w:rPr>
      </w:pPr>
    </w:p>
    <w:p w:rsidR="0078639D" w:rsidRDefault="0078639D">
      <w:pPr>
        <w:spacing w:after="0" w:line="276" w:lineRule="auto"/>
        <w:rPr>
          <w:rFonts w:ascii="Calibri" w:eastAsia="Calibri" w:hAnsi="Calibri" w:cs="Calibri"/>
          <w:b/>
          <w:bCs/>
          <w:sz w:val="20"/>
          <w:szCs w:val="20"/>
          <w:lang w:eastAsia="ar-SA"/>
        </w:rPr>
      </w:pPr>
    </w:p>
    <w:p w:rsidR="0078639D" w:rsidRDefault="004945CF">
      <w:pPr>
        <w:spacing w:after="0" w:line="276" w:lineRule="auto"/>
        <w:jc w:val="center"/>
        <w:rPr>
          <w:rFonts w:ascii="Calibri" w:eastAsia="Calibri" w:hAnsi="Calibri" w:cs="Calibri"/>
          <w:b/>
          <w:bCs/>
          <w:sz w:val="20"/>
          <w:szCs w:val="20"/>
          <w:lang w:eastAsia="ar-SA"/>
        </w:rPr>
      </w:pPr>
      <w:r>
        <w:rPr>
          <w:rFonts w:ascii="Calibri" w:eastAsia="Calibri" w:hAnsi="Calibri" w:cs="Calibri"/>
          <w:b/>
          <w:bCs/>
          <w:sz w:val="20"/>
          <w:szCs w:val="20"/>
          <w:lang w:eastAsia="ar-SA"/>
        </w:rPr>
        <w:t>OŚWIADCZENIE GRUPA KAPITAŁOWA O KTÓREJ MOWA W ART. 108 UST. 1 PKT 5 USTAWY PZP</w:t>
      </w:r>
    </w:p>
    <w:p w:rsidR="0078639D" w:rsidRDefault="0078639D">
      <w:pPr>
        <w:spacing w:after="0" w:line="276" w:lineRule="auto"/>
        <w:rPr>
          <w:rFonts w:ascii="Calibri" w:eastAsia="Calibri" w:hAnsi="Calibri" w:cs="Calibri"/>
          <w:lang w:eastAsia="ar-SA"/>
        </w:rPr>
      </w:pPr>
    </w:p>
    <w:p w:rsidR="0078639D" w:rsidRDefault="004945CF" w:rsidP="006F5606">
      <w:pPr>
        <w:spacing w:after="0" w:line="276" w:lineRule="auto"/>
        <w:jc w:val="both"/>
        <w:rPr>
          <w:rFonts w:cstheme="minorHAnsi"/>
          <w:b/>
          <w:bCs/>
          <w:color w:val="7030A0"/>
          <w:sz w:val="20"/>
          <w:szCs w:val="20"/>
        </w:rPr>
      </w:pPr>
      <w:r>
        <w:rPr>
          <w:rFonts w:cstheme="minorHAnsi"/>
          <w:bCs/>
          <w:color w:val="000000"/>
          <w:sz w:val="20"/>
          <w:szCs w:val="20"/>
        </w:rPr>
        <w:t>Dotyczy:</w:t>
      </w:r>
      <w:sdt>
        <w:sdtPr>
          <w:rPr>
            <w:b/>
            <w:sz w:val="20"/>
            <w:szCs w:val="20"/>
          </w:rPr>
          <w:alias w:val="Tytuł"/>
          <w:id w:val="1486350828"/>
          <w:dataBinding w:prefixMappings="xmlns:ns0='http://purl.org/dc/elements/1.1/' xmlns:ns1='http://schemas.openxmlformats.org/package/2006/metadata/core-properties' " w:xpath="/ns1:coreProperties[1]/ns0:title[1]" w:storeItemID="{6C3C8BC8-F283-45AE-878A-BAB7291924A1}"/>
          <w:text/>
        </w:sdtPr>
        <w:sdtContent>
          <w:r w:rsidR="007E110C">
            <w:rPr>
              <w:b/>
              <w:sz w:val="20"/>
              <w:szCs w:val="20"/>
            </w:rPr>
            <w:t>Zakup wyposażenia Oddziału Wewnętrznego w ramach projektu „Modernizacja infrastruktury kardiologicznej Oddziału Wewnętrznego SPZOZ w Gostyniu"</w:t>
          </w:r>
        </w:sdtContent>
      </w:sdt>
      <w:r>
        <w:rPr>
          <w:rFonts w:cstheme="minorHAnsi"/>
          <w:b/>
          <w:bCs/>
          <w:sz w:val="20"/>
          <w:szCs w:val="20"/>
        </w:rPr>
        <w:t>.</w:t>
      </w:r>
    </w:p>
    <w:p w:rsidR="0078639D" w:rsidRDefault="004945CF">
      <w:pPr>
        <w:tabs>
          <w:tab w:val="left" w:pos="360"/>
        </w:tabs>
        <w:spacing w:line="276" w:lineRule="auto"/>
        <w:contextualSpacing/>
        <w:rPr>
          <w:rFonts w:cstheme="minorHAnsi"/>
          <w:b/>
          <w:bCs/>
          <w:sz w:val="20"/>
          <w:szCs w:val="20"/>
        </w:rPr>
      </w:pPr>
      <w:r>
        <w:rPr>
          <w:rFonts w:cstheme="minorHAnsi"/>
          <w:bCs/>
          <w:sz w:val="20"/>
          <w:szCs w:val="20"/>
        </w:rPr>
        <w:t xml:space="preserve">Nr referencyjny nadany sprawie przez Zamawiającego: </w:t>
      </w:r>
      <w:sdt>
        <w:sdtPr>
          <w:alias w:val="Słowa kluczowe"/>
          <w:id w:val="1005793527"/>
          <w:dataBinding w:prefixMappings="xmlns:ns0='http://purl.org/dc/elements/1.1/' xmlns:ns1='http://schemas.openxmlformats.org/package/2006/metadata/core-properties' " w:xpath="/ns1:coreProperties[1]/ns1:keywords[1]" w:storeItemID="{6C3C8BC8-F283-45AE-878A-BAB7291924A1}"/>
          <w:text/>
        </w:sdtPr>
        <w:sdtContent>
          <w:r>
            <w:rPr>
              <w:rFonts w:cstheme="minorHAnsi"/>
              <w:b/>
              <w:bCs/>
              <w:sz w:val="20"/>
              <w:szCs w:val="20"/>
            </w:rPr>
            <w:t>SPZOZ.XII.231.1/3/2026</w:t>
          </w:r>
        </w:sdtContent>
      </w:sdt>
    </w:p>
    <w:p w:rsidR="0078639D" w:rsidRDefault="0078639D">
      <w:pPr>
        <w:spacing w:after="0" w:line="276" w:lineRule="auto"/>
        <w:rPr>
          <w:rFonts w:ascii="Calibri" w:eastAsia="Calibri" w:hAnsi="Calibri" w:cs="Calibri"/>
          <w:b/>
          <w:bCs/>
          <w:sz w:val="20"/>
          <w:szCs w:val="20"/>
        </w:rPr>
      </w:pPr>
    </w:p>
    <w:p w:rsidR="0078639D" w:rsidRDefault="004945CF">
      <w:pPr>
        <w:tabs>
          <w:tab w:val="left" w:pos="1134"/>
        </w:tabs>
        <w:spacing w:after="0" w:line="276" w:lineRule="auto"/>
        <w:contextualSpacing/>
        <w:rPr>
          <w:rFonts w:ascii="Calibri" w:eastAsia="Calibri" w:hAnsi="Calibri" w:cs="Calibri"/>
          <w:sz w:val="16"/>
          <w:szCs w:val="16"/>
        </w:rPr>
      </w:pPr>
      <w:r>
        <w:rPr>
          <w:rFonts w:ascii="Calibri" w:eastAsia="Calibri" w:hAnsi="Calibri" w:cs="Calibri"/>
          <w:sz w:val="20"/>
          <w:szCs w:val="20"/>
        </w:rPr>
        <w:t>Oświadczam/y, że ww. Wykonawca:</w:t>
      </w:r>
      <w:r>
        <w:rPr>
          <w:rFonts w:eastAsia="Times New Roman" w:cstheme="minorHAnsi"/>
          <w:bCs/>
          <w:sz w:val="16"/>
          <w:szCs w:val="16"/>
        </w:rPr>
        <w:t>(oznaczyć znakiem x /kliknąć właściwy kwadrat)</w:t>
      </w:r>
    </w:p>
    <w:p w:rsidR="0078639D" w:rsidRDefault="0078639D">
      <w:pPr>
        <w:spacing w:after="0" w:line="276" w:lineRule="auto"/>
        <w:rPr>
          <w:rFonts w:ascii="Calibri" w:eastAsia="Calibri" w:hAnsi="Calibri" w:cs="Calibri"/>
          <w:sz w:val="20"/>
          <w:szCs w:val="20"/>
        </w:rPr>
      </w:pPr>
    </w:p>
    <w:p w:rsidR="0078639D" w:rsidRDefault="00165C1D">
      <w:pPr>
        <w:spacing w:after="0" w:line="276" w:lineRule="auto"/>
        <w:ind w:left="284" w:hanging="284"/>
        <w:jc w:val="both"/>
        <w:rPr>
          <w:rFonts w:ascii="Calibri" w:eastAsia="Calibri" w:hAnsi="Calibri" w:cs="Calibri"/>
          <w:b/>
          <w:sz w:val="20"/>
          <w:szCs w:val="20"/>
        </w:rPr>
      </w:pPr>
      <w:sdt>
        <w:sdtPr>
          <w:id w:val="1970853912"/>
        </w:sdtPr>
        <w:sdtContent>
          <w:r w:rsidR="004945CF">
            <w:rPr>
              <w:rFonts w:ascii="MS Gothic" w:eastAsia="MS Gothic" w:hAnsi="MS Gothic" w:cs="Calibri"/>
              <w:sz w:val="20"/>
              <w:szCs w:val="20"/>
            </w:rPr>
            <w:t>☐</w:t>
          </w:r>
        </w:sdtContent>
      </w:sdt>
      <w:r w:rsidR="004945CF">
        <w:rPr>
          <w:rFonts w:ascii="Calibri" w:eastAsia="Calibri" w:hAnsi="Calibri" w:cs="Calibri"/>
          <w:sz w:val="20"/>
          <w:szCs w:val="20"/>
        </w:rPr>
        <w:tab/>
        <w:t xml:space="preserve">nie należy do grupy kapitałowej, w rozumieniu ustawy z dnia 16 lutego 2007 r. o ochronie konkurencji i konsumentów </w:t>
      </w:r>
      <w:r w:rsidR="004945CF">
        <w:rPr>
          <w:rFonts w:ascii="Calibri" w:eastAsia="Calibri" w:hAnsi="Calibri" w:cs="Calibri"/>
          <w:sz w:val="20"/>
          <w:szCs w:val="20"/>
        </w:rPr>
        <w:br/>
        <w:t>(</w:t>
      </w:r>
      <w:r w:rsidR="004945CF">
        <w:rPr>
          <w:rFonts w:ascii="Calibri" w:eastAsia="Calibri" w:hAnsi="Calibri" w:cs="Calibri"/>
          <w:color w:val="000000"/>
          <w:sz w:val="20"/>
          <w:szCs w:val="20"/>
        </w:rPr>
        <w:t>Dz. U. z 2025 r. poz. 1714 ze zm.</w:t>
      </w:r>
      <w:r w:rsidR="004945CF">
        <w:rPr>
          <w:rFonts w:ascii="Calibri" w:eastAsia="Calibri" w:hAnsi="Calibri" w:cs="Calibri"/>
          <w:sz w:val="20"/>
          <w:szCs w:val="20"/>
        </w:rPr>
        <w:t>), z żadnym z wykonawców, którzy złożyli ofertę w przedmiotowym postępowaniu.</w:t>
      </w:r>
    </w:p>
    <w:p w:rsidR="0078639D" w:rsidRDefault="0078639D">
      <w:pPr>
        <w:spacing w:after="0" w:line="276" w:lineRule="auto"/>
        <w:ind w:left="284" w:hanging="284"/>
        <w:jc w:val="both"/>
        <w:rPr>
          <w:rFonts w:ascii="Calibri" w:eastAsia="Calibri" w:hAnsi="Calibri" w:cs="Calibri"/>
          <w:b/>
          <w:sz w:val="20"/>
          <w:szCs w:val="20"/>
        </w:rPr>
      </w:pPr>
    </w:p>
    <w:p w:rsidR="0078639D" w:rsidRDefault="00165C1D">
      <w:pPr>
        <w:spacing w:after="0" w:line="276" w:lineRule="auto"/>
        <w:ind w:left="284" w:hanging="284"/>
        <w:jc w:val="both"/>
        <w:rPr>
          <w:rFonts w:ascii="Calibri" w:eastAsia="Calibri" w:hAnsi="Calibri" w:cs="Calibri"/>
          <w:sz w:val="20"/>
          <w:szCs w:val="20"/>
        </w:rPr>
      </w:pPr>
      <w:sdt>
        <w:sdtPr>
          <w:id w:val="1904558753"/>
        </w:sdtPr>
        <w:sdtContent>
          <w:r w:rsidR="004945CF">
            <w:rPr>
              <w:rFonts w:ascii="MS Gothic" w:eastAsia="MS Gothic" w:hAnsi="MS Gothic" w:cs="Calibri"/>
              <w:sz w:val="20"/>
              <w:szCs w:val="20"/>
            </w:rPr>
            <w:t>☐</w:t>
          </w:r>
        </w:sdtContent>
      </w:sdt>
      <w:r w:rsidR="004945CF">
        <w:rPr>
          <w:rFonts w:ascii="Calibri" w:eastAsia="Calibri" w:hAnsi="Calibri" w:cs="Calibri"/>
          <w:sz w:val="20"/>
          <w:szCs w:val="20"/>
        </w:rPr>
        <w:tab/>
        <w:t>należy do grupy kapitałowej, w rozumieniu ustawy z dnia 16 lutego 2007 r. o ochronie konkurencji i konsumentów (</w:t>
      </w:r>
      <w:r w:rsidR="004945CF">
        <w:rPr>
          <w:rFonts w:ascii="Calibri" w:eastAsia="Calibri" w:hAnsi="Calibri" w:cs="Calibri"/>
          <w:color w:val="000000"/>
          <w:sz w:val="20"/>
          <w:szCs w:val="20"/>
        </w:rPr>
        <w:t xml:space="preserve">Dz. U. z </w:t>
      </w:r>
      <w:r w:rsidR="004945CF">
        <w:rPr>
          <w:rFonts w:ascii="Calibri" w:eastAsia="Calibri" w:hAnsi="Calibri" w:cs="Calibri"/>
          <w:sz w:val="20"/>
          <w:szCs w:val="20"/>
        </w:rPr>
        <w:t>2025 r. poz. 1714 ze zm</w:t>
      </w:r>
      <w:r w:rsidR="004945CF">
        <w:rPr>
          <w:rFonts w:ascii="Calibri" w:eastAsia="Calibri" w:hAnsi="Calibri" w:cs="Calibri"/>
          <w:color w:val="000000"/>
          <w:sz w:val="20"/>
          <w:szCs w:val="20"/>
        </w:rPr>
        <w:t>.</w:t>
      </w:r>
      <w:r w:rsidR="004945CF">
        <w:rPr>
          <w:rFonts w:ascii="Calibri" w:eastAsia="Calibri" w:hAnsi="Calibri" w:cs="Calibri"/>
          <w:sz w:val="20"/>
          <w:szCs w:val="20"/>
        </w:rPr>
        <w:t>), z następującymi wykonawcami, którzy złożyli ofertę w przedmiotowym postępowaniu:</w:t>
      </w:r>
    </w:p>
    <w:p w:rsidR="0078639D" w:rsidRDefault="004945CF">
      <w:pPr>
        <w:spacing w:after="0" w:line="276" w:lineRule="auto"/>
        <w:ind w:left="284"/>
        <w:rPr>
          <w:rFonts w:ascii="Calibri" w:eastAsia="Calibri" w:hAnsi="Calibri" w:cs="Calibri"/>
          <w:sz w:val="20"/>
        </w:rPr>
      </w:pPr>
      <w:r>
        <w:rPr>
          <w:rFonts w:ascii="Calibri" w:eastAsia="Calibri" w:hAnsi="Calibri" w:cs="Calibri"/>
          <w:sz w:val="20"/>
        </w:rPr>
        <w:t>……………………………………………………………………….………………………………………………..…………………………………………………………………</w:t>
      </w:r>
    </w:p>
    <w:p w:rsidR="0078639D" w:rsidRDefault="004945CF">
      <w:pPr>
        <w:spacing w:after="0" w:line="276" w:lineRule="auto"/>
        <w:ind w:left="284"/>
        <w:jc w:val="both"/>
        <w:rPr>
          <w:rFonts w:ascii="Calibri" w:eastAsia="Calibri" w:hAnsi="Calibri" w:cs="Calibri"/>
          <w:b/>
          <w:sz w:val="24"/>
        </w:rPr>
      </w:pPr>
      <w:r>
        <w:rPr>
          <w:rFonts w:ascii="Calibri" w:eastAsia="Calibri" w:hAnsi="Calibri" w:cs="Calibri"/>
          <w:sz w:val="20"/>
          <w:szCs w:val="16"/>
        </w:rPr>
        <w:t xml:space="preserve">(Wraz z niniejszym oświadczeniem należy przedstawić dowody (dokumenty lub inne informacje) potwierdzające, </w:t>
      </w:r>
      <w:r>
        <w:rPr>
          <w:rFonts w:ascii="Calibri" w:eastAsia="Calibri" w:hAnsi="Calibri" w:cs="Calibri"/>
          <w:sz w:val="20"/>
          <w:szCs w:val="16"/>
        </w:rPr>
        <w:br/>
        <w:t>że przygotowanie oferty nastąpiło niezależnie od Wykonawcy należącego do tej samej grupy kapitałowej).</w:t>
      </w:r>
    </w:p>
    <w:p w:rsidR="0078639D" w:rsidRDefault="0078639D">
      <w:pPr>
        <w:spacing w:after="0" w:line="276" w:lineRule="auto"/>
        <w:rPr>
          <w:rFonts w:ascii="Calibri" w:eastAsia="Calibri" w:hAnsi="Calibri" w:cs="Calibri"/>
          <w:i/>
          <w:iCs/>
          <w:sz w:val="20"/>
          <w:szCs w:val="20"/>
        </w:rPr>
      </w:pPr>
    </w:p>
    <w:p w:rsidR="0078639D" w:rsidRDefault="0078639D">
      <w:pPr>
        <w:spacing w:after="0" w:line="276" w:lineRule="auto"/>
        <w:ind w:hanging="5664"/>
        <w:jc w:val="center"/>
        <w:rPr>
          <w:rFonts w:ascii="Calibri" w:eastAsia="Calibri" w:hAnsi="Calibri" w:cs="Calibri"/>
          <w:i/>
          <w:iCs/>
          <w:sz w:val="20"/>
          <w:szCs w:val="20"/>
        </w:rPr>
      </w:pPr>
    </w:p>
    <w:p w:rsidR="0078639D" w:rsidRDefault="0078639D">
      <w:pPr>
        <w:spacing w:after="0" w:line="276" w:lineRule="auto"/>
        <w:contextualSpacing/>
        <w:jc w:val="right"/>
        <w:rPr>
          <w:rFonts w:ascii="Calibri" w:eastAsia="Times New Roman" w:hAnsi="Calibri" w:cs="Calibri"/>
          <w:b/>
          <w:bCs/>
          <w:i/>
          <w:iCs/>
          <w:sz w:val="20"/>
          <w:szCs w:val="20"/>
          <w:lang w:eastAsia="pl-PL"/>
        </w:rPr>
      </w:pPr>
    </w:p>
    <w:p w:rsidR="0078639D" w:rsidRDefault="0078639D">
      <w:pPr>
        <w:spacing w:after="0" w:line="276" w:lineRule="auto"/>
        <w:contextualSpacing/>
        <w:jc w:val="right"/>
        <w:rPr>
          <w:rFonts w:ascii="Calibri" w:eastAsia="Times New Roman" w:hAnsi="Calibri" w:cs="Calibri"/>
          <w:b/>
          <w:bCs/>
          <w:i/>
          <w:iCs/>
          <w:sz w:val="20"/>
          <w:szCs w:val="20"/>
          <w:lang w:eastAsia="pl-PL"/>
        </w:rPr>
      </w:pPr>
    </w:p>
    <w:p w:rsidR="0078639D" w:rsidRDefault="004945CF">
      <w:pPr>
        <w:spacing w:after="0" w:line="276" w:lineRule="auto"/>
        <w:rPr>
          <w:sz w:val="20"/>
        </w:rPr>
      </w:pPr>
      <w:r>
        <w:rPr>
          <w:sz w:val="20"/>
        </w:rPr>
        <w:t>Podpis(y)</w:t>
      </w:r>
    </w:p>
    <w:p w:rsidR="004D4B50" w:rsidRDefault="004D4B50">
      <w:pPr>
        <w:spacing w:after="0" w:line="240" w:lineRule="auto"/>
        <w:rPr>
          <w:sz w:val="20"/>
        </w:rPr>
      </w:pPr>
      <w:r>
        <w:rPr>
          <w:sz w:val="20"/>
        </w:rPr>
        <w:br w:type="page"/>
      </w:r>
    </w:p>
    <w:p w:rsidR="0078639D" w:rsidRDefault="004D4B50">
      <w:pPr>
        <w:spacing w:after="0" w:line="276" w:lineRule="auto"/>
        <w:rPr>
          <w:sz w:val="20"/>
        </w:rPr>
      </w:pPr>
      <w:r w:rsidRPr="004D4B50">
        <w:rPr>
          <w:sz w:val="20"/>
        </w:rPr>
        <w:lastRenderedPageBreak/>
        <w:drawing>
          <wp:inline distT="0" distB="0" distL="0" distR="0">
            <wp:extent cx="6457950" cy="646430"/>
            <wp:effectExtent l="19050" t="0" r="0" b="0"/>
            <wp:docPr id="5" name="Obraz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10"/>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78639D">
      <w:pPr>
        <w:spacing w:after="0" w:line="276" w:lineRule="auto"/>
        <w:rPr>
          <w:sz w:val="20"/>
        </w:rPr>
      </w:pPr>
    </w:p>
    <w:p w:rsidR="004D4B50" w:rsidRPr="00737B67" w:rsidRDefault="004D4B50" w:rsidP="004D4B50">
      <w:pPr>
        <w:spacing w:after="0" w:line="276" w:lineRule="auto"/>
        <w:ind w:left="284"/>
        <w:jc w:val="right"/>
        <w:rPr>
          <w:rFonts w:eastAsia="Times New Roman" w:cstheme="minorHAnsi"/>
          <w:b/>
          <w:bCs/>
          <w:sz w:val="20"/>
          <w:szCs w:val="20"/>
          <w:lang w:eastAsia="pl-PL"/>
        </w:rPr>
      </w:pPr>
      <w:r w:rsidRPr="00737B67">
        <w:rPr>
          <w:rFonts w:eastAsia="Times New Roman" w:cstheme="minorHAnsi"/>
          <w:b/>
          <w:color w:val="7030A0"/>
          <w:sz w:val="20"/>
          <w:szCs w:val="20"/>
          <w:lang w:eastAsia="pl-PL"/>
        </w:rPr>
        <w:t>Załącznik nr 3A – Oświadczenie Wykonawcy dotyczące JEDZ</w:t>
      </w:r>
    </w:p>
    <w:p w:rsidR="004D4B50" w:rsidRPr="000F586B" w:rsidRDefault="004D4B50" w:rsidP="004D4B50">
      <w:pPr>
        <w:spacing w:after="0" w:line="276" w:lineRule="auto"/>
        <w:ind w:left="284"/>
        <w:jc w:val="both"/>
        <w:rPr>
          <w:rFonts w:eastAsia="Times New Roman" w:cstheme="minorHAnsi"/>
          <w:sz w:val="20"/>
          <w:szCs w:val="20"/>
          <w:lang w:eastAsia="pl-PL"/>
        </w:rPr>
      </w:pPr>
    </w:p>
    <w:p w:rsidR="004D4B50" w:rsidRPr="000F586B" w:rsidRDefault="004D4B50" w:rsidP="004D4B50">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Wykonawca:</w:t>
      </w:r>
    </w:p>
    <w:p w:rsidR="004D4B50" w:rsidRPr="000F586B" w:rsidRDefault="004D4B50" w:rsidP="004D4B50">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w:t>
      </w:r>
    </w:p>
    <w:p w:rsidR="004D4B50" w:rsidRPr="000F586B" w:rsidRDefault="004D4B50" w:rsidP="004D4B50">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(pełna nazwa/firma, adres)</w:t>
      </w:r>
    </w:p>
    <w:p w:rsidR="004D4B50" w:rsidRPr="000F586B" w:rsidRDefault="004D4B50" w:rsidP="004D4B50">
      <w:pPr>
        <w:spacing w:after="0" w:line="276" w:lineRule="auto"/>
        <w:ind w:left="284"/>
        <w:jc w:val="both"/>
        <w:rPr>
          <w:rFonts w:eastAsia="Times New Roman" w:cstheme="minorHAnsi"/>
          <w:sz w:val="20"/>
          <w:szCs w:val="20"/>
          <w:lang w:eastAsia="pl-PL"/>
        </w:rPr>
      </w:pPr>
    </w:p>
    <w:p w:rsidR="004D4B50" w:rsidRPr="000D0BCB" w:rsidRDefault="004D4B50" w:rsidP="004D4B50">
      <w:pPr>
        <w:spacing w:after="0" w:line="276" w:lineRule="auto"/>
        <w:jc w:val="both"/>
        <w:rPr>
          <w:rFonts w:eastAsia="Times New Roman" w:cstheme="minorHAnsi"/>
          <w:b/>
          <w:bCs/>
          <w:sz w:val="20"/>
          <w:szCs w:val="20"/>
          <w:lang w:eastAsia="pl-PL"/>
        </w:rPr>
      </w:pPr>
    </w:p>
    <w:p w:rsidR="004D4B50" w:rsidRPr="000D0BCB" w:rsidRDefault="004D4B50" w:rsidP="004D4B50">
      <w:pPr>
        <w:spacing w:after="60"/>
        <w:jc w:val="center"/>
        <w:rPr>
          <w:rFonts w:eastAsia="Times New Roman" w:cstheme="minorHAnsi"/>
          <w:b/>
          <w:bCs/>
          <w:lang w:eastAsia="pl-PL"/>
        </w:rPr>
      </w:pPr>
      <w:r w:rsidRPr="000D0BCB">
        <w:rPr>
          <w:rFonts w:eastAsia="Times New Roman" w:cstheme="minorHAnsi"/>
          <w:b/>
          <w:bCs/>
          <w:lang w:eastAsia="pl-PL"/>
        </w:rPr>
        <w:t>OŚWIADCZENIE WYKONAWCY</w:t>
      </w:r>
    </w:p>
    <w:p w:rsidR="004D4B50" w:rsidRPr="000D0BCB" w:rsidRDefault="004D4B50" w:rsidP="004D4B50">
      <w:pPr>
        <w:spacing w:after="60"/>
        <w:jc w:val="center"/>
        <w:rPr>
          <w:rFonts w:eastAsia="Times New Roman" w:cstheme="minorHAnsi"/>
          <w:b/>
          <w:bCs/>
          <w:lang w:eastAsia="pl-PL"/>
        </w:rPr>
      </w:pPr>
      <w:r w:rsidRPr="000D0BCB">
        <w:rPr>
          <w:rFonts w:eastAsia="Times New Roman" w:cstheme="minorHAnsi"/>
          <w:b/>
          <w:bCs/>
          <w:lang w:eastAsia="pl-PL"/>
        </w:rPr>
        <w:t xml:space="preserve">o aktualności informacji zawartych </w:t>
      </w:r>
      <w:r w:rsidRPr="000D0BCB">
        <w:rPr>
          <w:rFonts w:eastAsia="Times New Roman" w:cstheme="minorHAnsi"/>
          <w:b/>
          <w:bCs/>
          <w:lang w:eastAsia="pl-PL"/>
        </w:rPr>
        <w:br/>
        <w:t>w Jednolitym Europejskim Dokumencie Zamówienia (JEDZ)</w:t>
      </w:r>
    </w:p>
    <w:p w:rsidR="004D4B50" w:rsidRPr="000D0BCB" w:rsidRDefault="004D4B50" w:rsidP="004D4B50">
      <w:pPr>
        <w:spacing w:after="40"/>
        <w:jc w:val="center"/>
        <w:rPr>
          <w:rFonts w:eastAsia="Times New Roman" w:cstheme="minorHAnsi"/>
          <w:b/>
          <w:bCs/>
          <w:sz w:val="20"/>
          <w:szCs w:val="20"/>
          <w:lang w:eastAsia="pl-PL"/>
        </w:rPr>
      </w:pPr>
      <w:r>
        <w:rPr>
          <w:rFonts w:eastAsia="Times New Roman" w:cstheme="minorHAnsi"/>
          <w:b/>
          <w:bCs/>
          <w:sz w:val="20"/>
          <w:szCs w:val="20"/>
          <w:lang w:eastAsia="pl-PL"/>
        </w:rPr>
        <w:t>[</w:t>
      </w:r>
      <w:r w:rsidRPr="000D0BCB">
        <w:rPr>
          <w:rFonts w:eastAsia="Times New Roman" w:cstheme="minorHAnsi"/>
          <w:b/>
          <w:bCs/>
          <w:sz w:val="20"/>
          <w:szCs w:val="20"/>
          <w:lang w:eastAsia="pl-PL"/>
        </w:rPr>
        <w:t>składane na podstawie art. 126 ust. 1 ustawy z dnia 11 września 2019 r.</w:t>
      </w:r>
    </w:p>
    <w:p w:rsidR="004D4B50" w:rsidRPr="000D0BCB" w:rsidRDefault="004D4B50" w:rsidP="004D4B50">
      <w:pPr>
        <w:jc w:val="center"/>
        <w:rPr>
          <w:rFonts w:eastAsia="Times New Roman" w:cstheme="minorHAnsi"/>
          <w:b/>
          <w:bCs/>
          <w:sz w:val="20"/>
          <w:szCs w:val="20"/>
          <w:lang w:eastAsia="pl-PL"/>
        </w:rPr>
      </w:pPr>
      <w:r w:rsidRPr="000D0BCB">
        <w:rPr>
          <w:rFonts w:eastAsia="Times New Roman" w:cstheme="minorHAnsi"/>
          <w:b/>
          <w:bCs/>
          <w:sz w:val="20"/>
          <w:szCs w:val="20"/>
          <w:lang w:eastAsia="pl-PL"/>
        </w:rPr>
        <w:t>Prawo zamówień publicznych (Dz. U. z 2024 r. poz. 1320)</w:t>
      </w:r>
    </w:p>
    <w:p w:rsidR="004D4B50" w:rsidRPr="000D0BCB" w:rsidRDefault="004D4B50" w:rsidP="004D4B50">
      <w:pPr>
        <w:jc w:val="center"/>
        <w:rPr>
          <w:rFonts w:eastAsia="Times New Roman" w:cstheme="minorHAnsi"/>
          <w:b/>
          <w:bCs/>
          <w:sz w:val="20"/>
          <w:szCs w:val="20"/>
          <w:lang w:eastAsia="pl-PL"/>
        </w:rPr>
      </w:pPr>
      <w:r w:rsidRPr="000D0BCB">
        <w:rPr>
          <w:rFonts w:eastAsia="Times New Roman" w:cstheme="minorHAnsi"/>
          <w:b/>
          <w:bCs/>
          <w:sz w:val="20"/>
          <w:szCs w:val="20"/>
          <w:lang w:eastAsia="pl-PL"/>
        </w:rPr>
        <w:t>oraz § 3 rozporządzenia Ministra Rozwoju, Pracy i Technologii z dnia 23 grudnia 2020 r.</w:t>
      </w:r>
    </w:p>
    <w:p w:rsidR="004D4B50" w:rsidRPr="000D0BCB" w:rsidRDefault="004D4B50" w:rsidP="004D4B50">
      <w:pPr>
        <w:spacing w:after="200"/>
        <w:jc w:val="center"/>
        <w:rPr>
          <w:rFonts w:eastAsia="Times New Roman" w:cstheme="minorHAnsi"/>
          <w:b/>
          <w:bCs/>
          <w:sz w:val="20"/>
          <w:szCs w:val="20"/>
          <w:lang w:eastAsia="pl-PL"/>
        </w:rPr>
      </w:pPr>
      <w:r w:rsidRPr="000D0BCB">
        <w:rPr>
          <w:rFonts w:eastAsia="Times New Roman" w:cstheme="minorHAnsi"/>
          <w:b/>
          <w:bCs/>
          <w:sz w:val="20"/>
          <w:szCs w:val="20"/>
          <w:lang w:eastAsia="pl-PL"/>
        </w:rPr>
        <w:t>w sprawie podmiotowych środków dowodowych (Dz. U. poz. 2415 ze zm.)</w:t>
      </w:r>
      <w:r>
        <w:rPr>
          <w:rFonts w:eastAsia="Times New Roman" w:cstheme="minorHAnsi"/>
          <w:b/>
          <w:bCs/>
          <w:sz w:val="20"/>
          <w:szCs w:val="20"/>
          <w:lang w:eastAsia="pl-PL"/>
        </w:rPr>
        <w:t>]</w:t>
      </w:r>
    </w:p>
    <w:p w:rsidR="0078639D" w:rsidRDefault="0078639D">
      <w:pPr>
        <w:spacing w:after="0" w:line="276" w:lineRule="auto"/>
        <w:rPr>
          <w:sz w:val="20"/>
        </w:rPr>
      </w:pPr>
    </w:p>
    <w:p w:rsidR="0078639D" w:rsidRDefault="0078639D">
      <w:pPr>
        <w:spacing w:after="0" w:line="276" w:lineRule="auto"/>
        <w:rPr>
          <w:sz w:val="20"/>
        </w:rPr>
      </w:pPr>
    </w:p>
    <w:p w:rsidR="00737B67" w:rsidRDefault="00737B67" w:rsidP="00737B67">
      <w:pPr>
        <w:spacing w:after="0" w:line="276" w:lineRule="auto"/>
        <w:jc w:val="both"/>
        <w:rPr>
          <w:rFonts w:cstheme="minorHAnsi"/>
          <w:b/>
          <w:bCs/>
          <w:color w:val="7030A0"/>
          <w:sz w:val="20"/>
          <w:szCs w:val="20"/>
        </w:rPr>
      </w:pPr>
      <w:r>
        <w:rPr>
          <w:rFonts w:cstheme="minorHAnsi"/>
          <w:bCs/>
          <w:color w:val="000000"/>
          <w:sz w:val="20"/>
          <w:szCs w:val="20"/>
        </w:rPr>
        <w:t>Dotyczy:</w:t>
      </w:r>
      <w:sdt>
        <w:sdtPr>
          <w:rPr>
            <w:b/>
            <w:sz w:val="20"/>
            <w:szCs w:val="20"/>
          </w:rPr>
          <w:alias w:val="Tytuł"/>
          <w:id w:val="263584751"/>
          <w:dataBinding w:prefixMappings="xmlns:ns0='http://purl.org/dc/elements/1.1/' xmlns:ns1='http://schemas.openxmlformats.org/package/2006/metadata/core-properties' " w:xpath="/ns1:coreProperties[1]/ns0:title[1]" w:storeItemID="{6C3C8BC8-F283-45AE-878A-BAB7291924A1}"/>
          <w:text/>
        </w:sdtPr>
        <w:sdtContent>
          <w:r w:rsidR="007E110C">
            <w:rPr>
              <w:b/>
              <w:sz w:val="20"/>
              <w:szCs w:val="20"/>
            </w:rPr>
            <w:t>Zakup wyposażenia Oddziału Wewnętrznego w ramach projektu „Modernizacja infrastruktury kardiologicznej Oddziału Wewnętrznego SPZOZ w Gostyniu"</w:t>
          </w:r>
        </w:sdtContent>
      </w:sdt>
      <w:r>
        <w:rPr>
          <w:rFonts w:cstheme="minorHAnsi"/>
          <w:b/>
          <w:bCs/>
          <w:sz w:val="20"/>
          <w:szCs w:val="20"/>
        </w:rPr>
        <w:t>.</w:t>
      </w:r>
    </w:p>
    <w:p w:rsidR="00737B67" w:rsidRDefault="00737B67" w:rsidP="00737B67">
      <w:pPr>
        <w:tabs>
          <w:tab w:val="left" w:pos="360"/>
        </w:tabs>
        <w:spacing w:line="276" w:lineRule="auto"/>
        <w:contextualSpacing/>
        <w:rPr>
          <w:rFonts w:cstheme="minorHAnsi"/>
          <w:b/>
          <w:bCs/>
          <w:sz w:val="20"/>
          <w:szCs w:val="20"/>
        </w:rPr>
      </w:pPr>
      <w:r>
        <w:rPr>
          <w:rFonts w:cstheme="minorHAnsi"/>
          <w:bCs/>
          <w:sz w:val="20"/>
          <w:szCs w:val="20"/>
        </w:rPr>
        <w:t xml:space="preserve">Nr referencyjny nadany sprawie przez Zamawiającego: </w:t>
      </w:r>
      <w:sdt>
        <w:sdtPr>
          <w:alias w:val="Słowa kluczowe"/>
          <w:id w:val="263584752"/>
          <w:dataBinding w:prefixMappings="xmlns:ns0='http://purl.org/dc/elements/1.1/' xmlns:ns1='http://schemas.openxmlformats.org/package/2006/metadata/core-properties' " w:xpath="/ns1:coreProperties[1]/ns1:keywords[1]" w:storeItemID="{6C3C8BC8-F283-45AE-878A-BAB7291924A1}"/>
          <w:text/>
        </w:sdtPr>
        <w:sdtContent>
          <w:r>
            <w:rPr>
              <w:rFonts w:cstheme="minorHAnsi"/>
              <w:b/>
              <w:bCs/>
              <w:sz w:val="20"/>
              <w:szCs w:val="20"/>
            </w:rPr>
            <w:t>SPZOZ.XII.231.1/3/2026</w:t>
          </w:r>
        </w:sdtContent>
      </w:sdt>
    </w:p>
    <w:p w:rsidR="0078639D" w:rsidRDefault="0078639D">
      <w:pPr>
        <w:spacing w:after="0" w:line="276" w:lineRule="auto"/>
        <w:rPr>
          <w:sz w:val="20"/>
        </w:rPr>
      </w:pPr>
    </w:p>
    <w:p w:rsidR="00737B67" w:rsidRDefault="00737B67">
      <w:pPr>
        <w:spacing w:after="0" w:line="276" w:lineRule="auto"/>
        <w:rPr>
          <w:sz w:val="20"/>
        </w:rPr>
      </w:pPr>
    </w:p>
    <w:p w:rsidR="00737B67" w:rsidRPr="000D0BCB" w:rsidRDefault="00737B67" w:rsidP="00737B67">
      <w:pPr>
        <w:spacing w:after="0" w:line="276" w:lineRule="auto"/>
        <w:ind w:left="284"/>
        <w:jc w:val="both"/>
        <w:rPr>
          <w:rFonts w:eastAsia="Times New Roman" w:cstheme="minorHAnsi"/>
          <w:b/>
          <w:bCs/>
          <w:sz w:val="20"/>
          <w:szCs w:val="20"/>
          <w:lang w:eastAsia="pl-PL"/>
        </w:rPr>
      </w:pPr>
      <w:r w:rsidRPr="000D0BCB">
        <w:rPr>
          <w:rFonts w:eastAsia="Times New Roman" w:cstheme="minorHAnsi"/>
          <w:b/>
          <w:bCs/>
          <w:sz w:val="20"/>
          <w:szCs w:val="20"/>
          <w:lang w:eastAsia="pl-PL"/>
        </w:rPr>
        <w:t xml:space="preserve">Działając w imieniu i na rzecz Wykonawcy, w odpowiedzi na wezwanie Zamawiającego wystosowane na podstawie art. 126 ust. 1 ustawy z dnia 11 września 2019 r. – Prawo zamówień publicznych (Dz. U. z 2024 r. poz. 1320, dalej: „ustawa Pzp”) oraz § 3 rozporządzenia Ministra Rozwoju, Pracy i Technologii z dnia 23 grudnia 2020 r. w sprawie podmiotowych środków dowodowych (Dz. U. </w:t>
      </w:r>
      <w:r>
        <w:rPr>
          <w:rFonts w:eastAsia="Times New Roman" w:cstheme="minorHAnsi"/>
          <w:b/>
          <w:bCs/>
          <w:sz w:val="20"/>
          <w:szCs w:val="20"/>
          <w:lang w:eastAsia="pl-PL"/>
        </w:rPr>
        <w:t xml:space="preserve">z 2020 r. </w:t>
      </w:r>
      <w:r w:rsidRPr="000D0BCB">
        <w:rPr>
          <w:rFonts w:eastAsia="Times New Roman" w:cstheme="minorHAnsi"/>
          <w:b/>
          <w:bCs/>
          <w:sz w:val="20"/>
          <w:szCs w:val="20"/>
          <w:lang w:eastAsia="pl-PL"/>
        </w:rPr>
        <w:t>poz. 2415 ze zm.), niniejszym oświadczam/my, że informacje zawarte w Jednolitym Europejskim Dokumencie Zamówienia (JEDZ/ESPD) złożonym w niniejszym postępowaniu są nadal aktualne i zgodne ze stanem faktycznym na dzień złożenia niniejszego oświadczenia przez Wykonawcę.</w:t>
      </w:r>
    </w:p>
    <w:p w:rsidR="00737B67" w:rsidRDefault="00737B67" w:rsidP="00737B67">
      <w:pPr>
        <w:spacing w:after="0" w:line="276" w:lineRule="auto"/>
        <w:ind w:left="284"/>
        <w:jc w:val="both"/>
        <w:rPr>
          <w:rFonts w:ascii="Segoe UI Symbol" w:eastAsia="Times New Roman" w:hAnsi="Segoe UI Symbol" w:cs="Segoe UI Symbol"/>
          <w:sz w:val="20"/>
          <w:szCs w:val="20"/>
          <w:lang w:eastAsia="pl-PL"/>
        </w:rPr>
      </w:pPr>
    </w:p>
    <w:p w:rsidR="00737B67" w:rsidRPr="000F586B" w:rsidRDefault="00737B67" w:rsidP="00737B67">
      <w:pPr>
        <w:spacing w:after="0" w:line="276" w:lineRule="auto"/>
        <w:ind w:left="284"/>
        <w:jc w:val="both"/>
        <w:rPr>
          <w:rFonts w:eastAsia="Times New Roman" w:cstheme="minorHAnsi"/>
          <w:sz w:val="20"/>
          <w:szCs w:val="20"/>
          <w:lang w:eastAsia="pl-PL"/>
        </w:rPr>
      </w:pPr>
    </w:p>
    <w:p w:rsidR="00737B67" w:rsidRPr="000D0BCB" w:rsidRDefault="00737B67" w:rsidP="00737B67">
      <w:pPr>
        <w:spacing w:after="0" w:line="276" w:lineRule="auto"/>
        <w:ind w:left="284"/>
        <w:jc w:val="both"/>
        <w:rPr>
          <w:rFonts w:eastAsia="Times New Roman" w:cstheme="minorHAnsi"/>
          <w:b/>
          <w:bCs/>
          <w:sz w:val="20"/>
          <w:szCs w:val="20"/>
          <w:lang w:eastAsia="pl-PL"/>
        </w:rPr>
      </w:pPr>
      <w:r w:rsidRPr="000D0BCB">
        <w:rPr>
          <w:rFonts w:eastAsia="Times New Roman" w:cstheme="minorHAnsi"/>
          <w:b/>
          <w:bCs/>
          <w:sz w:val="20"/>
          <w:szCs w:val="20"/>
          <w:lang w:eastAsia="pl-PL"/>
        </w:rPr>
        <w:t>Podpis(y)</w:t>
      </w:r>
    </w:p>
    <w:p w:rsidR="00737B67" w:rsidRDefault="00737B67">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78639D" w:rsidRDefault="0078639D">
      <w:pPr>
        <w:spacing w:after="0" w:line="276" w:lineRule="auto"/>
        <w:rPr>
          <w:sz w:val="20"/>
        </w:rPr>
      </w:pPr>
    </w:p>
    <w:p w:rsidR="004D4B50" w:rsidRDefault="004D4B50">
      <w:pPr>
        <w:spacing w:after="0" w:line="240" w:lineRule="auto"/>
        <w:rPr>
          <w:sz w:val="20"/>
        </w:rPr>
      </w:pPr>
      <w:r>
        <w:rPr>
          <w:sz w:val="20"/>
        </w:rPr>
        <w:br w:type="page"/>
      </w:r>
    </w:p>
    <w:p w:rsidR="0078639D" w:rsidRDefault="0078639D">
      <w:pPr>
        <w:spacing w:after="0" w:line="276" w:lineRule="auto"/>
        <w:rPr>
          <w:sz w:val="20"/>
        </w:rPr>
      </w:pPr>
    </w:p>
    <w:p w:rsidR="0078639D" w:rsidRDefault="004945CF">
      <w:pPr>
        <w:pStyle w:val="Nagwek31"/>
        <w:spacing w:line="276" w:lineRule="auto"/>
        <w:rPr>
          <w:rFonts w:asciiTheme="majorHAnsi" w:hAnsiTheme="majorHAnsi"/>
          <w:i w:val="0"/>
          <w:sz w:val="20"/>
          <w:szCs w:val="20"/>
        </w:rPr>
      </w:pPr>
      <w:r>
        <w:rPr>
          <w:noProof/>
          <w:lang w:val="en-US"/>
        </w:rPr>
        <w:drawing>
          <wp:inline distT="0" distB="0" distL="0" distR="0">
            <wp:extent cx="6457950" cy="646430"/>
            <wp:effectExtent l="0" t="0" r="0" b="0"/>
            <wp:docPr id="15"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11"/>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pStyle w:val="Nagwek31"/>
        <w:spacing w:line="276" w:lineRule="auto"/>
        <w:rPr>
          <w:rFonts w:asciiTheme="majorHAnsi" w:hAnsiTheme="majorHAnsi"/>
          <w:i w:val="0"/>
          <w:sz w:val="20"/>
          <w:szCs w:val="20"/>
        </w:rPr>
      </w:pPr>
      <w:r>
        <w:rPr>
          <w:rFonts w:asciiTheme="majorHAnsi" w:hAnsiTheme="majorHAnsi"/>
          <w:i w:val="0"/>
          <w:sz w:val="20"/>
          <w:szCs w:val="20"/>
        </w:rPr>
        <w:t>Załącznik nr 4 – Wykaz wykonanych dostaw</w:t>
      </w:r>
    </w:p>
    <w:p w:rsidR="0078639D" w:rsidRDefault="0078639D">
      <w:pPr>
        <w:spacing w:after="0" w:line="276" w:lineRule="auto"/>
        <w:rPr>
          <w:rFonts w:cstheme="minorHAnsi"/>
          <w:b/>
          <w:szCs w:val="20"/>
          <w:u w:val="single"/>
        </w:rPr>
      </w:pPr>
    </w:p>
    <w:p w:rsidR="0078639D" w:rsidRDefault="0078639D">
      <w:pPr>
        <w:spacing w:after="0" w:line="276" w:lineRule="auto"/>
        <w:jc w:val="right"/>
        <w:rPr>
          <w:rFonts w:ascii="Calibri" w:eastAsia="Calibri" w:hAnsi="Calibri" w:cs="Calibri"/>
          <w:bCs/>
          <w:color w:val="7030A0"/>
          <w:sz w:val="20"/>
          <w:szCs w:val="20"/>
        </w:rPr>
      </w:pPr>
    </w:p>
    <w:p w:rsidR="0078639D" w:rsidRDefault="004945CF" w:rsidP="006F5606">
      <w:pPr>
        <w:spacing w:after="0" w:line="276" w:lineRule="auto"/>
        <w:jc w:val="both"/>
        <w:rPr>
          <w:rFonts w:cstheme="minorHAnsi"/>
          <w:b/>
          <w:bCs/>
          <w:color w:val="7030A0"/>
          <w:sz w:val="20"/>
          <w:szCs w:val="20"/>
        </w:rPr>
      </w:pPr>
      <w:r>
        <w:rPr>
          <w:rFonts w:cstheme="minorHAnsi"/>
          <w:bCs/>
          <w:color w:val="000000"/>
          <w:sz w:val="20"/>
          <w:szCs w:val="20"/>
        </w:rPr>
        <w:t>Dotyczy:</w:t>
      </w:r>
      <w:sdt>
        <w:sdtPr>
          <w:rPr>
            <w:b/>
            <w:sz w:val="20"/>
            <w:szCs w:val="20"/>
          </w:rPr>
          <w:alias w:val="Tytuł"/>
          <w:id w:val="7343688"/>
          <w:dataBinding w:prefixMappings="xmlns:ns0='http://purl.org/dc/elements/1.1/' xmlns:ns1='http://schemas.openxmlformats.org/package/2006/metadata/core-properties' " w:xpath="/ns1:coreProperties[1]/ns0:title[1]" w:storeItemID="{6C3C8BC8-F283-45AE-878A-BAB7291924A1}"/>
          <w:text/>
        </w:sdtPr>
        <w:sdtContent>
          <w:r w:rsidR="007E110C">
            <w:rPr>
              <w:b/>
              <w:sz w:val="20"/>
              <w:szCs w:val="20"/>
            </w:rPr>
            <w:t>Zakup wyposażenia Oddziału Wewnętrznego w ramach projektu „Modernizacja infrastruktury kardiologicznej Oddziału Wewnętrznego SPZOZ w Gostyniu"</w:t>
          </w:r>
        </w:sdtContent>
      </w:sdt>
      <w:r>
        <w:rPr>
          <w:rFonts w:cstheme="minorHAnsi"/>
          <w:b/>
          <w:bCs/>
          <w:sz w:val="20"/>
          <w:szCs w:val="20"/>
        </w:rPr>
        <w:t>.</w:t>
      </w:r>
    </w:p>
    <w:p w:rsidR="0078639D" w:rsidRDefault="004945CF">
      <w:pPr>
        <w:tabs>
          <w:tab w:val="left" w:pos="360"/>
        </w:tabs>
        <w:spacing w:line="276" w:lineRule="auto"/>
        <w:contextualSpacing/>
        <w:rPr>
          <w:rFonts w:cstheme="minorHAnsi"/>
          <w:b/>
          <w:bCs/>
          <w:sz w:val="20"/>
          <w:szCs w:val="20"/>
        </w:rPr>
      </w:pPr>
      <w:r>
        <w:rPr>
          <w:rFonts w:cstheme="minorHAnsi"/>
          <w:bCs/>
          <w:sz w:val="20"/>
          <w:szCs w:val="20"/>
        </w:rPr>
        <w:t xml:space="preserve">Nr referencyjny nadany sprawie przez Zamawiającego: </w:t>
      </w:r>
      <w:sdt>
        <w:sdtPr>
          <w:alias w:val="Słowa kluczowe"/>
          <w:id w:val="7343689"/>
          <w:dataBinding w:prefixMappings="xmlns:ns0='http://purl.org/dc/elements/1.1/' xmlns:ns1='http://schemas.openxmlformats.org/package/2006/metadata/core-properties' " w:xpath="/ns1:coreProperties[1]/ns1:keywords[1]" w:storeItemID="{6C3C8BC8-F283-45AE-878A-BAB7291924A1}"/>
          <w:text/>
        </w:sdtPr>
        <w:sdtContent>
          <w:r>
            <w:rPr>
              <w:rFonts w:cstheme="minorHAnsi"/>
              <w:b/>
              <w:bCs/>
              <w:sz w:val="20"/>
              <w:szCs w:val="20"/>
            </w:rPr>
            <w:t>SPZOZ.XII.231.1/3/2026</w:t>
          </w:r>
        </w:sdtContent>
      </w:sdt>
    </w:p>
    <w:p w:rsidR="0078639D" w:rsidRDefault="0078639D">
      <w:pPr>
        <w:spacing w:after="0" w:line="276" w:lineRule="auto"/>
        <w:jc w:val="both"/>
        <w:rPr>
          <w:rFonts w:ascii="Calibri" w:eastAsia="Calibri" w:hAnsi="Calibri" w:cs="Calibri"/>
          <w:b/>
          <w:sz w:val="10"/>
          <w:szCs w:val="10"/>
        </w:rPr>
      </w:pPr>
    </w:p>
    <w:p w:rsidR="0078639D" w:rsidRDefault="0078639D">
      <w:pPr>
        <w:spacing w:after="0" w:line="276" w:lineRule="auto"/>
        <w:rPr>
          <w:rFonts w:cstheme="minorHAnsi"/>
          <w:b/>
          <w:bCs/>
          <w:sz w:val="20"/>
          <w:szCs w:val="20"/>
          <w:u w:val="single"/>
          <w:lang w:eastAsia="ar-SA"/>
        </w:rPr>
      </w:pPr>
    </w:p>
    <w:p w:rsidR="0078639D" w:rsidRDefault="004945CF">
      <w:pPr>
        <w:spacing w:after="0" w:line="276" w:lineRule="auto"/>
        <w:rPr>
          <w:rFonts w:cstheme="minorHAnsi"/>
          <w:b/>
          <w:bCs/>
          <w:sz w:val="20"/>
          <w:szCs w:val="20"/>
          <w:u w:val="single"/>
          <w:lang w:eastAsia="ar-SA"/>
        </w:rPr>
      </w:pPr>
      <w:r>
        <w:rPr>
          <w:rFonts w:cstheme="minorHAnsi"/>
          <w:b/>
          <w:bCs/>
          <w:sz w:val="20"/>
          <w:szCs w:val="20"/>
          <w:u w:val="single"/>
          <w:lang w:eastAsia="ar-SA"/>
        </w:rPr>
        <w:t>Wykonawca:</w:t>
      </w:r>
    </w:p>
    <w:p w:rsidR="0078639D" w:rsidRDefault="004945CF">
      <w:pPr>
        <w:spacing w:after="0" w:line="276" w:lineRule="auto"/>
        <w:rPr>
          <w:rFonts w:cstheme="minorHAnsi"/>
          <w:b/>
          <w:bCs/>
          <w:sz w:val="20"/>
          <w:szCs w:val="20"/>
          <w:lang w:eastAsia="ar-SA"/>
        </w:rPr>
      </w:pPr>
      <w:r>
        <w:rPr>
          <w:rFonts w:cstheme="minorHAnsi"/>
          <w:b/>
          <w:bCs/>
          <w:sz w:val="20"/>
          <w:szCs w:val="20"/>
          <w:lang w:eastAsia="ar-SA"/>
        </w:rPr>
        <w:t>………………………………………….</w:t>
      </w:r>
    </w:p>
    <w:p w:rsidR="0078639D" w:rsidRDefault="004945CF">
      <w:pPr>
        <w:spacing w:after="0" w:line="276" w:lineRule="auto"/>
        <w:rPr>
          <w:rFonts w:cstheme="minorHAnsi"/>
          <w:bCs/>
          <w:sz w:val="20"/>
          <w:szCs w:val="20"/>
          <w:lang w:eastAsia="ar-SA"/>
        </w:rPr>
      </w:pPr>
      <w:r>
        <w:rPr>
          <w:rFonts w:cstheme="minorHAnsi"/>
          <w:bCs/>
          <w:sz w:val="20"/>
          <w:szCs w:val="20"/>
          <w:lang w:eastAsia="ar-SA"/>
        </w:rPr>
        <w:t>(</w:t>
      </w:r>
      <w:r>
        <w:rPr>
          <w:rFonts w:cstheme="minorHAnsi"/>
          <w:i/>
          <w:sz w:val="20"/>
          <w:szCs w:val="20"/>
        </w:rPr>
        <w:t>pełna nazwa/firma, adres</w:t>
      </w:r>
      <w:r>
        <w:rPr>
          <w:rFonts w:cstheme="minorHAnsi"/>
          <w:bCs/>
          <w:sz w:val="20"/>
          <w:szCs w:val="20"/>
          <w:lang w:eastAsia="ar-SA"/>
        </w:rPr>
        <w:t>)</w:t>
      </w:r>
    </w:p>
    <w:p w:rsidR="0078639D" w:rsidRDefault="0078639D">
      <w:pPr>
        <w:spacing w:line="276" w:lineRule="auto"/>
        <w:ind w:right="5953"/>
        <w:jc w:val="both"/>
        <w:rPr>
          <w:rFonts w:ascii="Calibri" w:eastAsia="Calibri" w:hAnsi="Calibri" w:cs="Calibri"/>
          <w:i/>
          <w:sz w:val="20"/>
          <w:szCs w:val="20"/>
        </w:rPr>
      </w:pPr>
    </w:p>
    <w:p w:rsidR="0078639D" w:rsidRDefault="004945CF">
      <w:pPr>
        <w:spacing w:line="276" w:lineRule="auto"/>
        <w:ind w:right="5953"/>
        <w:jc w:val="both"/>
        <w:rPr>
          <w:rFonts w:ascii="Calibri" w:eastAsia="Calibri" w:hAnsi="Calibri" w:cs="Calibri"/>
          <w:b/>
          <w:u w:val="single"/>
        </w:rPr>
      </w:pPr>
      <w:r>
        <w:rPr>
          <w:rFonts w:ascii="Calibri" w:eastAsia="Calibri" w:hAnsi="Calibri" w:cs="Calibri"/>
          <w:b/>
          <w:u w:val="single"/>
        </w:rPr>
        <w:t>Pakiet nr …………..</w:t>
      </w:r>
    </w:p>
    <w:p w:rsidR="0078639D" w:rsidRDefault="004945CF">
      <w:pPr>
        <w:spacing w:after="0" w:line="276" w:lineRule="auto"/>
        <w:jc w:val="center"/>
        <w:rPr>
          <w:rFonts w:ascii="Calibri" w:eastAsia="Calibri" w:hAnsi="Calibri" w:cs="Calibri"/>
          <w:b/>
          <w:u w:val="single"/>
        </w:rPr>
      </w:pPr>
      <w:r>
        <w:rPr>
          <w:rFonts w:ascii="Calibri" w:eastAsia="Calibri" w:hAnsi="Calibri" w:cs="Calibri"/>
          <w:b/>
          <w:u w:val="single"/>
        </w:rPr>
        <w:t>WYKAZ WYKONANYCH DOSTAW</w:t>
      </w:r>
    </w:p>
    <w:p w:rsidR="0078639D" w:rsidRDefault="004945CF">
      <w:pPr>
        <w:spacing w:after="0" w:line="276" w:lineRule="auto"/>
        <w:rPr>
          <w:rFonts w:ascii="Calibri" w:eastAsia="Calibri" w:hAnsi="Calibri" w:cs="Calibri"/>
          <w:sz w:val="20"/>
          <w:szCs w:val="20"/>
        </w:rPr>
      </w:pPr>
      <w:r>
        <w:rPr>
          <w:rFonts w:ascii="Calibri" w:eastAsia="Calibri" w:hAnsi="Calibri" w:cs="Calibri"/>
          <w:b/>
          <w:sz w:val="20"/>
          <w:szCs w:val="20"/>
        </w:rPr>
        <w:t>OŚWIADCZAM(Y), ŻE:</w:t>
      </w:r>
    </w:p>
    <w:p w:rsidR="0078639D" w:rsidRDefault="004945CF">
      <w:pPr>
        <w:spacing w:after="0" w:line="276" w:lineRule="auto"/>
        <w:rPr>
          <w:rFonts w:ascii="Calibri" w:eastAsia="Calibri" w:hAnsi="Calibri" w:cs="Calibri"/>
          <w:sz w:val="20"/>
          <w:szCs w:val="20"/>
        </w:rPr>
      </w:pPr>
      <w:r>
        <w:rPr>
          <w:rFonts w:ascii="Calibri" w:eastAsia="Calibri" w:hAnsi="Calibri" w:cs="Calibri"/>
          <w:sz w:val="20"/>
          <w:szCs w:val="20"/>
        </w:rPr>
        <w:t xml:space="preserve">wykonałem(wykonaliśmy), wykonuję następujące </w:t>
      </w:r>
      <w:r>
        <w:rPr>
          <w:rFonts w:ascii="Calibri" w:eastAsia="Calibri" w:hAnsi="Calibri" w:cs="Calibri"/>
          <w:b/>
          <w:color w:val="000000"/>
          <w:sz w:val="20"/>
          <w:szCs w:val="20"/>
        </w:rPr>
        <w:t>DOSTAWY</w:t>
      </w:r>
      <w:r>
        <w:rPr>
          <w:rFonts w:ascii="Calibri" w:eastAsia="Calibri" w:hAnsi="Calibri" w:cs="Calibri"/>
          <w:color w:val="000000"/>
          <w:sz w:val="20"/>
          <w:szCs w:val="20"/>
        </w:rPr>
        <w:t>:</w:t>
      </w:r>
    </w:p>
    <w:tbl>
      <w:tblPr>
        <w:tblW w:w="10412" w:type="dxa"/>
        <w:tblInd w:w="147" w:type="dxa"/>
        <w:tblLayout w:type="fixed"/>
        <w:tblCellMar>
          <w:left w:w="70" w:type="dxa"/>
          <w:right w:w="70" w:type="dxa"/>
        </w:tblCellMar>
        <w:tblLook w:val="0000"/>
      </w:tblPr>
      <w:tblGrid>
        <w:gridCol w:w="378"/>
        <w:gridCol w:w="2269"/>
        <w:gridCol w:w="1261"/>
        <w:gridCol w:w="1692"/>
        <w:gridCol w:w="1836"/>
        <w:gridCol w:w="2976"/>
      </w:tblGrid>
      <w:tr w:rsidR="0078639D">
        <w:trPr>
          <w:cantSplit/>
          <w:trHeight w:val="251"/>
        </w:trPr>
        <w:tc>
          <w:tcPr>
            <w:tcW w:w="377" w:type="dxa"/>
            <w:vMerge w:val="restart"/>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ind w:left="-14" w:right="-46"/>
              <w:jc w:val="center"/>
              <w:rPr>
                <w:rFonts w:ascii="Calibri" w:eastAsia="Calibri" w:hAnsi="Calibri" w:cs="Calibri"/>
                <w:b/>
                <w:sz w:val="20"/>
                <w:szCs w:val="20"/>
              </w:rPr>
            </w:pPr>
            <w:r>
              <w:rPr>
                <w:rFonts w:ascii="Calibri" w:eastAsia="Calibri" w:hAnsi="Calibri" w:cs="Calibri"/>
                <w:b/>
                <w:sz w:val="20"/>
                <w:szCs w:val="20"/>
              </w:rPr>
              <w:t>Lp.</w:t>
            </w:r>
          </w:p>
        </w:tc>
        <w:tc>
          <w:tcPr>
            <w:tcW w:w="2269" w:type="dxa"/>
            <w:vMerge w:val="restart"/>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Określenie przedmiotu</w:t>
            </w:r>
          </w:p>
        </w:tc>
        <w:tc>
          <w:tcPr>
            <w:tcW w:w="1261" w:type="dxa"/>
            <w:vMerge w:val="restart"/>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 xml:space="preserve">Wartość </w:t>
            </w:r>
          </w:p>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w PLN brutto</w:t>
            </w:r>
          </w:p>
        </w:tc>
        <w:tc>
          <w:tcPr>
            <w:tcW w:w="3528" w:type="dxa"/>
            <w:gridSpan w:val="2"/>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Data wykonania (dzień, miesiąc, rok)</w:t>
            </w:r>
          </w:p>
        </w:tc>
        <w:tc>
          <w:tcPr>
            <w:tcW w:w="2976" w:type="dxa"/>
            <w:vMerge w:val="restart"/>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 xml:space="preserve">Nazwa Odbiorcy </w:t>
            </w:r>
          </w:p>
        </w:tc>
      </w:tr>
      <w:tr w:rsidR="0078639D">
        <w:trPr>
          <w:cantSplit/>
          <w:trHeight w:val="147"/>
        </w:trPr>
        <w:tc>
          <w:tcPr>
            <w:tcW w:w="377" w:type="dxa"/>
            <w:vMerge/>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b/>
                <w:sz w:val="20"/>
                <w:szCs w:val="20"/>
              </w:rPr>
            </w:pPr>
          </w:p>
        </w:tc>
        <w:tc>
          <w:tcPr>
            <w:tcW w:w="2269" w:type="dxa"/>
            <w:vMerge/>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b/>
                <w:sz w:val="20"/>
                <w:szCs w:val="20"/>
              </w:rPr>
            </w:pPr>
          </w:p>
        </w:tc>
        <w:tc>
          <w:tcPr>
            <w:tcW w:w="1261" w:type="dxa"/>
            <w:vMerge/>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b/>
                <w:sz w:val="20"/>
                <w:szCs w:val="20"/>
              </w:rPr>
            </w:pPr>
          </w:p>
        </w:tc>
        <w:tc>
          <w:tcPr>
            <w:tcW w:w="1692" w:type="dxa"/>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początek (data)</w:t>
            </w:r>
          </w:p>
        </w:tc>
        <w:tc>
          <w:tcPr>
            <w:tcW w:w="1836" w:type="dxa"/>
            <w:tcBorders>
              <w:top w:val="single" w:sz="6" w:space="0" w:color="000000"/>
              <w:left w:val="single" w:sz="6" w:space="0" w:color="000000"/>
              <w:bottom w:val="single" w:sz="6" w:space="0" w:color="000000"/>
              <w:right w:val="single" w:sz="6" w:space="0" w:color="000000"/>
            </w:tcBorders>
            <w:shd w:val="clear" w:color="auto" w:fill="92D050"/>
            <w:vAlign w:val="center"/>
          </w:tcPr>
          <w:p w:rsidR="0078639D" w:rsidRDefault="004945CF">
            <w:pPr>
              <w:spacing w:after="0" w:line="276" w:lineRule="auto"/>
              <w:jc w:val="center"/>
              <w:rPr>
                <w:rFonts w:ascii="Calibri" w:eastAsia="Calibri" w:hAnsi="Calibri" w:cs="Calibri"/>
                <w:b/>
                <w:sz w:val="20"/>
                <w:szCs w:val="20"/>
              </w:rPr>
            </w:pPr>
            <w:r>
              <w:rPr>
                <w:rFonts w:ascii="Calibri" w:eastAsia="Calibri" w:hAnsi="Calibri" w:cs="Calibri"/>
                <w:b/>
                <w:sz w:val="20"/>
                <w:szCs w:val="20"/>
              </w:rPr>
              <w:t>zakończenie (data)</w:t>
            </w:r>
          </w:p>
        </w:tc>
        <w:tc>
          <w:tcPr>
            <w:tcW w:w="2976" w:type="dxa"/>
            <w:vMerge/>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r>
      <w:tr w:rsidR="0078639D">
        <w:trPr>
          <w:cantSplit/>
          <w:trHeight w:val="211"/>
        </w:trPr>
        <w:tc>
          <w:tcPr>
            <w:tcW w:w="377"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2269"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1</w:t>
            </w:r>
          </w:p>
        </w:tc>
        <w:tc>
          <w:tcPr>
            <w:tcW w:w="1261"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2</w:t>
            </w:r>
          </w:p>
        </w:tc>
        <w:tc>
          <w:tcPr>
            <w:tcW w:w="1692"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3</w:t>
            </w:r>
          </w:p>
        </w:tc>
        <w:tc>
          <w:tcPr>
            <w:tcW w:w="1836"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4</w:t>
            </w:r>
          </w:p>
        </w:tc>
        <w:tc>
          <w:tcPr>
            <w:tcW w:w="2976"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5</w:t>
            </w:r>
          </w:p>
        </w:tc>
      </w:tr>
      <w:tr w:rsidR="0078639D">
        <w:trPr>
          <w:cantSplit/>
          <w:trHeight w:val="167"/>
        </w:trPr>
        <w:tc>
          <w:tcPr>
            <w:tcW w:w="377"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1.</w:t>
            </w:r>
          </w:p>
        </w:tc>
        <w:tc>
          <w:tcPr>
            <w:tcW w:w="2269"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p w:rsidR="0078639D" w:rsidRDefault="0078639D">
            <w:pPr>
              <w:spacing w:after="0" w:line="276" w:lineRule="auto"/>
              <w:jc w:val="center"/>
              <w:rPr>
                <w:rFonts w:ascii="Calibri" w:eastAsia="Calibri" w:hAnsi="Calibri" w:cs="Calibri"/>
                <w:sz w:val="20"/>
                <w:szCs w:val="20"/>
              </w:rPr>
            </w:pPr>
          </w:p>
        </w:tc>
        <w:tc>
          <w:tcPr>
            <w:tcW w:w="1261"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1692"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1836"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2976"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r>
      <w:tr w:rsidR="0078639D">
        <w:trPr>
          <w:cantSplit/>
          <w:trHeight w:val="94"/>
        </w:trPr>
        <w:tc>
          <w:tcPr>
            <w:tcW w:w="377" w:type="dxa"/>
            <w:tcBorders>
              <w:top w:val="single" w:sz="6" w:space="0" w:color="000000"/>
              <w:left w:val="single" w:sz="6" w:space="0" w:color="000000"/>
              <w:bottom w:val="single" w:sz="6" w:space="0" w:color="000000"/>
              <w:right w:val="single" w:sz="6" w:space="0" w:color="000000"/>
            </w:tcBorders>
            <w:vAlign w:val="center"/>
          </w:tcPr>
          <w:p w:rsidR="0078639D" w:rsidRDefault="004945CF">
            <w:pPr>
              <w:spacing w:after="0" w:line="276" w:lineRule="auto"/>
              <w:jc w:val="center"/>
              <w:rPr>
                <w:rFonts w:ascii="Calibri" w:eastAsia="Calibri" w:hAnsi="Calibri" w:cs="Calibri"/>
                <w:sz w:val="20"/>
                <w:szCs w:val="20"/>
              </w:rPr>
            </w:pPr>
            <w:r>
              <w:rPr>
                <w:rFonts w:ascii="Calibri" w:eastAsia="Calibri" w:hAnsi="Calibri" w:cs="Calibri"/>
                <w:sz w:val="20"/>
                <w:szCs w:val="20"/>
              </w:rPr>
              <w:t>2.</w:t>
            </w:r>
          </w:p>
        </w:tc>
        <w:tc>
          <w:tcPr>
            <w:tcW w:w="2269"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p w:rsidR="0078639D" w:rsidRDefault="0078639D">
            <w:pPr>
              <w:spacing w:after="0" w:line="276" w:lineRule="auto"/>
              <w:jc w:val="center"/>
              <w:rPr>
                <w:rFonts w:ascii="Calibri" w:eastAsia="Calibri" w:hAnsi="Calibri" w:cs="Calibri"/>
                <w:sz w:val="20"/>
                <w:szCs w:val="20"/>
              </w:rPr>
            </w:pPr>
          </w:p>
        </w:tc>
        <w:tc>
          <w:tcPr>
            <w:tcW w:w="1261"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1692"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1836"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c>
          <w:tcPr>
            <w:tcW w:w="2976" w:type="dxa"/>
            <w:tcBorders>
              <w:top w:val="single" w:sz="6" w:space="0" w:color="000000"/>
              <w:left w:val="single" w:sz="6" w:space="0" w:color="000000"/>
              <w:bottom w:val="single" w:sz="6" w:space="0" w:color="000000"/>
              <w:right w:val="single" w:sz="6" w:space="0" w:color="000000"/>
            </w:tcBorders>
            <w:vAlign w:val="center"/>
          </w:tcPr>
          <w:p w:rsidR="0078639D" w:rsidRDefault="0078639D">
            <w:pPr>
              <w:spacing w:after="0" w:line="276" w:lineRule="auto"/>
              <w:jc w:val="center"/>
              <w:rPr>
                <w:rFonts w:ascii="Calibri" w:eastAsia="Calibri" w:hAnsi="Calibri" w:cs="Calibri"/>
                <w:sz w:val="20"/>
                <w:szCs w:val="20"/>
              </w:rPr>
            </w:pPr>
          </w:p>
        </w:tc>
      </w:tr>
    </w:tbl>
    <w:p w:rsidR="0078639D" w:rsidRDefault="0078639D">
      <w:pPr>
        <w:spacing w:after="0" w:line="276" w:lineRule="auto"/>
        <w:rPr>
          <w:rFonts w:ascii="Calibri" w:eastAsia="Calibri" w:hAnsi="Calibri" w:cs="Calibri"/>
          <w:sz w:val="20"/>
          <w:szCs w:val="20"/>
        </w:rPr>
      </w:pPr>
    </w:p>
    <w:p w:rsidR="0078639D" w:rsidRDefault="004945CF">
      <w:pPr>
        <w:spacing w:after="0" w:line="276" w:lineRule="auto"/>
        <w:jc w:val="both"/>
        <w:rPr>
          <w:rFonts w:ascii="Calibri" w:eastAsia="Calibri" w:hAnsi="Calibri" w:cs="Calibri"/>
          <w:color w:val="000000"/>
          <w:sz w:val="18"/>
          <w:szCs w:val="18"/>
        </w:rPr>
      </w:pPr>
      <w:r>
        <w:rPr>
          <w:rFonts w:ascii="Calibri" w:eastAsia="Calibri" w:hAnsi="Calibri" w:cs="Calibri"/>
          <w:b/>
          <w:color w:val="000000"/>
          <w:sz w:val="18"/>
          <w:szCs w:val="18"/>
        </w:rPr>
        <w:t>UWAGA</w:t>
      </w:r>
      <w:r>
        <w:rPr>
          <w:rFonts w:ascii="Calibri" w:eastAsia="Calibri" w:hAnsi="Calibri" w:cs="Calibri"/>
          <w:color w:val="000000"/>
          <w:sz w:val="18"/>
          <w:szCs w:val="18"/>
        </w:rPr>
        <w:t xml:space="preserve">! Wykonawca jest zobowiązany dostarczyć dokumenty (dowody określające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potwierdzające należyte wykonanie wskazanych w tabeli </w:t>
      </w:r>
      <w:r>
        <w:rPr>
          <w:rFonts w:ascii="Calibri" w:eastAsia="Calibri" w:hAnsi="Calibri" w:cs="Calibri"/>
          <w:b/>
          <w:color w:val="000000"/>
          <w:sz w:val="18"/>
          <w:szCs w:val="18"/>
        </w:rPr>
        <w:t>DOSTAWY</w:t>
      </w:r>
      <w:r>
        <w:rPr>
          <w:rFonts w:ascii="Calibri" w:eastAsia="Calibri" w:hAnsi="Calibri" w:cs="Calibri"/>
          <w:color w:val="000000"/>
          <w:sz w:val="18"/>
          <w:szCs w:val="18"/>
        </w:rPr>
        <w:t xml:space="preserve"> z zastrzeżeniem postanowień SWZ.</w:t>
      </w:r>
    </w:p>
    <w:p w:rsidR="0078639D" w:rsidRDefault="0078639D">
      <w:pPr>
        <w:spacing w:line="276" w:lineRule="auto"/>
        <w:rPr>
          <w:rFonts w:ascii="Calibri" w:eastAsia="Calibri" w:hAnsi="Calibri" w:cs="Calibri"/>
          <w:sz w:val="20"/>
          <w:szCs w:val="20"/>
        </w:rPr>
      </w:pPr>
    </w:p>
    <w:p w:rsidR="0078639D" w:rsidRDefault="004945CF">
      <w:pPr>
        <w:spacing w:after="0" w:line="276" w:lineRule="auto"/>
        <w:rPr>
          <w:sz w:val="20"/>
        </w:rPr>
      </w:pPr>
      <w:r>
        <w:rPr>
          <w:sz w:val="20"/>
        </w:rPr>
        <w:t>Podpis(y)</w:t>
      </w:r>
    </w:p>
    <w:p w:rsidR="0078639D" w:rsidRDefault="0078639D">
      <w:pPr>
        <w:pStyle w:val="Nagwek3"/>
        <w:rPr>
          <w:rFonts w:cs="Calibri"/>
          <w:i w:val="0"/>
          <w:sz w:val="20"/>
          <w:szCs w:val="20"/>
        </w:rPr>
      </w:pPr>
    </w:p>
    <w:p w:rsidR="0078639D" w:rsidRDefault="0078639D"/>
    <w:p w:rsidR="0078639D" w:rsidRDefault="0078639D"/>
    <w:p w:rsidR="0078639D" w:rsidRDefault="0078639D"/>
    <w:p w:rsidR="0078639D" w:rsidRDefault="0078639D"/>
    <w:p w:rsidR="0078639D" w:rsidRDefault="0078639D"/>
    <w:p w:rsidR="0078639D" w:rsidRDefault="0078639D"/>
    <w:p w:rsidR="0078639D" w:rsidRDefault="0078639D"/>
    <w:p w:rsidR="0078639D" w:rsidRDefault="0078639D">
      <w:pPr>
        <w:sectPr w:rsidR="0078639D">
          <w:footerReference w:type="even" r:id="rId29"/>
          <w:footerReference w:type="default" r:id="rId30"/>
          <w:footerReference w:type="first" r:id="rId31"/>
          <w:pgSz w:w="11906" w:h="16838"/>
          <w:pgMar w:top="720" w:right="1016" w:bottom="766" w:left="720" w:header="0" w:footer="709" w:gutter="0"/>
          <w:cols w:space="720"/>
          <w:formProt w:val="0"/>
          <w:titlePg/>
          <w:docGrid w:linePitch="360"/>
        </w:sectPr>
      </w:pPr>
    </w:p>
    <w:p w:rsidR="0078639D" w:rsidRDefault="004945CF">
      <w:r>
        <w:rPr>
          <w:noProof/>
          <w:lang w:val="en-US"/>
        </w:rPr>
        <w:lastRenderedPageBreak/>
        <w:drawing>
          <wp:inline distT="0" distB="0" distL="0" distR="0">
            <wp:extent cx="6457950" cy="646430"/>
            <wp:effectExtent l="0" t="0" r="0" b="0"/>
            <wp:docPr id="17" name="Obraz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braz12"/>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pStyle w:val="Nagwek3"/>
        <w:rPr>
          <w:rFonts w:cs="Calibri"/>
          <w:b w:val="0"/>
          <w:i w:val="0"/>
          <w:sz w:val="20"/>
          <w:szCs w:val="20"/>
        </w:rPr>
      </w:pPr>
      <w:r>
        <w:rPr>
          <w:rFonts w:cs="Calibri"/>
          <w:i w:val="0"/>
          <w:sz w:val="20"/>
          <w:szCs w:val="20"/>
        </w:rPr>
        <w:t xml:space="preserve">Załącznik nr 5 – Wykaz parametrów technicznych </w:t>
      </w:r>
    </w:p>
    <w:p w:rsidR="0078639D" w:rsidRDefault="0078639D">
      <w:pPr>
        <w:pStyle w:val="Nagwek3"/>
        <w:jc w:val="left"/>
        <w:rPr>
          <w:rFonts w:cs="Calibri"/>
          <w:b w:val="0"/>
          <w:sz w:val="20"/>
          <w:szCs w:val="20"/>
        </w:rPr>
      </w:pPr>
    </w:p>
    <w:p w:rsidR="0078639D" w:rsidRDefault="004945CF">
      <w:pPr>
        <w:spacing w:line="360" w:lineRule="auto"/>
        <w:jc w:val="center"/>
        <w:textAlignment w:val="baseline"/>
        <w:rPr>
          <w:rFonts w:ascii="Calibri" w:hAnsi="Calibri" w:cs="Calibri"/>
          <w:b/>
        </w:rPr>
      </w:pPr>
      <w:r>
        <w:rPr>
          <w:rFonts w:ascii="Calibri" w:hAnsi="Calibri" w:cs="Calibri"/>
          <w:b/>
        </w:rPr>
        <w:t>SPECYFIKACJA TECHNICZNA</w:t>
      </w:r>
    </w:p>
    <w:p w:rsidR="0078639D" w:rsidRDefault="004945CF">
      <w:pPr>
        <w:spacing w:line="360" w:lineRule="auto"/>
        <w:jc w:val="center"/>
        <w:textAlignment w:val="baseline"/>
        <w:rPr>
          <w:rFonts w:ascii="Calibri" w:hAnsi="Calibri" w:cs="Calibri"/>
          <w:b/>
        </w:rPr>
      </w:pPr>
      <w:r>
        <w:rPr>
          <w:rFonts w:ascii="Calibri" w:hAnsi="Calibri" w:cs="Calibri"/>
          <w:b/>
        </w:rPr>
        <w:t>ZESTAWIENIE WYMAGANYCH PARAMETRÓW TECHNICZNYCH PRZEDMIOTU ZAMÓWIENIA*</w:t>
      </w:r>
    </w:p>
    <w:p w:rsidR="0078639D" w:rsidRDefault="004945CF">
      <w:pPr>
        <w:spacing w:line="360" w:lineRule="auto"/>
        <w:textAlignment w:val="baseline"/>
        <w:rPr>
          <w:rFonts w:ascii="Calibri" w:hAnsi="Calibri" w:cs="Calibri"/>
          <w:b/>
          <w:i/>
          <w:iCs/>
          <w:u w:val="single"/>
        </w:rPr>
      </w:pPr>
      <w:r>
        <w:rPr>
          <w:rFonts w:ascii="Calibri" w:hAnsi="Calibri" w:cs="Calibri"/>
          <w:b/>
          <w:i/>
          <w:iCs/>
          <w:u w:val="single"/>
        </w:rPr>
        <w:t>*Uwaga! wypełnia Wykonawca i składa wraz z ofertą</w:t>
      </w:r>
    </w:p>
    <w:p w:rsidR="0078639D" w:rsidRDefault="004945CF">
      <w:pPr>
        <w:spacing w:after="0"/>
        <w:outlineLvl w:val="0"/>
        <w:rPr>
          <w:b/>
        </w:rPr>
      </w:pPr>
      <w:r>
        <w:rPr>
          <w:b/>
        </w:rPr>
        <w:t>Pakiet 1 Aparat EKG</w:t>
      </w:r>
    </w:p>
    <w:tbl>
      <w:tblPr>
        <w:tblStyle w:val="Tabela-Siatka"/>
        <w:tblW w:w="10386" w:type="dxa"/>
        <w:tblInd w:w="113" w:type="dxa"/>
        <w:tblLayout w:type="fixed"/>
        <w:tblLook w:val="04A0"/>
      </w:tblPr>
      <w:tblGrid>
        <w:gridCol w:w="530"/>
        <w:gridCol w:w="6064"/>
        <w:gridCol w:w="3792"/>
      </w:tblGrid>
      <w:tr w:rsidR="0078639D">
        <w:trPr>
          <w:trHeight w:val="84"/>
        </w:trPr>
        <w:tc>
          <w:tcPr>
            <w:tcW w:w="6594"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92"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rPr>
          <w:trHeight w:val="8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Aparat fabrycznie nowy, rok produkcji nie starszy niż 2025</w:t>
            </w:r>
          </w:p>
        </w:tc>
        <w:tc>
          <w:tcPr>
            <w:tcW w:w="3792" w:type="dxa"/>
          </w:tcPr>
          <w:p w:rsidR="0078639D" w:rsidRDefault="0078639D">
            <w:pPr>
              <w:spacing w:after="0" w:line="276" w:lineRule="auto"/>
              <w:rPr>
                <w:rFonts w:ascii="Calibri" w:hAnsi="Calibri" w:cs="Calibri"/>
                <w:sz w:val="20"/>
                <w:szCs w:val="20"/>
              </w:rPr>
            </w:pPr>
          </w:p>
        </w:tc>
      </w:tr>
      <w:tr w:rsidR="0078639D">
        <w:trPr>
          <w:trHeight w:val="18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Odprowadzenia: 12 standardowych</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Odrzucanie sygnałów powszechnych &gt;100 dB</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24 bitowa akwizycja sygnału EKG</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częstotliwości od 0,04 do 150Hz</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pracy w trybie Auto, Manual</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uruchomienia mniej niż 15 sek.</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Rozpoczęcie akwizycji sygnału poprzez jeden przycisk</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regulacja linii izoelektrycznej, Cyfrowa filtracja zakłóceń sieciowych i mięśniowych</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akcji serca w zakresie minimum 30 – 300/min</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uaktualniania oprogramowania w razie konieczności, za pośrednictwem nośników danych</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Analiza i interpretacja wyników EKG.</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Część aplikacyjna typu CF odporna na defibrylację. Ochrona przed defibrylacją: Zgodnie z normą IEC 60601-2-25:2011</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6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dynamiczny napięcie przemienne ± 5 mV, przesunięcie napięcia stałego ±300 mV</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Próbkowanie sygnału EKG minimum 2000 Hz</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Filtr adaptacyjny AC 47 Hz do 53 Hz przy ustawieniu na 50 Hz, 57 Hz do 63 Hz przy ustawieniu na 60 Hz</w:t>
            </w:r>
          </w:p>
        </w:tc>
        <w:tc>
          <w:tcPr>
            <w:tcW w:w="3792" w:type="dxa"/>
          </w:tcPr>
          <w:p w:rsidR="0078639D" w:rsidRDefault="0078639D">
            <w:pPr>
              <w:spacing w:after="0" w:line="276" w:lineRule="auto"/>
              <w:rPr>
                <w:rFonts w:ascii="Calibri" w:hAnsi="Calibri" w:cs="Calibri"/>
                <w:sz w:val="20"/>
                <w:szCs w:val="20"/>
              </w:rPr>
            </w:pPr>
          </w:p>
        </w:tc>
      </w:tr>
      <w:tr w:rsidR="0078639D">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Dolna wartość odcięcia 0,01 Hz, 0,02 Hz, 0,16 Hz lub 0,32 Hz (limit -3 dB)</w:t>
            </w:r>
          </w:p>
        </w:tc>
        <w:tc>
          <w:tcPr>
            <w:tcW w:w="3792" w:type="dxa"/>
          </w:tcPr>
          <w:p w:rsidR="0078639D" w:rsidRDefault="0078639D">
            <w:pPr>
              <w:spacing w:after="0" w:line="276" w:lineRule="auto"/>
              <w:rPr>
                <w:rFonts w:ascii="Calibri" w:hAnsi="Calibri" w:cs="Calibri"/>
                <w:sz w:val="20"/>
                <w:szCs w:val="20"/>
              </w:rPr>
            </w:pPr>
          </w:p>
        </w:tc>
      </w:tr>
      <w:tr w:rsidR="0078639D">
        <w:trPr>
          <w:trHeight w:val="156"/>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Filtry dolnoprzepustowe 20/40/100/150 Hz</w:t>
            </w:r>
          </w:p>
        </w:tc>
        <w:tc>
          <w:tcPr>
            <w:tcW w:w="3792" w:type="dxa"/>
          </w:tcPr>
          <w:p w:rsidR="0078639D" w:rsidRDefault="0078639D">
            <w:pPr>
              <w:spacing w:after="0" w:line="276" w:lineRule="auto"/>
              <w:rPr>
                <w:rFonts w:ascii="Calibri" w:hAnsi="Calibri" w:cs="Calibri"/>
                <w:sz w:val="20"/>
                <w:szCs w:val="20"/>
              </w:rPr>
            </w:pPr>
          </w:p>
        </w:tc>
      </w:tr>
      <w:tr w:rsidR="0078639D">
        <w:trPr>
          <w:trHeight w:val="96"/>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lang w:val="en-US"/>
              </w:rPr>
              <w:t>Korekcja QTc</w:t>
            </w:r>
          </w:p>
        </w:tc>
        <w:tc>
          <w:tcPr>
            <w:tcW w:w="3792" w:type="dxa"/>
          </w:tcPr>
          <w:p w:rsidR="0078639D" w:rsidRDefault="0078639D">
            <w:pPr>
              <w:spacing w:after="0" w:line="276" w:lineRule="auto"/>
              <w:rPr>
                <w:rFonts w:ascii="Calibri" w:hAnsi="Calibri" w:cs="Calibri"/>
                <w:sz w:val="20"/>
                <w:szCs w:val="20"/>
              </w:rPr>
            </w:pPr>
          </w:p>
        </w:tc>
      </w:tr>
      <w:tr w:rsidR="0078639D">
        <w:trPr>
          <w:trHeight w:val="168"/>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Możliwość ustawienia standardu odprowadzeni: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Standard</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Cabrera</w:t>
            </w:r>
          </w:p>
        </w:tc>
        <w:tc>
          <w:tcPr>
            <w:tcW w:w="3792" w:type="dxa"/>
          </w:tcPr>
          <w:p w:rsidR="0078639D" w:rsidRDefault="0078639D">
            <w:pPr>
              <w:spacing w:after="0" w:line="276" w:lineRule="auto"/>
              <w:rPr>
                <w:rFonts w:ascii="Calibri" w:hAnsi="Calibri" w:cs="Calibri"/>
                <w:sz w:val="20"/>
                <w:szCs w:val="20"/>
              </w:rPr>
            </w:pPr>
          </w:p>
        </w:tc>
      </w:tr>
      <w:tr w:rsidR="0078639D">
        <w:trPr>
          <w:trHeight w:val="108"/>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Wykrywanie odłączonych odprowadzeni. z wykrywanie odwrócenia odprowadzenia kończynowego i piersiowego.</w:t>
            </w:r>
          </w:p>
        </w:tc>
        <w:tc>
          <w:tcPr>
            <w:tcW w:w="3792" w:type="dxa"/>
          </w:tcPr>
          <w:p w:rsidR="0078639D" w:rsidRDefault="0078639D">
            <w:pPr>
              <w:spacing w:after="0" w:line="276" w:lineRule="auto"/>
              <w:rPr>
                <w:rFonts w:ascii="Calibri" w:hAnsi="Calibri" w:cs="Calibri"/>
                <w:sz w:val="20"/>
                <w:szCs w:val="20"/>
              </w:rPr>
            </w:pPr>
          </w:p>
        </w:tc>
      </w:tr>
      <w:tr w:rsidR="0078639D">
        <w:trPr>
          <w:trHeight w:val="180"/>
        </w:trPr>
        <w:tc>
          <w:tcPr>
            <w:tcW w:w="10386" w:type="dxa"/>
            <w:gridSpan w:val="3"/>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t>DRUKARKA TERMICZNA</w:t>
            </w:r>
          </w:p>
        </w:tc>
      </w:tr>
      <w:tr w:rsidR="0078639D">
        <w:trPr>
          <w:trHeight w:val="12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zapisu 5, 12,5, 25, 50 mm/s</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przeglądu zapisu EKG przed wydrukiem w celu wizualnej inspekcji jakości zapisu</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trwałego odłączenia w systemie opcji wydruku i automatycznego zapisu badań tylko do pamięci aparatu</w:t>
            </w:r>
          </w:p>
        </w:tc>
        <w:tc>
          <w:tcPr>
            <w:tcW w:w="3792" w:type="dxa"/>
          </w:tcPr>
          <w:p w:rsidR="0078639D" w:rsidRDefault="0078639D">
            <w:pPr>
              <w:spacing w:after="0" w:line="276" w:lineRule="auto"/>
              <w:rPr>
                <w:rFonts w:ascii="Calibri" w:hAnsi="Calibri" w:cs="Calibri"/>
                <w:sz w:val="20"/>
                <w:szCs w:val="20"/>
              </w:rPr>
            </w:pPr>
          </w:p>
        </w:tc>
      </w:tr>
      <w:tr w:rsidR="0078639D">
        <w:trPr>
          <w:trHeight w:val="132"/>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Drukarka termiczna. Papier perforowany typu Z, szerokość min. 80 mm</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10386" w:type="dxa"/>
            <w:gridSpan w:val="3"/>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lastRenderedPageBreak/>
              <w:t>EKRAN</w:t>
            </w:r>
          </w:p>
        </w:tc>
      </w:tr>
      <w:tr w:rsidR="0078639D">
        <w:trPr>
          <w:trHeight w:val="113"/>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Wyświetlacz graficzny o przekątnej 5,0 cali (12,7 cm) z podświetleniem LED</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Pojemnościowy (Projected Capacitative, PCAP), wielopunktowy ekran dotyko wy działający po założeniu rękawiczek diagnostycznych.</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Wyświetlane tętno, identyfikator pacjenta, data i godzina, wskaźnik poziomu naładowania baterii, przewijane krzywe, etykiety przewodów, prędkość, ustawienia wzmocnienia i filtra, komunikaty ostrzegawcze, komunikaty informacyjne, monity. Wyświetlacz standardowy 12-odprowadzeniowy.</w:t>
            </w:r>
          </w:p>
        </w:tc>
        <w:tc>
          <w:tcPr>
            <w:tcW w:w="3792" w:type="dxa"/>
          </w:tcPr>
          <w:p w:rsidR="0078639D" w:rsidRDefault="0078639D">
            <w:pPr>
              <w:spacing w:after="0" w:line="276" w:lineRule="auto"/>
              <w:rPr>
                <w:rFonts w:ascii="Calibri" w:hAnsi="Calibri" w:cs="Calibri"/>
                <w:sz w:val="20"/>
                <w:szCs w:val="20"/>
              </w:rPr>
            </w:pPr>
          </w:p>
        </w:tc>
      </w:tr>
      <w:tr w:rsidR="0078639D">
        <w:trPr>
          <w:trHeight w:val="156"/>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minimum 720 X 1280 pikseli</w:t>
            </w:r>
          </w:p>
        </w:tc>
        <w:tc>
          <w:tcPr>
            <w:tcW w:w="3792" w:type="dxa"/>
          </w:tcPr>
          <w:p w:rsidR="0078639D" w:rsidRDefault="0078639D">
            <w:pPr>
              <w:spacing w:after="0" w:line="276" w:lineRule="auto"/>
              <w:rPr>
                <w:rFonts w:ascii="Calibri" w:hAnsi="Calibri" w:cs="Calibri"/>
                <w:sz w:val="20"/>
                <w:szCs w:val="20"/>
              </w:rPr>
            </w:pPr>
          </w:p>
        </w:tc>
      </w:tr>
      <w:tr w:rsidR="0078639D">
        <w:trPr>
          <w:trHeight w:val="36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Informacja na ekranie o stanie naładowania akumulatora oraz o podłączeniu do sieci</w:t>
            </w:r>
          </w:p>
        </w:tc>
        <w:tc>
          <w:tcPr>
            <w:tcW w:w="3792" w:type="dxa"/>
          </w:tcPr>
          <w:p w:rsidR="0078639D" w:rsidRDefault="0078639D">
            <w:pPr>
              <w:spacing w:after="0" w:line="276" w:lineRule="auto"/>
              <w:rPr>
                <w:rFonts w:ascii="Calibri" w:hAnsi="Calibri" w:cs="Calibri"/>
                <w:sz w:val="20"/>
                <w:szCs w:val="20"/>
              </w:rPr>
            </w:pPr>
          </w:p>
        </w:tc>
      </w:tr>
      <w:tr w:rsidR="0078639D">
        <w:trPr>
          <w:trHeight w:val="89"/>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Sygnalizacja braku kontaktu elektrod z pacjentem lub złej jakości sygnału za pomocą wizualnych sygnałów na ekranie (min 3 stopniowa)</w:t>
            </w:r>
          </w:p>
        </w:tc>
        <w:tc>
          <w:tcPr>
            <w:tcW w:w="3792" w:type="dxa"/>
          </w:tcPr>
          <w:p w:rsidR="0078639D" w:rsidRDefault="0078639D">
            <w:pPr>
              <w:spacing w:after="0" w:line="276" w:lineRule="auto"/>
              <w:rPr>
                <w:rFonts w:ascii="Calibri" w:hAnsi="Calibri" w:cs="Calibri"/>
                <w:sz w:val="20"/>
                <w:szCs w:val="20"/>
              </w:rPr>
            </w:pPr>
          </w:p>
        </w:tc>
      </w:tr>
      <w:tr w:rsidR="0078639D">
        <w:trPr>
          <w:trHeight w:val="8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Podczas pomiaru EKG na ekranie widoczna wartość częstości serca (w uderzeniach na minutę)</w:t>
            </w:r>
          </w:p>
        </w:tc>
        <w:tc>
          <w:tcPr>
            <w:tcW w:w="3792" w:type="dxa"/>
          </w:tcPr>
          <w:p w:rsidR="0078639D" w:rsidRDefault="0078639D">
            <w:pPr>
              <w:spacing w:after="0" w:line="276" w:lineRule="auto"/>
              <w:rPr>
                <w:rFonts w:ascii="Calibri" w:hAnsi="Calibri" w:cs="Calibri"/>
                <w:sz w:val="20"/>
                <w:szCs w:val="20"/>
              </w:rPr>
            </w:pPr>
          </w:p>
        </w:tc>
      </w:tr>
      <w:tr w:rsidR="0078639D">
        <w:trPr>
          <w:trHeight w:val="18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Podczas pomiaru EKG na ekranie widoczny komunikat tekstowy o awarii odprowadzenia</w:t>
            </w:r>
          </w:p>
        </w:tc>
        <w:tc>
          <w:tcPr>
            <w:tcW w:w="3792" w:type="dxa"/>
          </w:tcPr>
          <w:p w:rsidR="0078639D" w:rsidRDefault="0078639D">
            <w:pPr>
              <w:spacing w:after="0" w:line="276" w:lineRule="auto"/>
              <w:rPr>
                <w:rFonts w:ascii="Calibri" w:hAnsi="Calibri" w:cs="Calibri"/>
                <w:sz w:val="20"/>
                <w:szCs w:val="20"/>
              </w:rPr>
            </w:pPr>
          </w:p>
        </w:tc>
      </w:tr>
      <w:tr w:rsidR="0078639D">
        <w:trPr>
          <w:trHeight w:val="132"/>
        </w:trPr>
        <w:tc>
          <w:tcPr>
            <w:tcW w:w="10386" w:type="dxa"/>
            <w:gridSpan w:val="3"/>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t>WYPOSAŻENIE TECHNICZNE</w:t>
            </w:r>
          </w:p>
        </w:tc>
      </w:tr>
      <w:tr w:rsidR="0078639D">
        <w:trPr>
          <w:trHeight w:val="396"/>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sieciowe i akumulatorowe. Zasilanie akumulatorowe, pozwalające na wydruk 120ekg lub min 5 godzin monitorowania bez wydruku</w:t>
            </w:r>
          </w:p>
        </w:tc>
        <w:tc>
          <w:tcPr>
            <w:tcW w:w="3792" w:type="dxa"/>
          </w:tcPr>
          <w:p w:rsidR="0078639D" w:rsidRDefault="0078639D">
            <w:pPr>
              <w:spacing w:after="0" w:line="276" w:lineRule="auto"/>
              <w:rPr>
                <w:rFonts w:ascii="Calibri" w:hAnsi="Calibri" w:cs="Calibri"/>
                <w:sz w:val="20"/>
                <w:szCs w:val="20"/>
              </w:rPr>
            </w:pPr>
          </w:p>
        </w:tc>
      </w:tr>
      <w:tr w:rsidR="0078639D">
        <w:trPr>
          <w:trHeight w:val="89"/>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Ładowanie do max 350 minut od całkowitego rozładowania, kiedy urządzenie jest wyłączone.</w:t>
            </w:r>
          </w:p>
        </w:tc>
        <w:tc>
          <w:tcPr>
            <w:tcW w:w="3792" w:type="dxa"/>
          </w:tcPr>
          <w:p w:rsidR="0078639D" w:rsidRDefault="0078639D">
            <w:pPr>
              <w:spacing w:after="0" w:line="276" w:lineRule="auto"/>
              <w:rPr>
                <w:rFonts w:ascii="Calibri" w:hAnsi="Calibri" w:cs="Calibri"/>
                <w:sz w:val="20"/>
                <w:szCs w:val="20"/>
              </w:rPr>
            </w:pPr>
          </w:p>
        </w:tc>
      </w:tr>
      <w:tr w:rsidR="0078639D">
        <w:trPr>
          <w:trHeight w:val="168"/>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Bateria litowo-jonowa</w:t>
            </w:r>
          </w:p>
        </w:tc>
        <w:tc>
          <w:tcPr>
            <w:tcW w:w="3792" w:type="dxa"/>
          </w:tcPr>
          <w:p w:rsidR="0078639D" w:rsidRDefault="0078639D">
            <w:pPr>
              <w:spacing w:after="0" w:line="276" w:lineRule="auto"/>
              <w:rPr>
                <w:rFonts w:ascii="Calibri" w:hAnsi="Calibri" w:cs="Calibri"/>
                <w:sz w:val="20"/>
                <w:szCs w:val="20"/>
              </w:rPr>
            </w:pPr>
          </w:p>
        </w:tc>
      </w:tr>
      <w:tr w:rsidR="0078639D">
        <w:trPr>
          <w:trHeight w:val="132"/>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minimum 200 pomiarów</w:t>
            </w:r>
          </w:p>
        </w:tc>
        <w:tc>
          <w:tcPr>
            <w:tcW w:w="3792" w:type="dxa"/>
          </w:tcPr>
          <w:p w:rsidR="0078639D" w:rsidRDefault="0078639D">
            <w:pPr>
              <w:spacing w:after="0" w:line="276" w:lineRule="auto"/>
              <w:rPr>
                <w:rFonts w:ascii="Calibri" w:hAnsi="Calibri" w:cs="Calibri"/>
                <w:sz w:val="20"/>
                <w:szCs w:val="20"/>
              </w:rPr>
            </w:pPr>
          </w:p>
        </w:tc>
      </w:tr>
      <w:tr w:rsidR="0078639D">
        <w:trPr>
          <w:trHeight w:val="132"/>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Export danych do poprzez SFTP/HTTPS/USB/PDF</w:t>
            </w:r>
          </w:p>
        </w:tc>
        <w:tc>
          <w:tcPr>
            <w:tcW w:w="3792" w:type="dxa"/>
          </w:tcPr>
          <w:p w:rsidR="0078639D" w:rsidRDefault="0078639D">
            <w:pPr>
              <w:spacing w:after="0" w:line="276" w:lineRule="auto"/>
              <w:rPr>
                <w:rFonts w:ascii="Calibri" w:hAnsi="Calibri" w:cs="Calibri"/>
                <w:sz w:val="20"/>
                <w:szCs w:val="20"/>
              </w:rPr>
            </w:pPr>
          </w:p>
        </w:tc>
      </w:tr>
      <w:tr w:rsidR="0078639D">
        <w:trPr>
          <w:trHeight w:val="101"/>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Interfejs LAN</w:t>
            </w:r>
          </w:p>
        </w:tc>
        <w:tc>
          <w:tcPr>
            <w:tcW w:w="3792" w:type="dxa"/>
          </w:tcPr>
          <w:p w:rsidR="0078639D" w:rsidRDefault="0078639D">
            <w:pPr>
              <w:spacing w:after="0" w:line="276" w:lineRule="auto"/>
              <w:rPr>
                <w:rFonts w:ascii="Calibri" w:hAnsi="Calibri" w:cs="Calibri"/>
                <w:sz w:val="20"/>
                <w:szCs w:val="20"/>
              </w:rPr>
            </w:pPr>
          </w:p>
        </w:tc>
      </w:tr>
      <w:tr w:rsidR="0078639D" w:rsidRPr="00E256B8">
        <w:trPr>
          <w:trHeight w:val="143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Interfejs WiFi:</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Pasma częstotliwości przesyłania 2,401–2,461 GHz 5,180–5,825 GHz</w:t>
            </w:r>
          </w:p>
          <w:p w:rsidR="0078639D" w:rsidRDefault="004945CF">
            <w:pPr>
              <w:pStyle w:val="Akapitzlist"/>
              <w:numPr>
                <w:ilvl w:val="0"/>
                <w:numId w:val="65"/>
              </w:numPr>
              <w:spacing w:line="276" w:lineRule="auto"/>
              <w:contextualSpacing/>
              <w:rPr>
                <w:rFonts w:ascii="Calibri" w:hAnsi="Calibri" w:cs="Calibri"/>
                <w:lang w:val="en-US"/>
              </w:rPr>
            </w:pPr>
            <w:r>
              <w:rPr>
                <w:rFonts w:ascii="Calibri" w:hAnsi="Calibri" w:cs="Calibri"/>
                <w:lang w:val="en-US"/>
              </w:rPr>
              <w:t xml:space="preserve">Interfejsy WLAN 802.11a/b/g/n </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Konfigurowane ręcznie lub za pomocą DHCP</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Otwarty, WPA ,WPA2</w:t>
            </w:r>
          </w:p>
          <w:p w:rsidR="0078639D" w:rsidRDefault="004945CF">
            <w:pPr>
              <w:pStyle w:val="Akapitzlist"/>
              <w:numPr>
                <w:ilvl w:val="0"/>
                <w:numId w:val="65"/>
              </w:numPr>
              <w:spacing w:line="276" w:lineRule="auto"/>
              <w:contextualSpacing/>
              <w:rPr>
                <w:rFonts w:ascii="Calibri" w:hAnsi="Calibri" w:cs="Calibri"/>
                <w:lang w:val="en-US"/>
              </w:rPr>
            </w:pPr>
            <w:r>
              <w:rPr>
                <w:rFonts w:ascii="Calibri" w:hAnsi="Calibri" w:cs="Calibri"/>
                <w:lang w:val="en-US"/>
              </w:rPr>
              <w:t xml:space="preserve"> PSK, PEAP-MSCHAPV2, TTLS-MSCHAPV2</w:t>
            </w:r>
          </w:p>
        </w:tc>
        <w:tc>
          <w:tcPr>
            <w:tcW w:w="3792" w:type="dxa"/>
          </w:tcPr>
          <w:p w:rsidR="0078639D" w:rsidRDefault="0078639D">
            <w:pPr>
              <w:spacing w:after="0" w:line="276" w:lineRule="auto"/>
              <w:rPr>
                <w:rFonts w:ascii="Calibri" w:hAnsi="Calibri" w:cs="Calibri"/>
                <w:sz w:val="20"/>
                <w:szCs w:val="20"/>
                <w:lang w:val="en-US"/>
              </w:rPr>
            </w:pPr>
          </w:p>
        </w:tc>
      </w:tr>
      <w:tr w:rsidR="0078639D">
        <w:trPr>
          <w:trHeight w:val="2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Moduł LTE:</w:t>
            </w:r>
          </w:p>
          <w:p w:rsidR="0078639D" w:rsidRDefault="004945CF">
            <w:pPr>
              <w:pStyle w:val="Akapitzlist"/>
              <w:numPr>
                <w:ilvl w:val="0"/>
                <w:numId w:val="66"/>
              </w:numPr>
              <w:spacing w:line="276" w:lineRule="auto"/>
              <w:contextualSpacing/>
              <w:rPr>
                <w:rFonts w:ascii="Calibri" w:hAnsi="Calibri" w:cs="Calibri"/>
              </w:rPr>
            </w:pPr>
            <w:r>
              <w:rPr>
                <w:rFonts w:ascii="Calibri" w:hAnsi="Calibri" w:cs="Calibri"/>
              </w:rPr>
              <w:t>Obsługa 2G/3G/4G</w:t>
            </w:r>
          </w:p>
          <w:p w:rsidR="0078639D" w:rsidRDefault="004945CF">
            <w:pPr>
              <w:pStyle w:val="Akapitzlist"/>
              <w:numPr>
                <w:ilvl w:val="0"/>
                <w:numId w:val="66"/>
              </w:numPr>
              <w:spacing w:line="276" w:lineRule="auto"/>
              <w:contextualSpacing/>
              <w:rPr>
                <w:rFonts w:ascii="Calibri" w:hAnsi="Calibri" w:cs="Calibri"/>
              </w:rPr>
            </w:pPr>
            <w:r>
              <w:rPr>
                <w:rFonts w:ascii="Calibri" w:hAnsi="Calibri" w:cs="Calibri"/>
              </w:rPr>
              <w:t>Pasma: LTE-FDD:B1/B2/B3/B4/B5/B7/B8/B12/B13/B18/B19/B20/B25/B26/B28,  LTE - TDD: B38/B39/B40/B41, WCDMA: B1/B2/B4/B5/B6/B8/B19, GSM: B2/B3/B5/B8</w:t>
            </w:r>
          </w:p>
        </w:tc>
        <w:tc>
          <w:tcPr>
            <w:tcW w:w="3792" w:type="dxa"/>
          </w:tcPr>
          <w:p w:rsidR="0078639D" w:rsidRDefault="0078639D">
            <w:pPr>
              <w:spacing w:after="0" w:line="276" w:lineRule="auto"/>
              <w:rPr>
                <w:rFonts w:ascii="Calibri" w:hAnsi="Calibri" w:cs="Calibri"/>
                <w:sz w:val="20"/>
                <w:szCs w:val="20"/>
              </w:rPr>
            </w:pPr>
          </w:p>
        </w:tc>
      </w:tr>
      <w:tr w:rsidR="0078639D">
        <w:trPr>
          <w:trHeight w:val="113"/>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podłączenia kabla pacjenta z wymiennymi przewodami elektrod na wypadek uszkodzenia jednego przewodu</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Masa urządzenia ok. 1,5 kg</w:t>
            </w:r>
          </w:p>
        </w:tc>
        <w:tc>
          <w:tcPr>
            <w:tcW w:w="3792" w:type="dxa"/>
          </w:tcPr>
          <w:p w:rsidR="0078639D" w:rsidRDefault="0078639D">
            <w:pPr>
              <w:spacing w:after="0" w:line="276" w:lineRule="auto"/>
              <w:rPr>
                <w:rFonts w:ascii="Calibri" w:hAnsi="Calibri" w:cs="Calibri"/>
                <w:sz w:val="20"/>
                <w:szCs w:val="20"/>
              </w:rPr>
            </w:pPr>
          </w:p>
        </w:tc>
      </w:tr>
      <w:tr w:rsidR="0078639D">
        <w:trPr>
          <w:trHeight w:val="125"/>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Wymiary max wysokość 65 mm długość 175 mm, szerokość 300 mm</w:t>
            </w:r>
          </w:p>
        </w:tc>
        <w:tc>
          <w:tcPr>
            <w:tcW w:w="3792" w:type="dxa"/>
          </w:tcPr>
          <w:p w:rsidR="0078639D" w:rsidRDefault="0078639D">
            <w:pPr>
              <w:spacing w:after="0" w:line="276" w:lineRule="auto"/>
              <w:rPr>
                <w:rFonts w:ascii="Calibri" w:hAnsi="Calibri" w:cs="Calibri"/>
                <w:sz w:val="20"/>
                <w:szCs w:val="20"/>
              </w:rPr>
            </w:pPr>
          </w:p>
        </w:tc>
      </w:tr>
      <w:tr w:rsidR="0078639D">
        <w:trPr>
          <w:trHeight w:val="18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wyposażone w minimum 1 port USB 2.0 dostarczający prąd o natężeniu 0,5 A</w:t>
            </w:r>
          </w:p>
        </w:tc>
        <w:tc>
          <w:tcPr>
            <w:tcW w:w="3792" w:type="dxa"/>
          </w:tcPr>
          <w:p w:rsidR="0078639D" w:rsidRDefault="0078639D">
            <w:pPr>
              <w:spacing w:after="0" w:line="276" w:lineRule="auto"/>
              <w:rPr>
                <w:rFonts w:ascii="Calibri" w:hAnsi="Calibri" w:cs="Calibri"/>
                <w:sz w:val="20"/>
                <w:szCs w:val="20"/>
              </w:rPr>
            </w:pPr>
          </w:p>
        </w:tc>
      </w:tr>
      <w:tr w:rsidR="0078639D">
        <w:trPr>
          <w:trHeight w:val="101"/>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o zapytań ADT standardzie HL7</w:t>
            </w:r>
          </w:p>
        </w:tc>
        <w:tc>
          <w:tcPr>
            <w:tcW w:w="3792" w:type="dxa"/>
          </w:tcPr>
          <w:p w:rsidR="0078639D" w:rsidRDefault="0078639D">
            <w:pPr>
              <w:spacing w:after="0" w:line="276" w:lineRule="auto"/>
              <w:rPr>
                <w:rFonts w:ascii="Calibri" w:hAnsi="Calibri" w:cs="Calibri"/>
                <w:sz w:val="20"/>
                <w:szCs w:val="20"/>
              </w:rPr>
            </w:pPr>
          </w:p>
        </w:tc>
      </w:tr>
      <w:tr w:rsidR="0078639D">
        <w:trPr>
          <w:trHeight w:val="180"/>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podłączenia czytnika kodów kreskowych do skanowania danych pacjentów</w:t>
            </w:r>
          </w:p>
        </w:tc>
        <w:tc>
          <w:tcPr>
            <w:tcW w:w="3792" w:type="dxa"/>
          </w:tcPr>
          <w:p w:rsidR="0078639D" w:rsidRDefault="0078639D">
            <w:pPr>
              <w:spacing w:after="0" w:line="276" w:lineRule="auto"/>
              <w:rPr>
                <w:rFonts w:ascii="Calibri" w:hAnsi="Calibri" w:cs="Calibri"/>
                <w:sz w:val="20"/>
                <w:szCs w:val="20"/>
              </w:rPr>
            </w:pPr>
          </w:p>
        </w:tc>
      </w:tr>
      <w:tr w:rsidR="0078639D">
        <w:trPr>
          <w:trHeight w:val="648"/>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48.</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92" w:type="dxa"/>
          </w:tcPr>
          <w:p w:rsidR="0078639D" w:rsidRDefault="0078639D">
            <w:pPr>
              <w:spacing w:after="0" w:line="276" w:lineRule="auto"/>
              <w:rPr>
                <w:rFonts w:ascii="Calibri" w:hAnsi="Calibri" w:cs="Calibri"/>
                <w:sz w:val="20"/>
                <w:szCs w:val="20"/>
              </w:rPr>
            </w:pPr>
          </w:p>
        </w:tc>
      </w:tr>
      <w:tr w:rsidR="0078639D">
        <w:trPr>
          <w:trHeight w:val="8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2" w:type="dxa"/>
          </w:tcPr>
          <w:p w:rsidR="0078639D" w:rsidRDefault="0078639D">
            <w:pPr>
              <w:spacing w:after="0" w:line="276" w:lineRule="auto"/>
              <w:rPr>
                <w:rFonts w:ascii="Calibri" w:hAnsi="Calibri" w:cs="Calibri"/>
                <w:sz w:val="20"/>
                <w:szCs w:val="20"/>
              </w:rPr>
            </w:pPr>
          </w:p>
        </w:tc>
      </w:tr>
      <w:tr w:rsidR="0078639D">
        <w:trPr>
          <w:trHeight w:val="144"/>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92" w:type="dxa"/>
          </w:tcPr>
          <w:p w:rsidR="0078639D" w:rsidRDefault="0078639D">
            <w:pPr>
              <w:spacing w:after="0" w:line="276" w:lineRule="auto"/>
              <w:rPr>
                <w:rFonts w:ascii="Calibri" w:hAnsi="Calibri" w:cs="Calibri"/>
                <w:sz w:val="20"/>
                <w:szCs w:val="20"/>
              </w:rPr>
            </w:pPr>
          </w:p>
        </w:tc>
      </w:tr>
      <w:tr w:rsidR="0078639D">
        <w:trPr>
          <w:trHeight w:val="132"/>
        </w:trPr>
        <w:tc>
          <w:tcPr>
            <w:tcW w:w="530"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606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c>
          <w:tcPr>
            <w:tcW w:w="3792" w:type="dxa"/>
          </w:tcPr>
          <w:p w:rsidR="0078639D" w:rsidRDefault="0078639D">
            <w:pPr>
              <w:spacing w:after="0" w:line="276" w:lineRule="auto"/>
              <w:rPr>
                <w:rFonts w:ascii="Calibri" w:hAnsi="Calibri" w:cs="Calibri"/>
                <w:sz w:val="20"/>
                <w:szCs w:val="20"/>
              </w:rPr>
            </w:pPr>
          </w:p>
        </w:tc>
      </w:tr>
    </w:tbl>
    <w:p w:rsidR="0078639D" w:rsidRDefault="0078639D">
      <w:pPr>
        <w:spacing w:line="276" w:lineRule="auto"/>
        <w:contextualSpacing/>
        <w:rPr>
          <w:rFonts w:ascii="Calibri" w:hAnsi="Calibri" w:cs="Calibri"/>
          <w:b/>
        </w:rPr>
      </w:pPr>
    </w:p>
    <w:p w:rsidR="0078639D" w:rsidRDefault="004945CF">
      <w:pPr>
        <w:spacing w:after="0"/>
        <w:outlineLvl w:val="0"/>
        <w:rPr>
          <w:b/>
        </w:rPr>
      </w:pPr>
      <w:r>
        <w:rPr>
          <w:b/>
        </w:rPr>
        <w:t xml:space="preserve">Pakiet 2 Pompa infuzyjna </w:t>
      </w:r>
    </w:p>
    <w:tbl>
      <w:tblPr>
        <w:tblStyle w:val="Tabela-Siatka"/>
        <w:tblW w:w="10368" w:type="dxa"/>
        <w:tblInd w:w="113" w:type="dxa"/>
        <w:tblLayout w:type="fixed"/>
        <w:tblLook w:val="04A0"/>
      </w:tblPr>
      <w:tblGrid>
        <w:gridCol w:w="533"/>
        <w:gridCol w:w="6054"/>
        <w:gridCol w:w="3781"/>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 rok</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Pompa strzykawkowa sterowana elektronicznie przeznaczona do stosowania u dorosłych, dzieci i noworodków do tymczasowego lub ciągłego podawania roztworów pozajelitowych i dojelitowych za pośrednictwem standardowych, medycznych dróg dostępu. Do tych dróg należą m.in.: droga dożylna, dotętnicza, podskórna, zewnątrzoponowa i dojelitowa.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Zasilanie 230V 50 Hz, bezpośrednio z sieci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Waga pompy gotowej do użycia 2,3 kg</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Stopień ochrony min. IP34</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Kolorowy wyświetlacz czytelny pod kątem 80 stopni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Wbudowany uchwyt do mocowania pompy do stojaków infuzyjnych, oraz szyn poziomych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uchwyt do przenoszenia pompy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łączenia pomp w moduły bez użycia stacji dokującej</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Strzykawka mocowana od przodu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Pełne programowanie pompy za pomocą fizycznej klawiatury nawigacyjnej (symbolicznej)</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Menu pompy w języku polskim</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Napęd strzykawki półautomatyczny z zabezpieczeniem przed niekontrolowaną podażą</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zatrzaskowego mocowania i współpracy ze stacją dokującą</w:t>
            </w:r>
          </w:p>
        </w:tc>
        <w:tc>
          <w:tcPr>
            <w:tcW w:w="3781" w:type="dxa"/>
          </w:tcPr>
          <w:p w:rsidR="0078639D" w:rsidRDefault="0078639D">
            <w:pPr>
              <w:spacing w:after="0" w:line="276" w:lineRule="auto"/>
              <w:rPr>
                <w:rFonts w:ascii="Calibri" w:hAnsi="Calibri" w:cs="Calibri"/>
                <w:sz w:val="20"/>
                <w:szCs w:val="20"/>
              </w:rPr>
            </w:pPr>
          </w:p>
        </w:tc>
      </w:tr>
      <w:tr w:rsidR="0078639D">
        <w:trPr>
          <w:trHeight w:val="45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pomiędzy pompą a stacja dokującą za pośrednictwem IrDA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Pompa skalibrowana do pracy ze strzykawkami o objętości min. 5, 10, 20, 30 i 50/60 ml różnych typów oraz różnych producentów, w tym minimum jednego polskiego</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Praca ze strzykawkami 2/3 ml</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Automatyczne rozpoznawanie objętości strzykawki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Dostępne strzykawki i akcesoria do żywienia dojelitowego ze złączem ENFit</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infuzji min. 0,1 do 999,9 ml/h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infuzji w zakresie od 0,01 - 999,99ml/h programowana, co 0,01ml/godz.</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kalkulacja prędkości podaży po wprowadzeniu objętości i czasu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parametrów infuzji min. w jednostkach: mg, mcg, ng, IE, mmol,z uwzględnieniem lub nie masy ciała w odniesieniu do czasu ( np. mg/kg/min; mg/kg/h; mg/kg/24h)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24.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Zmiana prędkości podaży bez przerywania infuzji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automatycznej redukcji bolusa po alarmie ciśnienia okluzji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Wstępnie wybierana objętość w zakresie 0,10 - 9999 ml programowana co 0,01 ml</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Wstępnie wybierany czas w zakresie 00h01min - 99h59min</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bolusa 1-1800 ml/h programowana co 0,01 ml/h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Bolus na żądanie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Bolus programowany z automatyczną kalkulacją prędkości po wprowadzeniu objętości i czasu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podaży bolusa w jednostkach mg, mcg, mmol, mEq oraz jednostkach wagowych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stand-by w zakresie od 1 min do 24 godzin z programowaniem co 1 minutę</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nocny z redukcją intensywności podświetlenia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nocny z możliwość włączenia ręcznego lub zaprogramowania automatycznego przełączania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wprowadzenia do pompy biblioteki leków bezpośrednio z komputera, lub zdalnie poprzez sieć szpitalną z centralnego serwera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Biblioteka zawiera min. 3000 leków, z możliwością podzielenia na 30 kategorii i 15 profili pacjentów</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Każdy lek może występować w 10 stężeniach, oraz być powiązany z limitami miękkimi, z limitami twardymi, jednym z 8 kolorów oraz ciśnieniem okluzji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Ciśnienie okluzji możliwe do ustawienia na min. 9 poziomach w zakresie od 75mmHg do 900mmHg</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Wskaźnik ciśnienia okluzji stale widoczny na wyświetlaczu pompy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akumulator litowo – jonowy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z wbudowanego akumulatora ok. 10 godz. przy przepływie 5 ml/h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ponownego ładowania ok. 3 godz</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 wyświetlaczu widoczna informacja o pozostałym czasie pracy akumulatora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Automatyczne ładowanie akumulatora w pompie podłączonej do zasilania sieciowego</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Pobór mocy w warunkach normalnego użytkowania &lt;2W</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alarmów wizualnych i dźwiękowych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Nazwa leku stale widoczna na wyświetlaczu pompy, również po wystąpieniu alarmu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Natężenie akustycznych sygnałów alarmowych regulowane na 9 poziomach w zakresie od 45 do 75 dB</w:t>
            </w:r>
          </w:p>
        </w:tc>
        <w:tc>
          <w:tcPr>
            <w:tcW w:w="3781" w:type="dxa"/>
          </w:tcPr>
          <w:p w:rsidR="0078639D" w:rsidRDefault="0078639D">
            <w:pPr>
              <w:spacing w:after="0" w:line="276" w:lineRule="auto"/>
              <w:rPr>
                <w:rFonts w:ascii="Calibri" w:hAnsi="Calibri" w:cs="Calibri"/>
                <w:sz w:val="20"/>
                <w:szCs w:val="20"/>
              </w:rPr>
            </w:pP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Historia pracy dostępna z menu pompy, z możliwością zapisania do 1000 zdarzeń</w:t>
            </w:r>
          </w:p>
        </w:tc>
        <w:tc>
          <w:tcPr>
            <w:tcW w:w="3781" w:type="dxa"/>
          </w:tcPr>
          <w:p w:rsidR="0078639D" w:rsidRDefault="0078639D">
            <w:pPr>
              <w:spacing w:after="0" w:line="276" w:lineRule="auto"/>
              <w:rPr>
                <w:rFonts w:ascii="Calibri" w:hAnsi="Calibri" w:cs="Calibri"/>
                <w:sz w:val="20"/>
                <w:szCs w:val="20"/>
              </w:rPr>
            </w:pPr>
          </w:p>
        </w:tc>
      </w:tr>
      <w:tr w:rsidR="0078639D">
        <w:trPr>
          <w:trHeight w:val="89"/>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sz w:val="20"/>
                <w:szCs w:val="20"/>
              </w:rPr>
            </w:pPr>
          </w:p>
        </w:tc>
      </w:tr>
      <w:tr w:rsidR="0078639D">
        <w:trPr>
          <w:trHeight w:val="16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sz w:val="20"/>
                <w:szCs w:val="20"/>
              </w:rPr>
            </w:pP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c>
          <w:tcPr>
            <w:tcW w:w="3781" w:type="dxa"/>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3 </w:t>
      </w:r>
    </w:p>
    <w:p w:rsidR="0078639D" w:rsidRDefault="004945CF">
      <w:pPr>
        <w:spacing w:after="0"/>
        <w:outlineLvl w:val="0"/>
        <w:rPr>
          <w:b/>
        </w:rPr>
      </w:pPr>
      <w:r>
        <w:rPr>
          <w:b/>
        </w:rPr>
        <w:t>1. Holter EKG</w:t>
      </w:r>
    </w:p>
    <w:tbl>
      <w:tblPr>
        <w:tblStyle w:val="Tabela-Siatka"/>
        <w:tblW w:w="10368" w:type="dxa"/>
        <w:tblInd w:w="113" w:type="dxa"/>
        <w:tblLayout w:type="fixed"/>
        <w:tblLook w:val="04A0"/>
      </w:tblPr>
      <w:tblGrid>
        <w:gridCol w:w="533"/>
        <w:gridCol w:w="6054"/>
        <w:gridCol w:w="3781"/>
      </w:tblGrid>
      <w:tr w:rsidR="0078639D">
        <w:trPr>
          <w:trHeight w:val="144"/>
        </w:trPr>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4" w:type="dxa"/>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fabrycznie nowy, rok produkcji nie starszy niż 2025.</w:t>
            </w:r>
          </w:p>
        </w:tc>
        <w:tc>
          <w:tcPr>
            <w:tcW w:w="3781" w:type="dxa"/>
          </w:tcPr>
          <w:p w:rsidR="0078639D" w:rsidRDefault="0078639D">
            <w:pPr>
              <w:spacing w:after="0" w:line="276" w:lineRule="auto"/>
              <w:rPr>
                <w:rFonts w:ascii="Calibri" w:hAnsi="Calibri" w:cs="Calibri"/>
                <w:sz w:val="20"/>
                <w:szCs w:val="20"/>
              </w:rPr>
            </w:pPr>
          </w:p>
        </w:tc>
      </w:tr>
      <w:tr w:rsidR="0078639D">
        <w:trPr>
          <w:trHeight w:val="12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Rejestracja z 3 kanałów ekg z 3 odprowadzeń</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Zapis min 7 dni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Detekcja stymulatorów serca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Wbudowana dioda sygnalizacyjna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interfejs USB 2.0</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Wbudowana nieulotna pamięć flash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poprzez Bluetooth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Podgląd zapisu EKG bezpośrednio na ekranie komputera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z jednej baterii AAA lub AA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rejestratora max 60 gram</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zapisu 12bit</w:t>
            </w:r>
          </w:p>
        </w:tc>
        <w:tc>
          <w:tcPr>
            <w:tcW w:w="3781" w:type="dxa"/>
          </w:tcPr>
          <w:p w:rsidR="0078639D" w:rsidRDefault="0078639D">
            <w:pPr>
              <w:spacing w:after="0" w:line="276" w:lineRule="auto"/>
              <w:rPr>
                <w:rFonts w:ascii="Calibri" w:hAnsi="Calibri" w:cs="Calibri"/>
                <w:sz w:val="20"/>
                <w:szCs w:val="20"/>
              </w:rPr>
            </w:pP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4" w:type="dxa"/>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Rejestrator w standardzie IP43</w:t>
            </w:r>
          </w:p>
        </w:tc>
        <w:tc>
          <w:tcPr>
            <w:tcW w:w="3781" w:type="dxa"/>
          </w:tcPr>
          <w:p w:rsidR="0078639D" w:rsidRDefault="0078639D">
            <w:pPr>
              <w:spacing w:after="0" w:line="276" w:lineRule="auto"/>
              <w:rPr>
                <w:rFonts w:ascii="Calibri" w:hAnsi="Calibri" w:cs="Calibri"/>
                <w:sz w:val="20"/>
                <w:szCs w:val="20"/>
              </w:rPr>
            </w:pPr>
          </w:p>
        </w:tc>
      </w:tr>
      <w:tr w:rsidR="0078639D">
        <w:trPr>
          <w:trHeight w:val="8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sz w:val="20"/>
                <w:szCs w:val="20"/>
              </w:rPr>
            </w:pP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sz w:val="20"/>
                <w:szCs w:val="20"/>
              </w:rPr>
            </w:pP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81" w:type="dxa"/>
          </w:tcPr>
          <w:p w:rsidR="0078639D" w:rsidRDefault="0078639D">
            <w:pPr>
              <w:spacing w:after="0" w:line="276" w:lineRule="auto"/>
              <w:rPr>
                <w:rFonts w:ascii="Calibri" w:hAnsi="Calibri" w:cs="Calibri"/>
                <w:sz w:val="20"/>
                <w:szCs w:val="20"/>
              </w:rPr>
            </w:pPr>
          </w:p>
        </w:tc>
      </w:tr>
      <w:tr w:rsidR="0078639D">
        <w:trPr>
          <w:trHeight w:val="7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c>
          <w:tcPr>
            <w:tcW w:w="3781" w:type="dxa"/>
          </w:tcPr>
          <w:p w:rsidR="0078639D" w:rsidRDefault="0078639D">
            <w:pPr>
              <w:spacing w:after="0" w:line="276" w:lineRule="auto"/>
              <w:rPr>
                <w:rFonts w:ascii="Calibri" w:hAnsi="Calibri" w:cs="Calibri"/>
                <w:sz w:val="20"/>
                <w:szCs w:val="20"/>
              </w:rPr>
            </w:pPr>
          </w:p>
        </w:tc>
      </w:tr>
      <w:tr w:rsidR="0078639D">
        <w:trPr>
          <w:trHeight w:val="120"/>
        </w:trPr>
        <w:tc>
          <w:tcPr>
            <w:tcW w:w="10368" w:type="dxa"/>
            <w:gridSpan w:val="3"/>
            <w:tcBorders>
              <w:top w:val="nil"/>
              <w:left w:val="nil"/>
              <w:right w:val="nil"/>
            </w:tcBorders>
            <w:vAlign w:val="center"/>
          </w:tcPr>
          <w:p w:rsidR="0078639D" w:rsidRDefault="0078639D">
            <w:pPr>
              <w:spacing w:after="0" w:line="276" w:lineRule="auto"/>
              <w:jc w:val="center"/>
              <w:rPr>
                <w:rFonts w:ascii="Calibri" w:hAnsi="Calibri" w:cs="Calibri"/>
                <w:b/>
                <w:sz w:val="20"/>
                <w:szCs w:val="20"/>
              </w:rPr>
            </w:pPr>
          </w:p>
          <w:p w:rsidR="0078639D" w:rsidRDefault="004945CF">
            <w:pPr>
              <w:spacing w:after="0" w:line="276" w:lineRule="auto"/>
              <w:rPr>
                <w:rFonts w:cstheme="minorHAnsi"/>
              </w:rPr>
            </w:pPr>
            <w:r>
              <w:rPr>
                <w:rFonts w:eastAsia="Times New Roman" w:cstheme="minorHAnsi"/>
                <w:b/>
                <w:sz w:val="20"/>
              </w:rPr>
              <w:t>2. Oprogramowanie do holtera EKG</w:t>
            </w:r>
          </w:p>
        </w:tc>
      </w:tr>
      <w:tr w:rsidR="0078639D">
        <w:trPr>
          <w:trHeight w:val="96"/>
        </w:trPr>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rPr>
          <w:trHeight w:val="9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Oprogramowanie analizatora EKG w języku polskim.</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Zgodność oprogramowania z systemem Windows 10/11 PL.</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Wielostanowiskowa praca systemu na min. 3 stanowiskach równocześnie.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analiza i klasyfikacja form QRS.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Karta danych pacjenta posiadająca minimum: imię i nazwisko pacjenta, id pacjenta, nr Tel. Nr ubezpieczenia, adres, płeć, rodzaj stymulatora serca, skierowanie, wskazania, uwagi, data urodzenia.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(analizator) zabezpieczony hasłem oraz możliwością tworzenia kont użytkowników oraz nadawania praw i roli pracy w systemie.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Konfigurowalne ustawienia algorytmu analizy dla granice tachykardii  SV, granice tachykardio V, granica wykrywania bradykardii, granica wykrywania Pauzy, % przedwczesności dla SV, procent przedwczesności dla V, czas refrakcji.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analiz jakości sygnału wraz z proponowanym przez system wyborem kanału do analizy.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Wstępna analiza zapisy z automatycznym wyświetleniem części zapisu i proponowanymi ustawieniami parametrów algorytmu do danego zapisu z możliwością korekty czasu analizy wstępnej.</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rozpoznawania artefaktów z automatycznym wyłączaniem ich z analizy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Możliwość ustawienia minimum trzech trybów czułości algorytmu </w:t>
            </w:r>
            <w:r>
              <w:rPr>
                <w:rFonts w:ascii="Calibri" w:eastAsia="Times New Roman" w:hAnsi="Calibri" w:cs="Calibri"/>
                <w:sz w:val="20"/>
                <w:szCs w:val="20"/>
              </w:rPr>
              <w:lastRenderedPageBreak/>
              <w:t>(większa czułość – więcej klas).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rytmu z podziałem na 2 niezależne wykresy wartości, rytm średni, rytm najszybszy krótki, rytm najwolniejszy krótki.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wielokrotnego powiększenia trendu rytmu w celu znalezienie największych wychyleń wartości szczytowych.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oznaczenia artefaktów z wizualizacją na wykresie np. kołowym z podaniem wartości o zakresie czasu trwania artefaktów w zapisie oraz ich % udziale.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super impozycji, do szybkiej oceny spójności klas, możliwość podziału klas bezpośrednio w trybie super impozycji z wizualnym zaznaczeniem wydzielanej klasy.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Trendy średniego odstępu RR, bezwzględnej różnicy RR, różnic RR &gt;50ms.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Wielobarwny trend rytmu serca z jednoczesnym zsynchronizowanym podglądem aktualnego zapisu EKG oraz możliwością zmiany amplitudy oraz widokiem znaczników pacjenta poprzez nałożenie markerów.</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Przyporządkowane klawisze funkcyjne na klawiaturze komputera do obsługi analizy arytmii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powiększenia dla ekranu kontekstu EKG pomiędzy wartościami 6,25 mm/s, 12,5 mm/s, 25 mm/s, 50 mm/s i 100 mm/s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Skalowanie amplitudy sygnału na ekranie kontekstu EKG  z możliwością przełączania pomiędzy wartościami 0,5 mv/cm i 1 mv/cm.</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edycji poszczególnych uderzeń lub całych klas.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Informacja o każdej klasie pobudzeń zawierająca min. cechę klasy, udział zespołów Udział zespołów QRS przypisanych do tej klasy w całkowitej liczbie, Liczba zespołów QRS w tej klasie, numer klasy.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zmierzenia czasu trwania odcinków EKG oraz amplitud interesujących pobudzeń poprzez nałożenie markera pomiarowego bezpośrednio na zapis EKG</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inwertowania dowolnego kanału.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Ekran zdarzeń gdzie operator ma bezpośredni podgląd zapisu EKG wraz z informacjami: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Numer zdarzenia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Wielkość prezentacji osi czasowej</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Wielkość prezentacji osi napięcia wzmocnienia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Wskazanie, czy aktualne zdarzenie zostało zaznaczone do druku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Aktualna średnia częstość akcji serca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Oznaczenie aktualnego zdarzenia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Długość epizodu VTach lub SVTach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Okno pokazujące najbliższe otoczenie analizowanego zespołu QRS.</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Maksymalne i minimalne odchylenia ST z możliwością korekty punktów pomiarowych.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zmierzenia czasu trwania odcinków EKG oraz amplitud interesujących uderzeń.</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Klasyfikacja zdarzeń (m.in. R na T, tachykardia komorowa, tachykardia nadkomorowa, bradykardia, bigeminia, salwa, triplet, para, pauza, arytmia, dodatkowy skurcz nadkomorowy).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oznaczenia wybranych zdarzeń do druku.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Przegląd przebiegu czasowego częstości akcji serca ze wskazaniem wartości minimalnej i maksymalnej.</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powiększania i pomniejszania wykresu częstości rytmu serc.</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wstawienia często stosowanych wyrażeń w raporcie jako modułów tekstu.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Przegląd EKG (cały zapis) z kolorystycznym wyróżnieniem zdarzeń komorowych i nadkomorowych.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usunięcia zapisów EKG przed dokonaniem analizy (np. artefakty).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Generowanie raportów.</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Drukowanie z możliwością podania przedziału czasowego do wydruku.</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Drukowanie z możliwością zaznaczenia/odznaczenia danych:</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Raport</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Przegląd analizy</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Oznaczone zdarzenia</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Dane statystyczne: tabela cogodzinnych zdarzeń,  histogram zdarzeń, wykresy częstości rytmu serca i odcinki ST, minimalna/maksymalna częstość rytmu serca, analiza funkcji stymulatora.</w:t>
            </w:r>
          </w:p>
        </w:tc>
        <w:tc>
          <w:tcPr>
            <w:tcW w:w="3781" w:type="dxa"/>
          </w:tcPr>
          <w:p w:rsidR="0078639D" w:rsidRDefault="0078639D">
            <w:pPr>
              <w:spacing w:after="0" w:line="276" w:lineRule="auto"/>
              <w:rPr>
                <w:rFonts w:ascii="Calibri" w:hAnsi="Calibri" w:cs="Calibri"/>
                <w:sz w:val="20"/>
                <w:szCs w:val="20"/>
              </w:rPr>
            </w:pPr>
          </w:p>
        </w:tc>
      </w:tr>
      <w:tr w:rsidR="0078639D">
        <w:trPr>
          <w:trHeight w:val="182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o dodatkowe funkcje:</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oddychania (wykrywanie i klasyfikacja nocnych przerw w oddychaniu na podstawie zmian impedancji transtorakalnej, informacja na temat obecności lub stopnia ciężkości zaburzeń oddychania podczas snu),</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Alternans załamka T,</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Późne potencjały,</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HRT,</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PQ.</w:t>
            </w:r>
          </w:p>
        </w:tc>
        <w:tc>
          <w:tcPr>
            <w:tcW w:w="3781" w:type="dxa"/>
          </w:tcPr>
          <w:p w:rsidR="0078639D" w:rsidRDefault="0078639D">
            <w:pPr>
              <w:spacing w:after="0" w:line="276" w:lineRule="auto"/>
              <w:rPr>
                <w:rFonts w:ascii="Calibri" w:hAnsi="Calibri" w:cs="Calibri"/>
                <w:sz w:val="20"/>
                <w:szCs w:val="20"/>
              </w:rPr>
            </w:pPr>
          </w:p>
        </w:tc>
      </w:tr>
      <w:tr w:rsidR="0078639D">
        <w:trPr>
          <w:trHeight w:val="57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sz w:val="20"/>
                <w:szCs w:val="20"/>
              </w:rPr>
            </w:pP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sz w:val="20"/>
                <w:szCs w:val="20"/>
              </w:rPr>
            </w:pPr>
          </w:p>
        </w:tc>
      </w:tr>
      <w:tr w:rsidR="0078639D">
        <w:trPr>
          <w:trHeight w:val="125"/>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81" w:type="dxa"/>
          </w:tcPr>
          <w:p w:rsidR="0078639D" w:rsidRDefault="0078639D">
            <w:pPr>
              <w:spacing w:after="0" w:line="276" w:lineRule="auto"/>
              <w:rPr>
                <w:rFonts w:ascii="Calibri" w:hAnsi="Calibri" w:cs="Calibri"/>
                <w:sz w:val="20"/>
                <w:szCs w:val="20"/>
              </w:rPr>
            </w:pPr>
          </w:p>
        </w:tc>
      </w:tr>
      <w:tr w:rsidR="0078639D">
        <w:trPr>
          <w:trHeight w:val="113"/>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c>
          <w:tcPr>
            <w:tcW w:w="3781" w:type="dxa"/>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3. Holter RR </w:t>
      </w:r>
    </w:p>
    <w:tbl>
      <w:tblPr>
        <w:tblStyle w:val="Tabela-Siatka"/>
        <w:tblW w:w="10386" w:type="dxa"/>
        <w:tblInd w:w="113" w:type="dxa"/>
        <w:tblLayout w:type="fixed"/>
        <w:tblLook w:val="04A0"/>
      </w:tblPr>
      <w:tblGrid>
        <w:gridCol w:w="532"/>
        <w:gridCol w:w="6055"/>
        <w:gridCol w:w="3799"/>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99"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5" w:type="dxa"/>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fabrycznie nowy, rok produkcji nie starszy niż 2025.</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mierzonego ciśnienia minimum:</w:t>
            </w:r>
            <w:r>
              <w:rPr>
                <w:rFonts w:ascii="Calibri" w:eastAsia="Times New Roman" w:hAnsi="Calibri" w:cs="Calibri"/>
                <w:sz w:val="20"/>
                <w:szCs w:val="20"/>
              </w:rPr>
              <w:br/>
              <w:t>- skurczowe 60 - 260 mmHg</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rozkurczowe 40 – 220 mmHg </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mierzonego rytmu serca minimum 35-240/min</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Okres pomiaru minimum 30 godzin lub 200 pomiarów.</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Wyposażony w kabel połączeniowy z komputerem PC, możliwość transmisji między komputerem a rejestratorem za pomocą dwóch interfejsów, RS232 oraz USB (dwa interfejsy wbudowane w rejestrator).</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max. 2 baterie typu AA lub max. 2 akumulatory typu AA.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czyszczenia pamięci rejestratora bez używania oprogramowania.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 wyboru min. 3 protokoły pomiaru z uwzględnieniem fazy doby (dzień, noc) programowane bez używania oprogramowania.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9.</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zaprogramowania protokołu pomiaru z podziałem na min. 4 etapy godzinowe z użyciem oprogramowania.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zaprogramowania protokołu bez użycia oprogramowania. Wybór min. 3 protokołów:</w:t>
            </w:r>
          </w:p>
          <w:p w:rsidR="0078639D" w:rsidRDefault="004945CF">
            <w:pPr>
              <w:numPr>
                <w:ilvl w:val="0"/>
                <w:numId w:val="69"/>
              </w:numPr>
              <w:spacing w:after="0" w:line="276" w:lineRule="auto"/>
              <w:rPr>
                <w:rFonts w:ascii="Calibri" w:hAnsi="Calibri" w:cs="Calibri"/>
                <w:sz w:val="20"/>
                <w:szCs w:val="20"/>
              </w:rPr>
            </w:pPr>
            <w:r>
              <w:rPr>
                <w:rFonts w:ascii="Calibri" w:eastAsia="Times New Roman" w:hAnsi="Calibri" w:cs="Calibri"/>
                <w:sz w:val="20"/>
                <w:szCs w:val="20"/>
              </w:rPr>
              <w:t>Faza dzienna co 15 minut, faza nocna co 30 minut</w:t>
            </w:r>
          </w:p>
          <w:p w:rsidR="0078639D" w:rsidRDefault="004945CF">
            <w:pPr>
              <w:numPr>
                <w:ilvl w:val="0"/>
                <w:numId w:val="69"/>
              </w:numPr>
              <w:spacing w:after="0" w:line="276" w:lineRule="auto"/>
              <w:rPr>
                <w:rFonts w:ascii="Calibri" w:hAnsi="Calibri" w:cs="Calibri"/>
                <w:sz w:val="20"/>
                <w:szCs w:val="20"/>
              </w:rPr>
            </w:pPr>
            <w:r>
              <w:rPr>
                <w:rFonts w:ascii="Calibri" w:eastAsia="Times New Roman" w:hAnsi="Calibri" w:cs="Calibri"/>
                <w:sz w:val="20"/>
                <w:szCs w:val="20"/>
              </w:rPr>
              <w:t>Faza dzienna co 20 minut, faza nocna co 40 minut</w:t>
            </w:r>
          </w:p>
          <w:p w:rsidR="0078639D" w:rsidRDefault="004945CF">
            <w:pPr>
              <w:numPr>
                <w:ilvl w:val="0"/>
                <w:numId w:val="69"/>
              </w:numPr>
              <w:spacing w:after="0" w:line="276" w:lineRule="auto"/>
              <w:rPr>
                <w:rFonts w:ascii="Calibri" w:hAnsi="Calibri" w:cs="Calibri"/>
                <w:sz w:val="20"/>
                <w:szCs w:val="20"/>
              </w:rPr>
            </w:pPr>
            <w:r>
              <w:rPr>
                <w:rFonts w:ascii="Calibri" w:eastAsia="Times New Roman" w:hAnsi="Calibri" w:cs="Calibri"/>
                <w:sz w:val="20"/>
                <w:szCs w:val="20"/>
              </w:rPr>
              <w:t>Faza dzienna co 30 minut, faza nocna co 60 minut</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Gdzie faza dzienna to godziny 7:00-22:00, a faza nocna 22:00-7:00.</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Wymiary urządzenia max: (wys. x szer. x gł.) 100 x 85 x 30mm</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urządzenia z akumulatorami max 200g</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Ukryty włącznik/wyłącznik rejestratora pod klapką baterii w celu wyeliminowania przypadkowego wyłączenia podczas rejestracji.</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Obsługa maksymalnie dwuprzyciskowa.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Wyświetlacz pokazujący godzinę w trakcie trwania rejestracji, z możliwością podglądu ostatnio wykonanego pomiaru (ciśnienie skurczowe, rozkurczowe, częstość pracy serca).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ręcznego uruchomienia dodatkowego pomiaru przez pacjenta, poza automatycznie zaprogramowaną sekwencją.</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natychmiastowego wypompowania mankietu w sytuacji awaryjnej.</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Wyświetlanie informacji o zaprogramowanym protokole. </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Wyświetlanie informacji na wyświetlaczu o istniejącym w pamięci rejestratora pomiarze.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Sygnał dźwiękowy umożliwiający poinformowanie pacjenta o rozpoczęciu pomiaru.</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Na wyposażeniu: </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mankiet dla dorosłych (</w:t>
            </w:r>
            <w:r>
              <w:rPr>
                <w:rFonts w:ascii="Calibri" w:eastAsia="Times New Roman" w:hAnsi="Calibri" w:cs="Calibri"/>
                <w:bCs/>
                <w:sz w:val="20"/>
                <w:szCs w:val="20"/>
              </w:rPr>
              <w:t xml:space="preserve">dla osób o obwodzie ramienia 24-32cm, </w:t>
            </w:r>
            <w:r>
              <w:rPr>
                <w:rFonts w:ascii="Calibri" w:eastAsia="Times New Roman" w:hAnsi="Calibri" w:cs="Calibri"/>
                <w:sz w:val="20"/>
                <w:szCs w:val="20"/>
              </w:rPr>
              <w:t xml:space="preserve">14cm szerokości), </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 xml:space="preserve">ładowarka do akumulatorów, </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 xml:space="preserve">akumulatory AA, </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 xml:space="preserve">etui z pasem, </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walizka transportowa,</w:t>
            </w:r>
          </w:p>
          <w:p w:rsidR="0078639D" w:rsidRDefault="004945CF">
            <w:pPr>
              <w:numPr>
                <w:ilvl w:val="0"/>
                <w:numId w:val="70"/>
              </w:numPr>
              <w:spacing w:after="0" w:line="276" w:lineRule="auto"/>
              <w:rPr>
                <w:rFonts w:ascii="Calibri" w:hAnsi="Calibri" w:cs="Calibri"/>
                <w:sz w:val="20"/>
                <w:szCs w:val="20"/>
              </w:rPr>
            </w:pPr>
            <w:r>
              <w:rPr>
                <w:rFonts w:ascii="Calibri" w:eastAsia="Times New Roman" w:hAnsi="Calibri" w:cs="Calibri"/>
                <w:sz w:val="20"/>
                <w:szCs w:val="20"/>
              </w:rPr>
              <w:t>instrukcja obsługi w języku polskim</w:t>
            </w:r>
          </w:p>
        </w:tc>
        <w:tc>
          <w:tcPr>
            <w:tcW w:w="3799" w:type="dxa"/>
          </w:tcPr>
          <w:p w:rsidR="0078639D" w:rsidRDefault="0078639D">
            <w:pPr>
              <w:spacing w:after="0" w:line="276" w:lineRule="auto"/>
              <w:rPr>
                <w:rFonts w:ascii="Calibri" w:hAnsi="Calibri" w:cs="Calibri"/>
                <w:sz w:val="20"/>
                <w:szCs w:val="20"/>
              </w:rPr>
            </w:pPr>
          </w:p>
        </w:tc>
      </w:tr>
      <w:tr w:rsidR="0078639D">
        <w:tc>
          <w:tcPr>
            <w:tcW w:w="10386" w:type="dxa"/>
            <w:gridSpan w:val="3"/>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OPROGRAMOWANIE</w:t>
            </w: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 podłączeniu rejestratora do komputera możliwość podglądu zaprogramowanego protokołu oraz podglądu czy w rejestratorze znajdują się dane pomiarowe.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opracowania indywidualnego protokołu z podziałem na min. 4 fazy (wybierane przez użytkownika) w przeciągu doby.</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określenia/zmian przedziałów godzinowych:</w:t>
            </w:r>
          </w:p>
          <w:p w:rsidR="0078639D" w:rsidRDefault="004945CF">
            <w:pPr>
              <w:numPr>
                <w:ilvl w:val="0"/>
                <w:numId w:val="71"/>
              </w:numPr>
              <w:spacing w:after="0" w:line="276" w:lineRule="auto"/>
              <w:rPr>
                <w:rFonts w:ascii="Calibri" w:hAnsi="Calibri" w:cs="Calibri"/>
                <w:sz w:val="20"/>
                <w:szCs w:val="20"/>
              </w:rPr>
            </w:pPr>
            <w:r>
              <w:rPr>
                <w:rFonts w:ascii="Calibri" w:eastAsia="Times New Roman" w:hAnsi="Calibri" w:cs="Calibri"/>
                <w:sz w:val="20"/>
                <w:szCs w:val="20"/>
              </w:rPr>
              <w:t>Dzienne,</w:t>
            </w:r>
          </w:p>
          <w:p w:rsidR="0078639D" w:rsidRDefault="004945CF">
            <w:pPr>
              <w:numPr>
                <w:ilvl w:val="0"/>
                <w:numId w:val="71"/>
              </w:numPr>
              <w:spacing w:after="0" w:line="276" w:lineRule="auto"/>
              <w:rPr>
                <w:rFonts w:ascii="Calibri" w:hAnsi="Calibri" w:cs="Calibri"/>
                <w:sz w:val="20"/>
                <w:szCs w:val="20"/>
              </w:rPr>
            </w:pPr>
            <w:r>
              <w:rPr>
                <w:rFonts w:ascii="Calibri" w:eastAsia="Times New Roman" w:hAnsi="Calibri" w:cs="Calibri"/>
                <w:sz w:val="20"/>
                <w:szCs w:val="20"/>
              </w:rPr>
              <w:t>Nocne,</w:t>
            </w:r>
          </w:p>
          <w:p w:rsidR="0078639D" w:rsidRDefault="004945CF">
            <w:pPr>
              <w:numPr>
                <w:ilvl w:val="0"/>
                <w:numId w:val="71"/>
              </w:numPr>
              <w:spacing w:after="0" w:line="276" w:lineRule="auto"/>
              <w:rPr>
                <w:rFonts w:ascii="Calibri" w:hAnsi="Calibri" w:cs="Calibri"/>
                <w:sz w:val="20"/>
                <w:szCs w:val="20"/>
              </w:rPr>
            </w:pPr>
            <w:r>
              <w:rPr>
                <w:rFonts w:ascii="Calibri" w:eastAsia="Times New Roman" w:hAnsi="Calibri" w:cs="Calibri"/>
                <w:sz w:val="20"/>
                <w:szCs w:val="20"/>
              </w:rPr>
              <w:t>Przebudzenia.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Osobne statystyki dotyczące godzin dziennych, nocnych i przebudzenia.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Oprogramowanie umożliwiające analizę danych: trendy godzinowe, średnie.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ręcznego wykluczenia błędnych pomiarów z analizy.</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wpisywania komentarzy do poszczególnych pomiarów.</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Zestawienia graficzne i tabelaryczne.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Wyraźne oznakowanie pomiarów wykonywanych automatycznie wg zaprogramowanego protokołu oraz pomiarów wykonywanych ręcznie.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edycji danych o pacjencie.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Wpisywanie danych o personelu medycznym.</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Wpisywanie danych o lekach pobieranych przez pacjenta (min. 5 pozycji).</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generowania i edytowania opisu badania.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bazy danych standardowych opisów diagnostycznych, np. prawidłowy profil ciśnienia, neuropatia cukrzycowa itp.</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Drukowanie raportów z możliwość dołączenia/wykluczenia z raportu następujących danych:</w:t>
            </w:r>
          </w:p>
          <w:p w:rsidR="0078639D" w:rsidRDefault="004945CF">
            <w:pPr>
              <w:numPr>
                <w:ilvl w:val="0"/>
                <w:numId w:val="72"/>
              </w:numPr>
              <w:spacing w:after="0" w:line="276" w:lineRule="auto"/>
              <w:rPr>
                <w:rFonts w:ascii="Calibri" w:hAnsi="Calibri" w:cs="Calibri"/>
                <w:sz w:val="20"/>
                <w:szCs w:val="20"/>
              </w:rPr>
            </w:pPr>
            <w:r>
              <w:rPr>
                <w:rFonts w:ascii="Calibri" w:eastAsia="Times New Roman" w:hAnsi="Calibri" w:cs="Calibri"/>
                <w:sz w:val="20"/>
                <w:szCs w:val="20"/>
              </w:rPr>
              <w:t>Prezentacja tabelaryczna,</w:t>
            </w:r>
          </w:p>
          <w:p w:rsidR="0078639D" w:rsidRDefault="004945CF">
            <w:pPr>
              <w:numPr>
                <w:ilvl w:val="0"/>
                <w:numId w:val="72"/>
              </w:numPr>
              <w:spacing w:after="0" w:line="276" w:lineRule="auto"/>
              <w:rPr>
                <w:rFonts w:ascii="Calibri" w:hAnsi="Calibri" w:cs="Calibri"/>
                <w:sz w:val="20"/>
                <w:szCs w:val="20"/>
              </w:rPr>
            </w:pPr>
            <w:r>
              <w:rPr>
                <w:rFonts w:ascii="Calibri" w:eastAsia="Times New Roman" w:hAnsi="Calibri" w:cs="Calibri"/>
                <w:sz w:val="20"/>
                <w:szCs w:val="20"/>
              </w:rPr>
              <w:t>Średnie godzinowe,</w:t>
            </w:r>
          </w:p>
          <w:p w:rsidR="0078639D" w:rsidRDefault="004945CF">
            <w:pPr>
              <w:numPr>
                <w:ilvl w:val="0"/>
                <w:numId w:val="72"/>
              </w:numPr>
              <w:spacing w:after="0" w:line="276" w:lineRule="auto"/>
              <w:rPr>
                <w:rFonts w:ascii="Calibri" w:hAnsi="Calibri" w:cs="Calibri"/>
                <w:sz w:val="20"/>
                <w:szCs w:val="20"/>
              </w:rPr>
            </w:pPr>
            <w:r>
              <w:rPr>
                <w:rFonts w:ascii="Calibri" w:eastAsia="Times New Roman" w:hAnsi="Calibri" w:cs="Calibri"/>
                <w:sz w:val="20"/>
                <w:szCs w:val="20"/>
              </w:rPr>
              <w:t>Podsumowanie statystyk,</w:t>
            </w:r>
          </w:p>
          <w:p w:rsidR="0078639D" w:rsidRDefault="004945CF">
            <w:pPr>
              <w:numPr>
                <w:ilvl w:val="0"/>
                <w:numId w:val="72"/>
              </w:numPr>
              <w:spacing w:after="0" w:line="276" w:lineRule="auto"/>
              <w:rPr>
                <w:rFonts w:ascii="Calibri" w:hAnsi="Calibri" w:cs="Calibri"/>
                <w:sz w:val="20"/>
                <w:szCs w:val="20"/>
              </w:rPr>
            </w:pPr>
            <w:r>
              <w:rPr>
                <w:rFonts w:ascii="Calibri" w:eastAsia="Times New Roman" w:hAnsi="Calibri" w:cs="Calibri"/>
                <w:sz w:val="20"/>
                <w:szCs w:val="20"/>
              </w:rPr>
              <w:t>Fazy.</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Raport końcowy zawierający następujące informacje:</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Łączny czas rejestracji,</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Średnia ciśnienia z 24 godzin,</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Średnia ciśnienia z godzin dziennych/nocnych,</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Różnica ciśnień pomiędzy godzinami dziennymi i nocnymi,</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Ilość ważnych pomiarów,</w:t>
            </w:r>
          </w:p>
          <w:p w:rsidR="0078639D" w:rsidRDefault="004945CF">
            <w:pPr>
              <w:numPr>
                <w:ilvl w:val="0"/>
                <w:numId w:val="73"/>
              </w:numPr>
              <w:spacing w:after="0" w:line="276" w:lineRule="auto"/>
              <w:rPr>
                <w:rFonts w:ascii="Calibri" w:hAnsi="Calibri" w:cs="Calibri"/>
                <w:sz w:val="20"/>
                <w:szCs w:val="20"/>
              </w:rPr>
            </w:pPr>
            <w:r>
              <w:rPr>
                <w:rFonts w:ascii="Calibri" w:eastAsia="Times New Roman" w:hAnsi="Calibri" w:cs="Calibri"/>
                <w:sz w:val="20"/>
                <w:szCs w:val="20"/>
              </w:rPr>
              <w:t>Procentowa ilość pomiarów przekraczających ustalone normy ciśnienia.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Baza danych pacjentów.</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zobaczenia wyników poprzedniego badania pacjenta.</w:t>
            </w:r>
          </w:p>
        </w:tc>
        <w:tc>
          <w:tcPr>
            <w:tcW w:w="3799" w:type="dxa"/>
          </w:tcPr>
          <w:p w:rsidR="0078639D" w:rsidRDefault="0078639D">
            <w:pPr>
              <w:spacing w:after="0" w:line="276" w:lineRule="auto"/>
              <w:rPr>
                <w:rFonts w:ascii="Calibri" w:hAnsi="Calibri" w:cs="Calibri"/>
                <w:sz w:val="20"/>
                <w:szCs w:val="20"/>
              </w:rPr>
            </w:pPr>
          </w:p>
        </w:tc>
      </w:tr>
      <w:tr w:rsidR="0078639D">
        <w:trPr>
          <w:trHeight w:val="38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oprogramowania o wykonywanie prób wysiłkowych i badań spoczynkowych EKG.</w:t>
            </w:r>
          </w:p>
        </w:tc>
        <w:tc>
          <w:tcPr>
            <w:tcW w:w="3799" w:type="dxa"/>
          </w:tcPr>
          <w:p w:rsidR="0078639D" w:rsidRDefault="0078639D">
            <w:pPr>
              <w:spacing w:after="0" w:line="276" w:lineRule="auto"/>
              <w:rPr>
                <w:rFonts w:ascii="Calibri" w:hAnsi="Calibri" w:cs="Calibri"/>
                <w:sz w:val="20"/>
                <w:szCs w:val="20"/>
              </w:rPr>
            </w:pPr>
          </w:p>
        </w:tc>
      </w:tr>
      <w:tr w:rsidR="0078639D">
        <w:trPr>
          <w:trHeight w:val="576"/>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99" w:type="dxa"/>
          </w:tcPr>
          <w:p w:rsidR="0078639D" w:rsidRDefault="0078639D">
            <w:pPr>
              <w:spacing w:after="0" w:line="276" w:lineRule="auto"/>
              <w:rPr>
                <w:rFonts w:ascii="Calibri" w:hAnsi="Calibri" w:cs="Calibri"/>
                <w:sz w:val="20"/>
                <w:szCs w:val="20"/>
              </w:rPr>
            </w:pPr>
          </w:p>
        </w:tc>
      </w:tr>
      <w:tr w:rsidR="0078639D">
        <w:trPr>
          <w:trHeight w:val="14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sz w:val="20"/>
                <w:szCs w:val="20"/>
              </w:rPr>
            </w:pPr>
          </w:p>
        </w:tc>
      </w:tr>
      <w:tr w:rsidR="0078639D">
        <w:trPr>
          <w:trHeight w:val="101"/>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99" w:type="dxa"/>
          </w:tcPr>
          <w:p w:rsidR="0078639D" w:rsidRDefault="0078639D">
            <w:pPr>
              <w:spacing w:after="0" w:line="276" w:lineRule="auto"/>
              <w:rPr>
                <w:rFonts w:ascii="Calibri" w:hAnsi="Calibri" w:cs="Calibri"/>
                <w:sz w:val="20"/>
                <w:szCs w:val="20"/>
              </w:rPr>
            </w:pPr>
          </w:p>
        </w:tc>
      </w:tr>
      <w:tr w:rsidR="0078639D">
        <w:trPr>
          <w:trHeight w:val="168"/>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c>
          <w:tcPr>
            <w:tcW w:w="3799" w:type="dxa"/>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rPr>
          <w:b/>
        </w:rPr>
      </w:pPr>
      <w:r>
        <w:rPr>
          <w:b/>
        </w:rPr>
        <w:t>Pakiet 4 Ultrasonograf</w:t>
      </w:r>
    </w:p>
    <w:tbl>
      <w:tblPr>
        <w:tblStyle w:val="Tabela-Siatka"/>
        <w:tblW w:w="10386" w:type="dxa"/>
        <w:tblInd w:w="113" w:type="dxa"/>
        <w:tblLayout w:type="fixed"/>
        <w:tblLook w:val="04A0"/>
      </w:tblPr>
      <w:tblGrid>
        <w:gridCol w:w="531"/>
        <w:gridCol w:w="6056"/>
        <w:gridCol w:w="3799"/>
      </w:tblGrid>
      <w:tr w:rsidR="0078639D">
        <w:trPr>
          <w:trHeight w:val="144"/>
        </w:trPr>
        <w:tc>
          <w:tcPr>
            <w:tcW w:w="6587" w:type="dxa"/>
            <w:gridSpan w:val="2"/>
            <w:shd w:val="clear" w:color="auto" w:fill="FFC000"/>
            <w:vAlign w:val="center"/>
          </w:tcPr>
          <w:p w:rsidR="0078639D" w:rsidRDefault="004945CF">
            <w:pPr>
              <w:spacing w:after="0" w:line="276" w:lineRule="auto"/>
              <w:jc w:val="center"/>
              <w:rPr>
                <w:rFonts w:ascii="Calibri" w:hAnsi="Calibri" w:cs="Calibri"/>
                <w:color w:val="363437"/>
                <w:sz w:val="20"/>
                <w:szCs w:val="20"/>
              </w:rPr>
            </w:pPr>
            <w:r>
              <w:rPr>
                <w:rFonts w:ascii="Calibri" w:eastAsia="Times New Roman" w:hAnsi="Calibri" w:cs="Calibri"/>
                <w:b/>
                <w:sz w:val="20"/>
              </w:rPr>
              <w:t>Parametr wymagany</w:t>
            </w:r>
          </w:p>
        </w:tc>
        <w:tc>
          <w:tcPr>
            <w:tcW w:w="3799" w:type="dxa"/>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rPr>
          <w:trHeight w:val="14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fabrycznie nowy, rok produkcji nie starszy niż 2025.</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Nowoczesny stacjonarny aparat ultrasonograficzny o wysokiej ergonomii z układem jezdnym umożliwiającym łatwe przemieszczanie - Ilość skrętnych kół z blokadą: 4,  oraz zintegrowanym systemem archiwizacji danych wyposażony w dysk SSD.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Autoryzacja producenta ultrasonografu dla dostawcy na dystrybucję oraz serwis dostarczonego ultrasonografu min. 5 lat.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Panel sterowania z możliwością obrotu oraz motorową regulacją wysokości i fizyczną klawiaturą alfanumeryczną:</w:t>
            </w:r>
          </w:p>
          <w:p w:rsidR="0078639D" w:rsidRDefault="004945CF">
            <w:pPr>
              <w:pStyle w:val="Akapitzlist"/>
              <w:numPr>
                <w:ilvl w:val="0"/>
                <w:numId w:val="74"/>
              </w:numPr>
              <w:spacing w:line="276" w:lineRule="auto"/>
              <w:contextualSpacing/>
              <w:rPr>
                <w:rFonts w:ascii="Calibri" w:eastAsia="GulimChe" w:hAnsi="Calibri" w:cs="Calibri"/>
              </w:rPr>
            </w:pPr>
            <w:r>
              <w:rPr>
                <w:rFonts w:ascii="Calibri" w:eastAsia="GulimChe" w:hAnsi="Calibri" w:cs="Calibri"/>
              </w:rPr>
              <w:t>Obrót o kąt: min. 60º (+/- 30 stopni)</w:t>
            </w:r>
          </w:p>
          <w:p w:rsidR="0078639D" w:rsidRDefault="004945CF">
            <w:pPr>
              <w:pStyle w:val="Akapitzlist"/>
              <w:numPr>
                <w:ilvl w:val="0"/>
                <w:numId w:val="74"/>
              </w:numPr>
              <w:spacing w:line="276" w:lineRule="auto"/>
              <w:contextualSpacing/>
              <w:rPr>
                <w:rFonts w:ascii="Calibri" w:hAnsi="Calibri" w:cs="Calibri"/>
                <w:b/>
              </w:rPr>
            </w:pPr>
            <w:r>
              <w:rPr>
                <w:rFonts w:ascii="Calibri" w:eastAsia="GulimChe" w:hAnsi="Calibri" w:cs="Calibri"/>
              </w:rPr>
              <w:t>Regulacja wysokości pulpitu w zakresie min.: 160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Tradycyjne (nie cyfrowe na ekranie dotykowym) suwaki TGC do regulacji wzmocnienia w zależności od głębokości obrazowania.</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Czas uruchamiania aparatu do stanu gotowości do badania max. 80 sekund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Monitor IPS LED, wysokiej rozdzielczości, kolorowy:</w:t>
            </w:r>
          </w:p>
          <w:p w:rsidR="0078639D" w:rsidRDefault="004945CF">
            <w:pPr>
              <w:pStyle w:val="Akapitzlist"/>
              <w:numPr>
                <w:ilvl w:val="0"/>
                <w:numId w:val="75"/>
              </w:numPr>
              <w:spacing w:line="276" w:lineRule="auto"/>
              <w:contextualSpacing/>
              <w:rPr>
                <w:rFonts w:ascii="Calibri" w:eastAsia="GulimChe" w:hAnsi="Calibri" w:cs="Calibri"/>
              </w:rPr>
            </w:pPr>
            <w:r>
              <w:rPr>
                <w:rFonts w:ascii="Calibri" w:eastAsia="GulimChe" w:hAnsi="Calibri" w:cs="Calibri"/>
              </w:rPr>
              <w:t>Przekątna min.  23,5”</w:t>
            </w:r>
          </w:p>
          <w:p w:rsidR="0078639D" w:rsidRDefault="004945CF">
            <w:pPr>
              <w:pStyle w:val="Akapitzlist"/>
              <w:numPr>
                <w:ilvl w:val="0"/>
                <w:numId w:val="75"/>
              </w:numPr>
              <w:spacing w:line="276" w:lineRule="auto"/>
              <w:contextualSpacing/>
              <w:rPr>
                <w:rFonts w:ascii="Calibri" w:hAnsi="Calibri" w:cs="Calibri"/>
                <w:b/>
              </w:rPr>
            </w:pPr>
            <w:r>
              <w:rPr>
                <w:rFonts w:ascii="Calibri" w:eastAsia="GulimChe" w:hAnsi="Calibri" w:cs="Calibri"/>
              </w:rPr>
              <w:t>rozdzielczość min. 1920 x 1080</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Możliwość regulacji wielkości okna diagnostycznego.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 StandBy (SLEEP) umożliwiający szybkie uruchomienie (wybudzenie) aparatu:  Czas wybudzenia: max 10 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Dotykowy panel LED do obsługi ultrasonografu z regulacją pochylenia:</w:t>
            </w:r>
          </w:p>
          <w:p w:rsidR="0078639D" w:rsidRDefault="004945CF">
            <w:pPr>
              <w:pStyle w:val="Akapitzlist"/>
              <w:numPr>
                <w:ilvl w:val="0"/>
                <w:numId w:val="76"/>
              </w:numPr>
              <w:spacing w:line="276" w:lineRule="auto"/>
              <w:contextualSpacing/>
              <w:rPr>
                <w:rFonts w:ascii="Calibri" w:eastAsia="GulimChe" w:hAnsi="Calibri" w:cs="Calibri"/>
              </w:rPr>
            </w:pPr>
            <w:r>
              <w:rPr>
                <w:rFonts w:ascii="Calibri" w:eastAsia="GulimChe" w:hAnsi="Calibri" w:cs="Calibri"/>
              </w:rPr>
              <w:t>Przekątna min. 12’’</w:t>
            </w:r>
          </w:p>
          <w:p w:rsidR="0078639D" w:rsidRDefault="004945CF">
            <w:pPr>
              <w:pStyle w:val="Akapitzlist"/>
              <w:numPr>
                <w:ilvl w:val="0"/>
                <w:numId w:val="76"/>
              </w:numPr>
              <w:spacing w:line="276" w:lineRule="auto"/>
              <w:contextualSpacing/>
              <w:rPr>
                <w:rFonts w:ascii="Calibri" w:eastAsia="GulimChe" w:hAnsi="Calibri" w:cs="Calibri"/>
              </w:rPr>
            </w:pPr>
            <w:r>
              <w:rPr>
                <w:rFonts w:ascii="Calibri" w:eastAsia="GulimChe" w:hAnsi="Calibri" w:cs="Calibri"/>
              </w:rPr>
              <w:t>rozdzielczość min. 1280 x 800</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Ilość niezależnych aktywnych kanałów przetwarzania: min. 50 000 000</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Fizyczna ilość niezależnych aktywnych kanałów nadawczych TX: min. 192</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funkcji przypisanych do klawiszy funkcyjnych aparatu: min. 10 programowalnych klawiszy.</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6"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Zintegrowany – wbudowany, podgrzewacz żelu z możliwością regulacji temperatury.</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System z cyfrowym układem formowania wiązki ultradźwiękowej: min. 14 bit ADC</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częstotliwości pracy głowic możliwych do podłączenie: min. 1-25 MHz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wartość dynamiki w trybie B – mode: min. 310 dB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Bezpinowe złącza głowic.</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Ilość niezależnych aktywnych gniazd do jednoczesnego podłączenia głowic obrazowych: min. 5</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 xml:space="preserve">Maksymalna częstotliwość odświeżania obrazu „frame rate” dla trybu B (obrazów/sekundę): </w:t>
            </w:r>
            <w:r>
              <w:rPr>
                <w:rFonts w:ascii="Calibri" w:eastAsia="GulimChe" w:hAnsi="Calibri" w:cs="Calibri"/>
                <w:sz w:val="20"/>
                <w:szCs w:val="20"/>
              </w:rPr>
              <w:t>min. 2800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CD (obrazów/sekundę): </w:t>
            </w:r>
            <w:r>
              <w:rPr>
                <w:rFonts w:ascii="Calibri" w:eastAsia="GulimChe" w:hAnsi="Calibri" w:cs="Calibri"/>
                <w:sz w:val="20"/>
                <w:szCs w:val="20"/>
              </w:rPr>
              <w:t>min. 500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Maksymalna częstotliwość odświeżania obrazu „frame rate” dla trybu PW (obrazów/sekundę): m</w:t>
            </w:r>
            <w:r>
              <w:rPr>
                <w:rFonts w:ascii="Calibri" w:eastAsia="GulimChe" w:hAnsi="Calibri" w:cs="Calibri"/>
                <w:sz w:val="20"/>
                <w:szCs w:val="20"/>
              </w:rPr>
              <w:t>in. 280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Color Doppler (CD): min. 4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Pulsacyjny (PWD): min. 7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Ciągły (CW): min. 30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6"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Maks. wartość częstotliwości PRF dla Dopplera Kolorowego (CD): min. 18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Pulsacyjnego (PWD): min. 30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Ciągłego (CW): min. 75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regulacji kąta korekcji w trybie Dopplera Spektralnego (PWD): min. +/- 89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wielkości bramki Dopplerowskiej w trybie Dopplera pulsacyjnego (PWD): min. 0,2 - 25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głębokość obrazowania aparatu: min. 41 cm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Liczba obrazów pamięci dynamicznej (CINE MEMORY): min. 60000 obrazów w trybie 2D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Tryby pracy aparatu:</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2D (B-mode),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lastRenderedPageBreak/>
              <w:t>Anatomiczny 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Color Doppler (CD),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Power Doppler (PD),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 xml:space="preserve">Tkankowy Doppler (TDI), </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Kierunkowy Power Doppler (DPD),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Spektralny Doppler Pulsacyjny (PWD),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Ciągły Doppler (CW),</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TRIPLEX,</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DUPLEX.</w:t>
            </w:r>
          </w:p>
          <w:p w:rsidR="0078639D" w:rsidRDefault="004945CF">
            <w:pPr>
              <w:pStyle w:val="Akapitzlist"/>
              <w:numPr>
                <w:ilvl w:val="0"/>
                <w:numId w:val="49"/>
              </w:numPr>
              <w:spacing w:line="276" w:lineRule="auto"/>
              <w:contextualSpacing/>
              <w:rPr>
                <w:rFonts w:ascii="Calibri" w:eastAsia="GulimChe" w:hAnsi="Calibri" w:cs="Calibri"/>
              </w:rPr>
            </w:pPr>
            <w:r>
              <w:rPr>
                <w:rFonts w:ascii="Calibri" w:eastAsia="GulimChe" w:hAnsi="Calibri" w:cs="Calibri"/>
              </w:rPr>
              <w:t>Tryb Fullscreen umożliwiający wyświetlanie obrazu na pełnym ekranie zarówno w czasie rzeczywistym jak i po zamrożeniu.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8 częstotliwości bazowych dla trybu B - Mode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4 częstotliwości bazowe dla trybu CD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w:t>
            </w:r>
            <w:r>
              <w:rPr>
                <w:rFonts w:ascii="Calibri" w:eastAsia="Calibri" w:hAnsi="Calibri" w:cs="Calibri"/>
                <w:sz w:val="20"/>
                <w:szCs w:val="20"/>
              </w:rPr>
              <w:t>utomatyczny pomiar frakcji wyrzutowej EF.</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z ultrasonografem moduł EKG.</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6" w:type="dxa"/>
            <w:vAlign w:val="center"/>
          </w:tcPr>
          <w:p w:rsidR="0078639D" w:rsidRDefault="004945CF">
            <w:pPr>
              <w:spacing w:after="0" w:line="276" w:lineRule="auto"/>
              <w:rPr>
                <w:rFonts w:ascii="Calibri" w:eastAsia="GulimChe" w:hAnsi="Calibri" w:cs="Calibri"/>
                <w:sz w:val="20"/>
                <w:szCs w:val="20"/>
              </w:rPr>
            </w:pPr>
            <w:bookmarkStart w:id="70" w:name="OLE_LINK2"/>
            <w:bookmarkStart w:id="71" w:name="OLE_LINK1"/>
            <w:r>
              <w:rPr>
                <w:rFonts w:ascii="Calibri" w:eastAsia="GulimChe" w:hAnsi="Calibri" w:cs="Calibri"/>
                <w:sz w:val="20"/>
                <w:szCs w:val="20"/>
              </w:rPr>
              <w:t xml:space="preserve">Specjalny tryb </w:t>
            </w:r>
            <w:bookmarkEnd w:id="70"/>
            <w:bookmarkEnd w:id="71"/>
            <w:r>
              <w:rPr>
                <w:rFonts w:ascii="Calibri" w:eastAsia="GulimChe" w:hAnsi="Calibri" w:cs="Calibri"/>
                <w:sz w:val="20"/>
                <w:szCs w:val="20"/>
              </w:rPr>
              <w:t>obrazowania dedykowany do mikroprzepływów tzw. Mikrowaskularyzacja inny niż tryb Color i Power Doppler.</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Specjalny tryb obrazowania dedykowany do mikroprzepływów tzw. Mikrowaskularyzacja inny niż tryb Color i Power Doppler.</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Calibri" w:hAnsi="Calibri" w:cs="Calibri"/>
                <w:sz w:val="20"/>
                <w:szCs w:val="20"/>
              </w:rPr>
              <w:t>Obrazowanie 3D przepływów w Color lub Power Dopplerze do wyboru.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6" w:type="dxa"/>
            <w:vAlign w:val="center"/>
          </w:tcPr>
          <w:p w:rsidR="0078639D" w:rsidRDefault="004945CF">
            <w:pPr>
              <w:spacing w:after="0" w:line="276" w:lineRule="auto"/>
              <w:rPr>
                <w:rFonts w:ascii="Calibri" w:eastAsia="Calibri" w:hAnsi="Calibri" w:cs="Calibri"/>
                <w:sz w:val="20"/>
                <w:szCs w:val="20"/>
              </w:rPr>
            </w:pPr>
            <w:r>
              <w:rPr>
                <w:rFonts w:ascii="Calibri" w:eastAsia="GulimChe" w:hAnsi="Calibri" w:cs="Calibri"/>
                <w:sz w:val="20"/>
                <w:szCs w:val="20"/>
              </w:rPr>
              <w:t>Funkcja automatycznej optymalizacji obrazu oraz trybów Dopplerowskich przy użyciu jednego przycisku.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krzyżowe Spatial Compound/Cross Beam na głowicach: convex, liniowa, endowaginalna, Microconvex działające w trybie 2D oraz trybach dopplerowskich. Ustawienia indeksu.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typu MR wygładzające obraz tzw. SonoMR lub jego ekwiwalent o analogicznej funkcjonalności. Możliwość regulacji stopnia udziału algorytmu: min. 5 stopni ustawień.</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ilość ognisk głowicy pracujących jednocześnie: min. 3</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Zoom dla obrazów na żywo: </w:t>
            </w:r>
            <w:r>
              <w:rPr>
                <w:rFonts w:ascii="Calibri" w:eastAsia="Times New Roman" w:hAnsi="Calibri" w:cs="Calibri"/>
                <w:sz w:val="20"/>
                <w:szCs w:val="20"/>
              </w:rPr>
              <w:t>min. 40 krotny.</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Oprogramowanie pomiarowe wraz z raportami z badań (dla każdego pakietu, z możliwością edycji):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Piersi,</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Naczyniowe,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Kardiologiczne,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Ortopedyczne,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Tarczycy, </w:t>
            </w:r>
          </w:p>
          <w:p w:rsidR="0078639D" w:rsidRDefault="004945CF">
            <w:pPr>
              <w:numPr>
                <w:ilvl w:val="0"/>
                <w:numId w:val="27"/>
              </w:numPr>
              <w:tabs>
                <w:tab w:val="left" w:pos="0"/>
              </w:tabs>
              <w:spacing w:after="0" w:line="276" w:lineRule="auto"/>
              <w:ind w:left="720"/>
              <w:rPr>
                <w:rFonts w:ascii="Calibri" w:hAnsi="Calibri" w:cs="Calibri"/>
                <w:sz w:val="20"/>
                <w:szCs w:val="20"/>
              </w:rPr>
            </w:pPr>
            <w:r>
              <w:rPr>
                <w:rFonts w:ascii="Calibri" w:eastAsia="GulimChe" w:hAnsi="Calibri" w:cs="Calibri"/>
                <w:sz w:val="20"/>
                <w:szCs w:val="20"/>
              </w:rPr>
              <w:t>Jąder</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Położniczych,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Ginekologicznych,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Urologicznych,</w:t>
            </w:r>
          </w:p>
          <w:p w:rsidR="0078639D" w:rsidRDefault="004945CF">
            <w:pPr>
              <w:pStyle w:val="Akapitzlist"/>
              <w:numPr>
                <w:ilvl w:val="0"/>
                <w:numId w:val="27"/>
              </w:numPr>
              <w:tabs>
                <w:tab w:val="left" w:pos="0"/>
              </w:tabs>
              <w:spacing w:line="276" w:lineRule="auto"/>
              <w:ind w:left="720"/>
              <w:contextualSpacing/>
              <w:rPr>
                <w:rFonts w:ascii="Calibri" w:eastAsia="GulimChe" w:hAnsi="Calibri" w:cs="Calibri"/>
              </w:rPr>
            </w:pPr>
            <w:r>
              <w:rPr>
                <w:rFonts w:ascii="Calibri" w:eastAsia="GulimChe" w:hAnsi="Calibri" w:cs="Calibri"/>
              </w:rPr>
              <w:t>Jamy brzusznej.</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Automatyczne pomiary prędkości przepływów.</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Pomiary odległości, pola powierzchni, objętości, obrysu.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(wbudowany w aparat) system archiwizacji pacjentów i obrazów z portami USB na przedniej ścianie aparatu. Możliwość nagrywania badań na żywo na PENDRIVE (pamięć USB).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ultrasonograficzny umożliwiający zapis badań na nośnikach typu PENDRIVE w trybie Real-Time Recording.</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Wbudowany dysk twardy typu SSD: min. 1TB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Możliwość zapisu obrazów oraz sekwencji filmowych na dysk twardy </w:t>
            </w:r>
            <w:r>
              <w:rPr>
                <w:rFonts w:ascii="Calibri" w:eastAsia="GulimChe" w:hAnsi="Calibri" w:cs="Calibri"/>
                <w:sz w:val="20"/>
                <w:szCs w:val="20"/>
              </w:rPr>
              <w:lastRenderedPageBreak/>
              <w:t>oraz płyty CD, DVD, pamięci PEN w formatach BMP, JPG, TIFF, MPEG, AVI.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Wyjście (output) sygnałów: HDMI, VGA.</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Wbudowana karta sieciowa Ethernet 10/100 Mbps.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Porty USB w standardzie 3.0: min. 4</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Głowica liniowa do badań naczyniowych, małych narządów wykonaną w technologii monokryształu tzw. Pure Wave lub Single Crystal:</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min. Ilość elementów: 192</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 xml:space="preserve">min. zakres częstotliwości: 3 – 19 MHz </w:t>
            </w:r>
          </w:p>
          <w:p w:rsidR="0078639D" w:rsidRDefault="004945CF">
            <w:pPr>
              <w:pStyle w:val="Akapitzlist"/>
              <w:numPr>
                <w:ilvl w:val="0"/>
                <w:numId w:val="77"/>
              </w:numPr>
              <w:spacing w:line="276" w:lineRule="auto"/>
              <w:contextualSpacing/>
              <w:rPr>
                <w:rFonts w:ascii="Calibri" w:eastAsia="GulimChe" w:hAnsi="Calibri" w:cs="Calibri"/>
              </w:rPr>
            </w:pPr>
            <w:r>
              <w:rPr>
                <w:rFonts w:ascii="Calibri" w:hAnsi="Calibri" w:cs="Calibri"/>
              </w:rPr>
              <w:t>max. szerokość czoła głowicy 45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głowice liniową wysokoczęstotliwościowa dedykowana do powierzchownej diagnostyki:</w:t>
            </w:r>
          </w:p>
          <w:p w:rsidR="0078639D" w:rsidRDefault="004945CF">
            <w:pPr>
              <w:numPr>
                <w:ilvl w:val="0"/>
                <w:numId w:val="78"/>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78"/>
              </w:numPr>
              <w:spacing w:after="0" w:line="276" w:lineRule="auto"/>
              <w:rPr>
                <w:rFonts w:ascii="Calibri" w:hAnsi="Calibri" w:cs="Calibri"/>
                <w:sz w:val="20"/>
                <w:szCs w:val="20"/>
              </w:rPr>
            </w:pPr>
            <w:r>
              <w:rPr>
                <w:rFonts w:ascii="Calibri" w:eastAsia="GulimChe" w:hAnsi="Calibri" w:cs="Calibri"/>
                <w:sz w:val="20"/>
                <w:szCs w:val="20"/>
              </w:rPr>
              <w:t xml:space="preserve">min. zakres częstotliwości: 10 – 25 MHz </w:t>
            </w:r>
          </w:p>
          <w:p w:rsidR="0078639D" w:rsidRDefault="004945CF">
            <w:pPr>
              <w:pStyle w:val="Akapitzlist"/>
              <w:numPr>
                <w:ilvl w:val="0"/>
                <w:numId w:val="78"/>
              </w:numPr>
              <w:spacing w:line="276" w:lineRule="auto"/>
              <w:contextualSpacing/>
              <w:rPr>
                <w:rFonts w:ascii="Calibri" w:eastAsia="GulimChe" w:hAnsi="Calibri" w:cs="Calibri"/>
              </w:rPr>
            </w:pPr>
            <w:r>
              <w:rPr>
                <w:rFonts w:ascii="Calibri" w:hAnsi="Calibri" w:cs="Calibri"/>
              </w:rPr>
              <w:t>max. szerokość czoła głowicy: 35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Głowica sektorowa do diagnostyki kardiologicznej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80</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1 – 5 MHz </w:t>
            </w:r>
          </w:p>
          <w:p w:rsidR="0078639D" w:rsidRDefault="004945CF">
            <w:pPr>
              <w:pStyle w:val="Akapitzlist"/>
              <w:numPr>
                <w:ilvl w:val="0"/>
                <w:numId w:val="79"/>
              </w:numPr>
              <w:spacing w:line="276" w:lineRule="auto"/>
              <w:contextualSpacing/>
              <w:rPr>
                <w:rFonts w:ascii="Calibri" w:eastAsia="GulimChe" w:hAnsi="Calibri" w:cs="Calibri"/>
              </w:rPr>
            </w:pPr>
            <w:r>
              <w:rPr>
                <w:rFonts w:ascii="Calibri" w:hAnsi="Calibri" w:cs="Calibri"/>
              </w:rPr>
              <w:t>min. pole widzenia głowicy: 90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głowicę sektorowa do diagnostyki pediatrycznej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64</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3 – 8 MHz </w:t>
            </w:r>
          </w:p>
          <w:p w:rsidR="0078639D" w:rsidRDefault="004945CF">
            <w:pPr>
              <w:pStyle w:val="Akapitzlist"/>
              <w:numPr>
                <w:ilvl w:val="0"/>
                <w:numId w:val="53"/>
              </w:numPr>
              <w:spacing w:line="276" w:lineRule="auto"/>
              <w:contextualSpacing/>
              <w:rPr>
                <w:rFonts w:ascii="Calibri" w:eastAsia="GulimChe" w:hAnsi="Calibri" w:cs="Calibri"/>
              </w:rPr>
            </w:pPr>
            <w:r>
              <w:rPr>
                <w:rFonts w:ascii="Calibri" w:hAnsi="Calibri" w:cs="Calibri"/>
              </w:rPr>
              <w:t>min. pole widzenia głowicy: 90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głowice convex do badań jamy brzusznej wykonaną w technologii monokryształu tzw. Pure Wave lub Single Crystal:</w:t>
            </w:r>
          </w:p>
          <w:p w:rsidR="0078639D" w:rsidRDefault="004945CF">
            <w:pPr>
              <w:pStyle w:val="Akapitzlist"/>
              <w:numPr>
                <w:ilvl w:val="0"/>
                <w:numId w:val="52"/>
              </w:numPr>
              <w:tabs>
                <w:tab w:val="left" w:pos="816"/>
              </w:tabs>
              <w:spacing w:line="276" w:lineRule="auto"/>
              <w:contextualSpacing/>
              <w:rPr>
                <w:rFonts w:ascii="Calibri" w:eastAsia="GulimChe" w:hAnsi="Calibri" w:cs="Calibri"/>
              </w:rPr>
            </w:pPr>
            <w:r>
              <w:rPr>
                <w:rFonts w:ascii="Calibri" w:eastAsia="GulimChe" w:hAnsi="Calibri" w:cs="Calibri"/>
              </w:rPr>
              <w:t>min. Ilość elementów: 192</w:t>
            </w:r>
          </w:p>
          <w:p w:rsidR="0078639D" w:rsidRDefault="004945CF">
            <w:pPr>
              <w:pStyle w:val="Akapitzlist"/>
              <w:numPr>
                <w:ilvl w:val="0"/>
                <w:numId w:val="52"/>
              </w:numPr>
              <w:spacing w:line="276" w:lineRule="auto"/>
              <w:contextualSpacing/>
              <w:rPr>
                <w:rFonts w:ascii="Calibri" w:eastAsia="GulimChe" w:hAnsi="Calibri" w:cs="Calibri"/>
              </w:rPr>
            </w:pPr>
            <w:r>
              <w:rPr>
                <w:rFonts w:ascii="Calibri" w:eastAsia="GulimChe" w:hAnsi="Calibri" w:cs="Calibri"/>
              </w:rPr>
              <w:t>min. Zakres częstotliwości: 1 – 7 MHz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głowicę microconvex dedykowana do badań pediatrycznych i neonatologicznych wykonaną w technologii monokryształu tzw. Pure Wave lub Single Crystal:</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 xml:space="preserve">min. zakres częstotliwości: </w:t>
            </w:r>
            <w:r>
              <w:rPr>
                <w:rFonts w:ascii="Calibri" w:eastAsia="Times New Roman" w:hAnsi="Calibri" w:cs="Calibri"/>
                <w:sz w:val="20"/>
                <w:szCs w:val="20"/>
              </w:rPr>
              <w:t xml:space="preserve">2 </w:t>
            </w:r>
            <w:r>
              <w:rPr>
                <w:rFonts w:ascii="Calibri" w:eastAsia="GulimChe" w:hAnsi="Calibri" w:cs="Calibri"/>
                <w:sz w:val="20"/>
                <w:szCs w:val="20"/>
              </w:rPr>
              <w:t xml:space="preserve">– 11 MHz </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min. kąt patrzenia głowicy: 100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obrazowanie panoramiczne</w:t>
            </w:r>
            <w:r>
              <w:rPr>
                <w:rFonts w:ascii="Calibri" w:eastAsia="GulimChe" w:hAnsi="Calibri" w:cs="Calibri"/>
                <w:spacing w:val="1"/>
                <w:sz w:val="20"/>
                <w:szCs w:val="20"/>
              </w:rPr>
              <w: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obrazowanie z użyciem środka kontrastującego.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analizy ultradźwięków wzmocnionych kontrastem.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wzmacniające wizualizację igły biopsyjnej</w:t>
            </w:r>
            <w:r>
              <w:rPr>
                <w:rFonts w:ascii="Calibri" w:eastAsia="GulimChe" w:hAnsi="Calibri" w:cs="Calibri"/>
                <w:spacing w:val="1"/>
                <w:sz w:val="20"/>
                <w:szCs w:val="20"/>
              </w:rPr>
              <w: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automatycznego pomiaru kompleksu IMT.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automatycznej oceny żyły głównej dolnej.</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podłużnej z pomiarami Strain Ratio.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poprzecznej Shear Wave punktową.</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poprzecznej Shear Wave mapowaną kolorem.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automatycznego pomiaru stopnia stłuszczenia wątroby.</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obrazowania 3D z tzw. „wolnej ręki”.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w:t>
            </w:r>
            <w:r>
              <w:rPr>
                <w:rFonts w:ascii="Calibri" w:eastAsia="GulimChe" w:hAnsi="Calibri" w:cs="Calibri"/>
                <w:spacing w:val="1"/>
                <w:sz w:val="20"/>
                <w:szCs w:val="20"/>
              </w:rPr>
              <w:t xml:space="preserve"> pakiet obrazowania trójwymiarowego 3D/4D. w tym funkcję zmiany położenia sztucznego źródła światła tzw. HD View, Fetus Realistic View.</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3D/4D, które tworzy unikalny i przezroczysty obraz, uwidaczniający jednocześnie wewnętrzne i zewnętrzne struktury anatomiczne.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zaawansowane oprogramowanie 3D/4D do analizy i edycji uzyskanych projekcji.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automatyczne pomiary biometrii płodu: min. BPD, HC, AC, FL, HL, NT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automatyczne pomiary pęcherzyków w jajnikach.</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Calibri" w:hAnsi="Calibri" w:cs="Calibri"/>
                <w:sz w:val="20"/>
                <w:szCs w:val="20"/>
              </w:rPr>
              <w:t>Możliwość rozbudowy o obrazowanie objętościowe serca płodu tzw. STIC.</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6056" w:type="dxa"/>
            <w:vAlign w:val="center"/>
          </w:tcPr>
          <w:p w:rsidR="0078639D" w:rsidRDefault="004945CF">
            <w:pPr>
              <w:spacing w:after="0" w:line="276" w:lineRule="auto"/>
              <w:rPr>
                <w:rFonts w:ascii="Calibri" w:eastAsia="Calibri" w:hAnsi="Calibri" w:cs="Calibri"/>
                <w:sz w:val="20"/>
                <w:szCs w:val="20"/>
              </w:rPr>
            </w:pPr>
            <w:r>
              <w:rPr>
                <w:rFonts w:ascii="Calibri" w:eastAsia="Calibri" w:hAnsi="Calibri" w:cs="Calibri"/>
                <w:sz w:val="20"/>
                <w:szCs w:val="20"/>
              </w:rPr>
              <w:t>Możliwość rozbudowy o oprogramowanie do wydruku 3D.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6056" w:type="dxa"/>
            <w:vAlign w:val="center"/>
          </w:tcPr>
          <w:p w:rsidR="0078639D" w:rsidRDefault="004945CF">
            <w:pPr>
              <w:spacing w:after="0" w:line="276" w:lineRule="auto"/>
              <w:rPr>
                <w:rFonts w:ascii="Calibri" w:eastAsia="Calibri" w:hAnsi="Calibri" w:cs="Calibri"/>
                <w:sz w:val="20"/>
                <w:szCs w:val="20"/>
              </w:rPr>
            </w:pPr>
            <w:r>
              <w:rPr>
                <w:rFonts w:ascii="Calibri" w:eastAsia="GulimChe" w:hAnsi="Calibri" w:cs="Calibri"/>
                <w:sz w:val="20"/>
                <w:szCs w:val="20"/>
              </w:rPr>
              <w:t>Możliwość rozbudowy o Pakiet DICOM 3.0 (Storage, Worklista, Print, Send).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protokoły BIRADS.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protokoły TIRADS.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Stress Echo.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Strain Echo.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wewnętrzne zintegrowane zasilanie bateryjne.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Drukarka termiczna (video) czarno-biała: Cyfrowy printer</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Zasilanie:</w:t>
            </w:r>
          </w:p>
          <w:p w:rsidR="0078639D" w:rsidRDefault="004945CF">
            <w:pPr>
              <w:pStyle w:val="Akapitzlist"/>
              <w:numPr>
                <w:ilvl w:val="0"/>
                <w:numId w:val="80"/>
              </w:numPr>
              <w:spacing w:line="276" w:lineRule="auto"/>
              <w:contextualSpacing/>
              <w:rPr>
                <w:rFonts w:ascii="Calibri" w:eastAsia="GulimChe" w:hAnsi="Calibri" w:cs="Calibri"/>
              </w:rPr>
            </w:pPr>
            <w:r>
              <w:rPr>
                <w:rFonts w:ascii="Calibri" w:eastAsia="GulimChe" w:hAnsi="Calibri" w:cs="Calibri"/>
              </w:rPr>
              <w:t>200 - 240V</w:t>
            </w:r>
          </w:p>
          <w:p w:rsidR="0078639D" w:rsidRDefault="004945CF">
            <w:pPr>
              <w:pStyle w:val="Akapitzlist"/>
              <w:numPr>
                <w:ilvl w:val="0"/>
                <w:numId w:val="80"/>
              </w:numPr>
              <w:spacing w:line="276" w:lineRule="auto"/>
              <w:contextualSpacing/>
              <w:rPr>
                <w:rFonts w:ascii="Calibri" w:eastAsia="GulimChe" w:hAnsi="Calibri" w:cs="Calibri"/>
              </w:rPr>
            </w:pPr>
            <w:r>
              <w:rPr>
                <w:rFonts w:ascii="Calibri" w:eastAsia="GulimChe" w:hAnsi="Calibri" w:cs="Calibri"/>
              </w:rPr>
              <w:t>50 – 60Hz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Pobór energii: max. 850 VA</w:t>
            </w:r>
          </w:p>
        </w:tc>
        <w:tc>
          <w:tcPr>
            <w:tcW w:w="3799" w:type="dxa"/>
          </w:tcPr>
          <w:p w:rsidR="0078639D" w:rsidRDefault="0078639D">
            <w:pPr>
              <w:spacing w:after="0" w:line="276" w:lineRule="auto"/>
              <w:rPr>
                <w:rFonts w:ascii="Calibri" w:hAnsi="Calibri" w:cs="Calibri"/>
                <w:b/>
                <w:sz w:val="20"/>
                <w:szCs w:val="20"/>
              </w:rPr>
            </w:pPr>
          </w:p>
        </w:tc>
      </w:tr>
      <w:tr w:rsidR="0078639D">
        <w:trPr>
          <w:trHeight w:val="67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c>
          <w:tcPr>
            <w:tcW w:w="3799" w:type="dxa"/>
          </w:tcPr>
          <w:p w:rsidR="0078639D" w:rsidRDefault="0078639D">
            <w:pPr>
              <w:spacing w:after="0" w:line="276" w:lineRule="auto"/>
              <w:rPr>
                <w:rFonts w:ascii="Calibri" w:hAnsi="Calibri" w:cs="Calibri"/>
                <w:b/>
                <w:sz w:val="20"/>
                <w:szCs w:val="20"/>
              </w:rPr>
            </w:pPr>
          </w:p>
        </w:tc>
      </w:tr>
      <w:tr w:rsidR="0078639D">
        <w:trPr>
          <w:trHeight w:val="12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Gwarancja minimum 24 miesiące.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Oznaczenie sprzętu znakiem CE</w:t>
            </w:r>
          </w:p>
        </w:tc>
        <w:tc>
          <w:tcPr>
            <w:tcW w:w="3799" w:type="dxa"/>
          </w:tcPr>
          <w:p w:rsidR="0078639D" w:rsidRDefault="0078639D">
            <w:pPr>
              <w:spacing w:after="0" w:line="276" w:lineRule="auto"/>
              <w:rPr>
                <w:rFonts w:ascii="Calibri" w:hAnsi="Calibri" w:cs="Calibri"/>
                <w:b/>
                <w:sz w:val="20"/>
                <w:szCs w:val="20"/>
              </w:rPr>
            </w:pPr>
          </w:p>
        </w:tc>
      </w:tr>
      <w:tr w:rsidR="0078639D">
        <w:trPr>
          <w:trHeight w:val="16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Montaż sprzętu.</w:t>
            </w:r>
          </w:p>
        </w:tc>
        <w:tc>
          <w:tcPr>
            <w:tcW w:w="3799" w:type="dxa"/>
          </w:tcPr>
          <w:p w:rsidR="0078639D" w:rsidRDefault="0078639D">
            <w:pPr>
              <w:spacing w:after="0" w:line="276" w:lineRule="auto"/>
              <w:rPr>
                <w:rFonts w:ascii="Calibri" w:hAnsi="Calibri" w:cs="Calibri"/>
                <w:b/>
                <w:sz w:val="20"/>
                <w:szCs w:val="20"/>
              </w:rPr>
            </w:pPr>
          </w:p>
        </w:tc>
      </w:tr>
    </w:tbl>
    <w:p w:rsidR="0078639D" w:rsidRDefault="0078639D">
      <w:pPr>
        <w:spacing w:after="0"/>
        <w:rPr>
          <w:b/>
        </w:rPr>
      </w:pPr>
    </w:p>
    <w:p w:rsidR="0078639D" w:rsidRDefault="004945CF">
      <w:pPr>
        <w:spacing w:after="0"/>
        <w:outlineLvl w:val="0"/>
        <w:rPr>
          <w:b/>
        </w:rPr>
      </w:pPr>
      <w:r>
        <w:rPr>
          <w:b/>
        </w:rPr>
        <w:t>Pakiet 5 Ultrasonograf przyłóżkowy</w:t>
      </w:r>
    </w:p>
    <w:tbl>
      <w:tblPr>
        <w:tblStyle w:val="Tabela-Siatka"/>
        <w:tblW w:w="10386" w:type="dxa"/>
        <w:tblInd w:w="113" w:type="dxa"/>
        <w:tblLayout w:type="fixed"/>
        <w:tblLook w:val="04A0"/>
      </w:tblPr>
      <w:tblGrid>
        <w:gridCol w:w="531"/>
        <w:gridCol w:w="6056"/>
        <w:gridCol w:w="3799"/>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wymagany</w:t>
            </w:r>
          </w:p>
        </w:tc>
        <w:tc>
          <w:tcPr>
            <w:tcW w:w="3799" w:type="dxa"/>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fabrycznie nowy, rok produkcji nie starszy niż 2025.</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Nowoczesny przenośny aparat ultrasonograficzny wykonany z aluminium o wysokiej ergonomii ze zintegrowanym systemem archiwizacji i dyskiem SSD wyposażony w zasilanie bateryjne.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Autoryzacja producenta ultrasonografu dla dostawcy na dystrybucję oraz serwis dostarczonego ultrasonografu: min. 5 lat.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Wózek jezdny dedykowany dla aparatu umożliwiający łatwe przemieszczanie wyposażony w cztery koła skrętne z możliwością blokady, z uchwytami na głowice, żel ultrasonograficzny, miejscem montażu  videoprintera: regulacja wysokości: min. 10 cm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Tradycyjne (nie cyfrowe na ekranie dotykowym) suwaki TGC do regulacji wzmocnienia w zależności od głębokości obrazowania.</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Czas uruchamiania aparatu do stanu gotowości do badania: max. 90 sekund.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Monitor IPS LED, wysokiej rozdzielczości, kolorowy:</w:t>
            </w:r>
          </w:p>
          <w:p w:rsidR="0078639D" w:rsidRDefault="004945CF">
            <w:pPr>
              <w:pStyle w:val="Akapitzlist"/>
              <w:numPr>
                <w:ilvl w:val="0"/>
                <w:numId w:val="81"/>
              </w:numPr>
              <w:spacing w:line="276" w:lineRule="auto"/>
              <w:contextualSpacing/>
              <w:rPr>
                <w:rFonts w:ascii="Calibri" w:eastAsia="GulimChe" w:hAnsi="Calibri" w:cs="Calibri"/>
              </w:rPr>
            </w:pPr>
            <w:r>
              <w:rPr>
                <w:rFonts w:ascii="Calibri" w:eastAsia="GulimChe" w:hAnsi="Calibri" w:cs="Calibri"/>
              </w:rPr>
              <w:t>przekątna min. 15,6”</w:t>
            </w:r>
          </w:p>
          <w:p w:rsidR="0078639D" w:rsidRDefault="004945CF">
            <w:pPr>
              <w:pStyle w:val="Akapitzlist"/>
              <w:numPr>
                <w:ilvl w:val="0"/>
                <w:numId w:val="81"/>
              </w:numPr>
              <w:spacing w:line="276" w:lineRule="auto"/>
              <w:contextualSpacing/>
              <w:rPr>
                <w:rFonts w:ascii="Calibri" w:hAnsi="Calibri" w:cs="Calibri"/>
                <w:b/>
              </w:rPr>
            </w:pPr>
            <w:r>
              <w:rPr>
                <w:rFonts w:ascii="Calibri" w:eastAsia="GulimChe" w:hAnsi="Calibri" w:cs="Calibri"/>
              </w:rPr>
              <w:t>rozdzielczość min. 1920 x 1080</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regulacji wielkości okna diagnostycznego.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 StandBy (SLEEP) umożliwiający szybkie uruchomienie (wybudzenie) aparatu: Czas wybudzenia max. 15 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Ilość niezależnych aktywnych kanałów przetwarzania: min. 3 500 000</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funkcji przypisanych do klawiszy funkcyjnych aparatu: min. 4 programowalne klawisze.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6"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System z cyfrowym układem formowania wiązki ultradźwiękowej: min. 14 bit ADC.</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częstotliwości pracy głowic możliwych do podłączenie: min. 1-25 MHz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wartość dynamiki w trybie B – mode: min. 310 dB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Bezpinowe złącza głowic.</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Ilość niezależnych aktywnych gniazd do jednoczesnego podłączenia głowic obrazowych: min. 2</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 xml:space="preserve">Maksymalna częstotliwość odświeżania obrazu „frame rate” dla trybu B (obrazów/sekundę): </w:t>
            </w:r>
            <w:r>
              <w:rPr>
                <w:rFonts w:ascii="Calibri" w:eastAsia="GulimChe" w:hAnsi="Calibri" w:cs="Calibri"/>
                <w:sz w:val="20"/>
                <w:szCs w:val="20"/>
              </w:rPr>
              <w:t>min. 2700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CD (obrazów/sekundę): </w:t>
            </w:r>
            <w:r>
              <w:rPr>
                <w:rFonts w:ascii="Calibri" w:eastAsia="GulimChe" w:hAnsi="Calibri" w:cs="Calibri"/>
                <w:sz w:val="20"/>
                <w:szCs w:val="20"/>
              </w:rPr>
              <w:t>min. 500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PW (obrazów/sekundę): </w:t>
            </w:r>
            <w:r>
              <w:rPr>
                <w:rFonts w:ascii="Calibri" w:eastAsia="GulimChe" w:hAnsi="Calibri" w:cs="Calibri"/>
                <w:sz w:val="20"/>
                <w:szCs w:val="20"/>
              </w:rPr>
              <w:t>min. 280 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Color Doppler (CD): min. 4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Pulsacyjny (PWD): min. 7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Ciągły (CW): min. 30 m/s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6"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Maks. wartość częstotliwości PRF dla Dopplera Kolorowego (CD): min. 18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Pulsacyjnego (PWD): min. 30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Ciągłego (CW) min. 75 kHz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regulacji kąta korekcji w trybie Dopplera Spektralnego (PWD) min. +/- 89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wielkości bramki Dopplerowskiej w trybie Dopplera pulsacyjnego (PWD) min. 0,2 - 25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głębokość obrazowania aparatu min. 41 cm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Liczba obrazów pamięci dynamicznej (CINE MEMORY) min. 60000 obrazów w trybie 2D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Tryby pracy aparatu:</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2D (B-mode),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lastRenderedPageBreak/>
              <w:t>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Anatomiczny 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Color Doppler (CD),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Power Doppler (PD),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 xml:space="preserve">Tkankowy Doppler (TDI), </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Kierunkowy Power Doppler (DPD),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Spektralny Doppler Pulsacyjny (PWD),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Ciągły Doppler (CW)</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TRIPLEX,</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DUPLEX.</w:t>
            </w:r>
          </w:p>
          <w:p w:rsidR="0078639D" w:rsidRDefault="004945CF">
            <w:pPr>
              <w:pStyle w:val="Akapitzlist"/>
              <w:numPr>
                <w:ilvl w:val="0"/>
                <w:numId w:val="49"/>
              </w:numPr>
              <w:spacing w:line="276" w:lineRule="auto"/>
              <w:contextualSpacing/>
              <w:rPr>
                <w:rFonts w:ascii="Calibri" w:eastAsia="GulimChe" w:hAnsi="Calibri" w:cs="Calibri"/>
              </w:rPr>
            </w:pPr>
            <w:r>
              <w:rPr>
                <w:rFonts w:ascii="Calibri" w:eastAsia="GulimChe" w:hAnsi="Calibri" w:cs="Calibri"/>
              </w:rPr>
              <w:t>Tryb Fullscreen umożliwiający wyświetlanie obrazu na pełnym ekranie zarówno w czasie rzeczywistym jak i po zamrożeniu.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8 częstotliwości bazowych dla trybu B-Mode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4 częstotliwości bazowe dla trybu CD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Funkcja automatycznej optymalizacji obrazu oraz trybów Dopplerowskich przy użyciu jednego przycisku.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krzyżowe Spatial Compound/Cross Beam na głowicach: convex, liniowa, endowaginalna, Microconvex działające w trybie 2D oraz trybach dopplerowskich. Ustawienia indeksu min. 3 stopni ustawień.</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typu MR wygładzające obraz tzw. SonoMR lub jego ekwiwalent o analogicznej funkcjonalności.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regulacji stopnia udziału algorytmu SonoMR. Ustawienia indeksu min. 5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ilość ognisk głowicy pracujących jednocześnie min. 5.</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Zoom dla obrazów na żywo </w:t>
            </w:r>
            <w:r>
              <w:rPr>
                <w:rFonts w:ascii="Calibri" w:eastAsia="Times New Roman" w:hAnsi="Calibri" w:cs="Calibri"/>
                <w:sz w:val="20"/>
                <w:szCs w:val="20"/>
              </w:rPr>
              <w:t>min. 20 krotny.</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Oprogramowanie pomiarowe wraz z raportami z badań (dla każdego pakietu, z możliwością edycji):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Piersi,</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Naczyniowe,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Kardiologiczne,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Ortopedyczne,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Tarczycy, </w:t>
            </w:r>
          </w:p>
          <w:p w:rsidR="0078639D" w:rsidRDefault="004945CF">
            <w:pPr>
              <w:numPr>
                <w:ilvl w:val="0"/>
                <w:numId w:val="27"/>
              </w:numPr>
              <w:tabs>
                <w:tab w:val="left" w:pos="0"/>
              </w:tabs>
              <w:spacing w:after="0" w:line="276" w:lineRule="auto"/>
              <w:ind w:left="720"/>
              <w:rPr>
                <w:rFonts w:ascii="Calibri" w:hAnsi="Calibri" w:cs="Calibri"/>
                <w:sz w:val="20"/>
                <w:szCs w:val="20"/>
              </w:rPr>
            </w:pPr>
            <w:r>
              <w:rPr>
                <w:rFonts w:ascii="Calibri" w:eastAsia="GulimChe" w:hAnsi="Calibri" w:cs="Calibri"/>
                <w:sz w:val="20"/>
                <w:szCs w:val="20"/>
              </w:rPr>
              <w:t>Jąder</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Położniczych,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Ginekologicznych,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Urologicznych,</w:t>
            </w:r>
          </w:p>
          <w:p w:rsidR="0078639D" w:rsidRDefault="004945CF">
            <w:pPr>
              <w:pStyle w:val="Akapitzlist"/>
              <w:numPr>
                <w:ilvl w:val="0"/>
                <w:numId w:val="27"/>
              </w:numPr>
              <w:tabs>
                <w:tab w:val="left" w:pos="0"/>
              </w:tabs>
              <w:spacing w:line="276" w:lineRule="auto"/>
              <w:ind w:left="720"/>
              <w:contextualSpacing/>
              <w:rPr>
                <w:rFonts w:ascii="Calibri" w:eastAsia="GulimChe" w:hAnsi="Calibri" w:cs="Calibri"/>
              </w:rPr>
            </w:pPr>
            <w:r>
              <w:rPr>
                <w:rFonts w:ascii="Calibri" w:eastAsia="GulimChe" w:hAnsi="Calibri" w:cs="Calibri"/>
              </w:rPr>
              <w:t>Jamy brzusznej.</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Automatyczne pomiary prędkości przepływów.</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Pomiary odległości, pola powierzchni, objętości, obrysu.</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(wbudowany w aparat) system archiwizacji pacjentów i obrazów z portami USB na przedniej lub bocznej ścianie aparatu. Możliwość nagrywania badań na żywo na PENDRIVE (pamięć USB).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ultrasonograficzny umożliwiający zapis badań na nośnikach typu PENDRIVE w trybie Real-Time Recording.</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Wbudowany dysk twardy typu SSD min. 500 GB</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zapisu obrazów oraz sekwencji filmowych na dysk twardy oraz płyty CD, DVD, pamięci PEN w formatach BMP, JPG, TIFF, MPEG, AVI.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Wyjście (output) sygnałów: HDMI.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Porty USB w standardzie 3.0 min. 2</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46.</w:t>
            </w:r>
          </w:p>
        </w:tc>
        <w:tc>
          <w:tcPr>
            <w:tcW w:w="6056" w:type="dxa"/>
            <w:vAlign w:val="center"/>
          </w:tcPr>
          <w:p w:rsidR="0078639D" w:rsidRDefault="004945CF">
            <w:pPr>
              <w:spacing w:after="0" w:line="276" w:lineRule="auto"/>
              <w:rPr>
                <w:rFonts w:ascii="Calibri" w:eastAsia="GulimChe" w:hAnsi="Calibri" w:cs="Calibri"/>
                <w:sz w:val="20"/>
                <w:szCs w:val="20"/>
                <w:lang w:val="en-US"/>
              </w:rPr>
            </w:pPr>
            <w:r>
              <w:rPr>
                <w:rFonts w:ascii="Calibri" w:eastAsia="GulimChe" w:hAnsi="Calibri" w:cs="Calibri"/>
                <w:sz w:val="20"/>
                <w:szCs w:val="20"/>
              </w:rPr>
              <w:t xml:space="preserve">Głowica liniowa wykonana w technologii monokryształu tzw. </w:t>
            </w:r>
            <w:r>
              <w:rPr>
                <w:rFonts w:ascii="Calibri" w:eastAsia="GulimChe" w:hAnsi="Calibri" w:cs="Calibri"/>
                <w:sz w:val="20"/>
                <w:szCs w:val="20"/>
                <w:lang w:val="en-US"/>
              </w:rPr>
              <w:t xml:space="preserve">Pure Wave lub Single Crystal: </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min. Ilość elementów: 192</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 xml:space="preserve">min. zakres częstotliwości: 3 – 19 MHz </w:t>
            </w:r>
          </w:p>
          <w:p w:rsidR="0078639D" w:rsidRDefault="004945CF">
            <w:pPr>
              <w:pStyle w:val="Akapitzlist"/>
              <w:numPr>
                <w:ilvl w:val="0"/>
                <w:numId w:val="50"/>
              </w:numPr>
              <w:tabs>
                <w:tab w:val="clear" w:pos="720"/>
                <w:tab w:val="left" w:pos="0"/>
              </w:tabs>
              <w:spacing w:line="276" w:lineRule="auto"/>
              <w:contextualSpacing/>
              <w:rPr>
                <w:rFonts w:ascii="Calibri" w:eastAsia="GulimChe" w:hAnsi="Calibri" w:cs="Calibri"/>
              </w:rPr>
            </w:pPr>
            <w:r>
              <w:rPr>
                <w:rFonts w:ascii="Calibri" w:hAnsi="Calibri" w:cs="Calibri"/>
              </w:rPr>
              <w:t>max. szerokość czoła głowicy: 45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Możliwość rozbudowy o głowice liniową wysokoczęstotliwościowa dedykowana do powierzchownej diagnostyki: </w:t>
            </w:r>
          </w:p>
          <w:p w:rsidR="0078639D" w:rsidRDefault="004945CF">
            <w:pPr>
              <w:numPr>
                <w:ilvl w:val="0"/>
                <w:numId w:val="78"/>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78"/>
              </w:numPr>
              <w:spacing w:after="0" w:line="276" w:lineRule="auto"/>
              <w:rPr>
                <w:rFonts w:ascii="Calibri" w:hAnsi="Calibri" w:cs="Calibri"/>
                <w:sz w:val="20"/>
                <w:szCs w:val="20"/>
              </w:rPr>
            </w:pPr>
            <w:r>
              <w:rPr>
                <w:rFonts w:ascii="Calibri" w:eastAsia="GulimChe" w:hAnsi="Calibri" w:cs="Calibri"/>
                <w:sz w:val="20"/>
                <w:szCs w:val="20"/>
              </w:rPr>
              <w:t xml:space="preserve">min. zakres częstotliwości: 10 – 25 MHz </w:t>
            </w:r>
          </w:p>
          <w:p w:rsidR="0078639D" w:rsidRDefault="004945CF">
            <w:pPr>
              <w:pStyle w:val="Akapitzlist"/>
              <w:numPr>
                <w:ilvl w:val="0"/>
                <w:numId w:val="78"/>
              </w:numPr>
              <w:spacing w:line="276" w:lineRule="auto"/>
              <w:contextualSpacing/>
              <w:rPr>
                <w:rFonts w:ascii="Calibri" w:eastAsia="GulimChe" w:hAnsi="Calibri" w:cs="Calibri"/>
              </w:rPr>
            </w:pPr>
            <w:r>
              <w:rPr>
                <w:rFonts w:ascii="Calibri" w:hAnsi="Calibri" w:cs="Calibri"/>
              </w:rPr>
              <w:t>max. szerokość czoła głowicy: 35 mm</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Głowica convex do badań jamy brzusznej wykonana w technologii monokryształu tzw. Pure Wave lub Single Crystal.</w:t>
            </w:r>
          </w:p>
          <w:p w:rsidR="0078639D" w:rsidRDefault="004945CF">
            <w:pPr>
              <w:pStyle w:val="Akapitzlist"/>
              <w:numPr>
                <w:ilvl w:val="0"/>
                <w:numId w:val="52"/>
              </w:numPr>
              <w:tabs>
                <w:tab w:val="left" w:pos="816"/>
              </w:tabs>
              <w:spacing w:line="276" w:lineRule="auto"/>
              <w:contextualSpacing/>
              <w:rPr>
                <w:rFonts w:ascii="Calibri" w:eastAsia="GulimChe" w:hAnsi="Calibri" w:cs="Calibri"/>
              </w:rPr>
            </w:pPr>
            <w:r>
              <w:rPr>
                <w:rFonts w:ascii="Calibri" w:eastAsia="GulimChe" w:hAnsi="Calibri" w:cs="Calibri"/>
              </w:rPr>
              <w:t>min. Ilość elementów: 192</w:t>
            </w:r>
          </w:p>
          <w:p w:rsidR="0078639D" w:rsidRDefault="004945CF">
            <w:pPr>
              <w:pStyle w:val="Akapitzlist"/>
              <w:numPr>
                <w:ilvl w:val="0"/>
                <w:numId w:val="52"/>
              </w:numPr>
              <w:tabs>
                <w:tab w:val="left" w:pos="816"/>
              </w:tabs>
              <w:spacing w:line="276" w:lineRule="auto"/>
              <w:contextualSpacing/>
              <w:rPr>
                <w:rFonts w:ascii="Calibri" w:hAnsi="Calibri" w:cs="Calibri"/>
              </w:rPr>
            </w:pPr>
            <w:r>
              <w:rPr>
                <w:rFonts w:ascii="Calibri" w:eastAsia="GulimChe" w:hAnsi="Calibri" w:cs="Calibri"/>
              </w:rPr>
              <w:t>min. Zakres częstotliwości: 1 – 7 MHz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Głowica sektorowa do diagnostyki kardiologicznej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80</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1 – 5 MHz </w:t>
            </w:r>
          </w:p>
          <w:p w:rsidR="0078639D" w:rsidRDefault="004945CF">
            <w:pPr>
              <w:pStyle w:val="Akapitzlist"/>
              <w:numPr>
                <w:ilvl w:val="0"/>
                <w:numId w:val="53"/>
              </w:numPr>
              <w:spacing w:line="276" w:lineRule="auto"/>
              <w:contextualSpacing/>
              <w:rPr>
                <w:rFonts w:ascii="Calibri" w:eastAsia="GulimChe" w:hAnsi="Calibri" w:cs="Calibri"/>
              </w:rPr>
            </w:pPr>
            <w:r>
              <w:rPr>
                <w:rFonts w:ascii="Calibri" w:hAnsi="Calibri" w:cs="Calibri"/>
              </w:rPr>
              <w:t>min. pole widzenia głowicy: 90 stopni</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Specjalny tryb obrazowania dedykowany do mikroprzepływów tzw. Mikrowaskularyzacja inny niż tryb Color i Power Doppler.</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obrazowanie panoramiczne</w:t>
            </w:r>
            <w:r>
              <w:rPr>
                <w:rFonts w:ascii="Calibri" w:eastAsia="GulimChe" w:hAnsi="Calibri" w:cs="Calibri"/>
                <w:spacing w:val="1"/>
                <w:sz w:val="20"/>
                <w:szCs w:val="20"/>
              </w:rPr>
              <w: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obrazowanie z użyciem środka kontrastującego.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oprogramowanie wzmacniające wizualizację igły biopsyjnej</w:t>
            </w:r>
            <w:r>
              <w:rPr>
                <w:rFonts w:ascii="Calibri" w:eastAsia="GulimChe" w:hAnsi="Calibri" w:cs="Calibri"/>
                <w:spacing w:val="1"/>
                <w:sz w:val="20"/>
                <w:szCs w:val="20"/>
              </w:rPr>
              <w: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oprogramowanie do automatycznego pomiaru kompleksu IMT.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funkcję elastografii fali podłużnej z pomiarami Strain Ratio.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automatyczne pomiary biometrii płodu: Min. BPD, HC, AC, FL, HL, NT.</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automatyczne pomiary pęcherzyków w jajnikach.</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w:t>
            </w:r>
            <w:r>
              <w:rPr>
                <w:rFonts w:ascii="Calibri" w:eastAsia="Calibri" w:hAnsi="Calibri" w:cs="Calibri"/>
                <w:sz w:val="20"/>
                <w:szCs w:val="20"/>
              </w:rPr>
              <w:t>utomatyczny pomiar frakcji wyrzutowej EF.</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Stress Echo.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Strain Echo.</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zintegrowany z ultrasonografem moduł EKG.</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Pakiet DICOM 3.0 (Storage, Worklista, Print, Send).</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protokoły BIRADS.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protokoły TIRADS.</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walizkę do transportu dedykowaną dla aparatu z miejscem na głowice oraz zasilacz.</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Drukarka termiczna (video) czarno-biała: Cyfrowy printer</w:t>
            </w:r>
          </w:p>
        </w:tc>
        <w:tc>
          <w:tcPr>
            <w:tcW w:w="3799" w:type="dxa"/>
          </w:tcPr>
          <w:p w:rsidR="0078639D" w:rsidRDefault="0078639D">
            <w:pPr>
              <w:spacing w:after="0" w:line="276" w:lineRule="auto"/>
              <w:rPr>
                <w:rFonts w:ascii="Calibri" w:hAnsi="Calibri" w:cs="Calibri"/>
                <w:b/>
                <w:sz w:val="20"/>
                <w:szCs w:val="20"/>
              </w:rPr>
            </w:pPr>
          </w:p>
        </w:tc>
      </w:tr>
      <w:tr w:rsidR="0078639D">
        <w:trPr>
          <w:trHeight w:val="88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Zasilanie:</w:t>
            </w:r>
          </w:p>
          <w:p w:rsidR="0078639D" w:rsidRDefault="004945CF">
            <w:pPr>
              <w:pStyle w:val="Akapitzlist"/>
              <w:numPr>
                <w:ilvl w:val="0"/>
                <w:numId w:val="51"/>
              </w:numPr>
              <w:tabs>
                <w:tab w:val="left" w:pos="0"/>
              </w:tabs>
              <w:spacing w:line="276" w:lineRule="auto"/>
              <w:ind w:left="720"/>
              <w:contextualSpacing/>
              <w:rPr>
                <w:rFonts w:ascii="Calibri" w:eastAsia="GulimChe" w:hAnsi="Calibri" w:cs="Calibri"/>
              </w:rPr>
            </w:pPr>
            <w:r>
              <w:rPr>
                <w:rFonts w:ascii="Calibri" w:eastAsia="GulimChe" w:hAnsi="Calibri" w:cs="Calibri"/>
              </w:rPr>
              <w:t>100 - 240V</w:t>
            </w:r>
          </w:p>
          <w:p w:rsidR="0078639D" w:rsidRDefault="004945CF">
            <w:pPr>
              <w:pStyle w:val="Akapitzlist"/>
              <w:numPr>
                <w:ilvl w:val="0"/>
                <w:numId w:val="51"/>
              </w:numPr>
              <w:tabs>
                <w:tab w:val="left" w:pos="0"/>
              </w:tabs>
              <w:spacing w:line="276" w:lineRule="auto"/>
              <w:ind w:left="720"/>
              <w:contextualSpacing/>
              <w:rPr>
                <w:rFonts w:ascii="Calibri" w:eastAsia="GulimChe" w:hAnsi="Calibri" w:cs="Calibri"/>
              </w:rPr>
            </w:pPr>
            <w:r>
              <w:rPr>
                <w:rFonts w:ascii="Calibri" w:eastAsia="GulimChe" w:hAnsi="Calibri" w:cs="Calibri"/>
              </w:rPr>
              <w:t>50 – 60Hz</w:t>
            </w:r>
          </w:p>
        </w:tc>
        <w:tc>
          <w:tcPr>
            <w:tcW w:w="3799" w:type="dxa"/>
          </w:tcPr>
          <w:p w:rsidR="0078639D" w:rsidRDefault="0078639D">
            <w:pPr>
              <w:spacing w:after="0" w:line="276" w:lineRule="auto"/>
              <w:rPr>
                <w:rFonts w:ascii="Calibri" w:hAnsi="Calibri" w:cs="Calibri"/>
                <w:b/>
                <w:sz w:val="20"/>
                <w:szCs w:val="20"/>
              </w:rPr>
            </w:pPr>
          </w:p>
        </w:tc>
      </w:tr>
      <w:tr w:rsidR="0078639D">
        <w:trPr>
          <w:trHeight w:val="55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6056"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 xml:space="preserve">W celu potwierdzenia, iż oferowany produkt spełnia parametry techniczne potwierdzone w niniejszej tabeli, Wykonawca dołączy do oferty karty katalogowe/ materiały handlowe potwierdzające </w:t>
            </w:r>
            <w:r>
              <w:rPr>
                <w:rFonts w:ascii="Calibri" w:eastAsia="Times New Roman" w:hAnsi="Calibri" w:cs="Calibri"/>
                <w:sz w:val="20"/>
                <w:szCs w:val="20"/>
              </w:rPr>
              <w:lastRenderedPageBreak/>
              <w:t>spełnienie wymaganych parametrów.</w:t>
            </w:r>
          </w:p>
        </w:tc>
        <w:tc>
          <w:tcPr>
            <w:tcW w:w="3799" w:type="dxa"/>
          </w:tcPr>
          <w:p w:rsidR="0078639D" w:rsidRDefault="0078639D">
            <w:pPr>
              <w:spacing w:after="0" w:line="276" w:lineRule="auto"/>
              <w:rPr>
                <w:rFonts w:ascii="Calibri" w:hAnsi="Calibri" w:cs="Calibri"/>
                <w:b/>
                <w:sz w:val="20"/>
                <w:szCs w:val="20"/>
              </w:rPr>
            </w:pP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69.</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Gwarancja minimum 24 miesiące.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Oznaczenie sprzętu znakiem CE.</w:t>
            </w:r>
          </w:p>
        </w:tc>
        <w:tc>
          <w:tcPr>
            <w:tcW w:w="3799" w:type="dxa"/>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6056"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Montaż sprzętu.</w:t>
            </w:r>
          </w:p>
        </w:tc>
        <w:tc>
          <w:tcPr>
            <w:tcW w:w="3799" w:type="dxa"/>
          </w:tcPr>
          <w:p w:rsidR="0078639D" w:rsidRDefault="0078639D">
            <w:pPr>
              <w:spacing w:after="0" w:line="276" w:lineRule="auto"/>
              <w:rPr>
                <w:rFonts w:ascii="Calibri" w:hAnsi="Calibri" w:cs="Calibri"/>
                <w:b/>
                <w:sz w:val="20"/>
                <w:szCs w:val="20"/>
              </w:rPr>
            </w:pPr>
          </w:p>
        </w:tc>
      </w:tr>
    </w:tbl>
    <w:p w:rsidR="0078639D" w:rsidRDefault="0078639D">
      <w:pPr>
        <w:spacing w:after="0"/>
        <w:outlineLvl w:val="0"/>
        <w:rPr>
          <w:b/>
        </w:rPr>
      </w:pPr>
    </w:p>
    <w:p w:rsidR="0078639D" w:rsidRDefault="004945CF">
      <w:pPr>
        <w:spacing w:after="0"/>
        <w:outlineLvl w:val="0"/>
        <w:rPr>
          <w:b/>
        </w:rPr>
      </w:pPr>
      <w:r>
        <w:rPr>
          <w:b/>
        </w:rPr>
        <w:t>Pakiet 6 Spirometr</w:t>
      </w:r>
    </w:p>
    <w:tbl>
      <w:tblPr>
        <w:tblStyle w:val="Tabela-Siatka"/>
        <w:tblW w:w="10386" w:type="dxa"/>
        <w:tblInd w:w="113" w:type="dxa"/>
        <w:tblLayout w:type="fixed"/>
        <w:tblLook w:val="04A0"/>
      </w:tblPr>
      <w:tblGrid>
        <w:gridCol w:w="531"/>
        <w:gridCol w:w="6056"/>
        <w:gridCol w:w="3799"/>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99"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6" w:type="dxa"/>
            <w:vAlign w:val="center"/>
          </w:tcPr>
          <w:p w:rsidR="0078639D" w:rsidRDefault="004945CF">
            <w:pPr>
              <w:spacing w:after="0" w:line="276" w:lineRule="auto"/>
              <w:rPr>
                <w:rFonts w:ascii="Calibri" w:hAnsi="Calibri" w:cs="Calibri"/>
                <w:sz w:val="20"/>
                <w:szCs w:val="20"/>
              </w:rPr>
            </w:pPr>
            <w:r>
              <w:rPr>
                <w:rStyle w:val="t286pc"/>
                <w:rFonts w:ascii="Calibri" w:eastAsia="Times New Roman" w:hAnsi="Calibri" w:cs="Calibri"/>
                <w:sz w:val="20"/>
                <w:szCs w:val="20"/>
              </w:rPr>
              <w:t>Urządzenie przenośne zintegrowane z kolorowym ekranem dotykowym, klawiaturą alfanumeryczną oraz drukarką termiczną.</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Kolorowy wyświetlacz LCD TFT min. 7” o rozdzielczości 800x480 z panelem dotykowym.</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Pełna klawiatura alfanumeryczna umożliwiająca opisanie badania i danych pacjenta.</w:t>
            </w:r>
          </w:p>
        </w:tc>
        <w:tc>
          <w:tcPr>
            <w:tcW w:w="3799" w:type="dxa"/>
          </w:tcPr>
          <w:p w:rsidR="0078639D" w:rsidRDefault="0078639D">
            <w:pPr>
              <w:spacing w:after="0" w:line="276" w:lineRule="auto"/>
              <w:rPr>
                <w:rFonts w:ascii="Calibri" w:hAnsi="Calibri" w:cs="Calibri"/>
                <w:sz w:val="20"/>
                <w:szCs w:val="20"/>
              </w:rPr>
            </w:pPr>
          </w:p>
        </w:tc>
      </w:tr>
      <w:tr w:rsidR="0078639D">
        <w:trPr>
          <w:trHeight w:val="9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Baza danych o pojemności co najmniej </w:t>
            </w:r>
            <w:r>
              <w:rPr>
                <w:rStyle w:val="Pogrubienie"/>
                <w:rFonts w:ascii="Calibri" w:eastAsia="Times New Roman" w:hAnsi="Calibri" w:cs="Calibri"/>
                <w:sz w:val="20"/>
                <w:szCs w:val="20"/>
              </w:rPr>
              <w:t>1000 pacjentów/badań.</w:t>
            </w:r>
          </w:p>
        </w:tc>
        <w:tc>
          <w:tcPr>
            <w:tcW w:w="3799" w:type="dxa"/>
          </w:tcPr>
          <w:p w:rsidR="0078639D" w:rsidRDefault="0078639D">
            <w:pPr>
              <w:spacing w:after="0" w:line="276" w:lineRule="auto"/>
              <w:rPr>
                <w:rFonts w:ascii="Calibri" w:hAnsi="Calibri" w:cs="Calibri"/>
                <w:sz w:val="20"/>
                <w:szCs w:val="20"/>
              </w:rPr>
            </w:pP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6" w:type="dxa"/>
            <w:vAlign w:val="center"/>
          </w:tcPr>
          <w:p w:rsidR="0078639D" w:rsidRDefault="004945CF">
            <w:pPr>
              <w:spacing w:after="0" w:line="276" w:lineRule="auto"/>
              <w:rPr>
                <w:rStyle w:val="t286pc"/>
                <w:rFonts w:ascii="Calibri" w:hAnsi="Calibri" w:cs="Calibri"/>
                <w:sz w:val="20"/>
                <w:szCs w:val="20"/>
              </w:rPr>
            </w:pPr>
            <w:r>
              <w:rPr>
                <w:rStyle w:val="Pogrubienie"/>
                <w:rFonts w:ascii="Calibri" w:eastAsia="Times New Roman" w:hAnsi="Calibri" w:cs="Calibri"/>
                <w:sz w:val="20"/>
                <w:szCs w:val="20"/>
              </w:rPr>
              <w:t>Wymiary i waga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 258 x 200 x 53 mm; waga ok. 1,3 kg.</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Wbudowana drukarka termiczna na papier o szerokości </w:t>
            </w:r>
            <w:r>
              <w:rPr>
                <w:rStyle w:val="Pogrubienie"/>
                <w:rFonts w:ascii="Calibri" w:eastAsia="Times New Roman" w:hAnsi="Calibri" w:cs="Calibri"/>
                <w:sz w:val="20"/>
                <w:szCs w:val="20"/>
              </w:rPr>
              <w:t>112 mm</w:t>
            </w:r>
            <w:r>
              <w:rPr>
                <w:rStyle w:val="t286pc"/>
                <w:rFonts w:ascii="Calibri" w:eastAsia="Times New Roman" w:hAnsi="Calibri" w:cs="Calibri"/>
                <w:sz w:val="20"/>
                <w:szCs w:val="20"/>
              </w:rPr>
              <w:t xml:space="preserve"> </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6" w:type="dxa"/>
            <w:vAlign w:val="center"/>
          </w:tcPr>
          <w:p w:rsidR="0078639D" w:rsidRDefault="004945CF">
            <w:pPr>
              <w:spacing w:after="0" w:line="276" w:lineRule="auto"/>
              <w:rPr>
                <w:rStyle w:val="t286pc"/>
                <w:rFonts w:ascii="Calibri" w:hAnsi="Calibri" w:cs="Calibri"/>
                <w:sz w:val="20"/>
                <w:szCs w:val="20"/>
              </w:rPr>
            </w:pPr>
            <w:r>
              <w:rPr>
                <w:rStyle w:val="Pogrubienie"/>
                <w:rFonts w:ascii="Calibri" w:eastAsia="Times New Roman" w:hAnsi="Calibri" w:cs="Calibri"/>
                <w:sz w:val="20"/>
                <w:szCs w:val="20"/>
              </w:rPr>
              <w:t>Zasilanie:</w:t>
            </w:r>
            <w:r>
              <w:rPr>
                <w:rStyle w:val="t286pc"/>
                <w:rFonts w:ascii="Calibri" w:eastAsia="Times New Roman" w:hAnsi="Calibri" w:cs="Calibri"/>
                <w:sz w:val="20"/>
                <w:szCs w:val="20"/>
              </w:rPr>
              <w:t xml:space="preserve"> Sieciowo-akumulatorowe; wbudowany akumulator Li-ION zapewniający wykonanie min. 130 badań bez zasilania zewnętrznego.</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t286pc"/>
                <w:rFonts w:ascii="Calibri" w:eastAsia="Times New Roman" w:hAnsi="Calibri" w:cs="Calibri"/>
                <w:sz w:val="20"/>
                <w:szCs w:val="20"/>
              </w:rPr>
              <w:t xml:space="preserve">Wbudowany moduł </w:t>
            </w:r>
            <w:r>
              <w:rPr>
                <w:rStyle w:val="Pogrubienie"/>
                <w:rFonts w:ascii="Calibri" w:eastAsia="Times New Roman" w:hAnsi="Calibri" w:cs="Calibri"/>
                <w:sz w:val="20"/>
                <w:szCs w:val="20"/>
              </w:rPr>
              <w:t>Wi-Fi</w:t>
            </w:r>
            <w:r>
              <w:rPr>
                <w:rStyle w:val="t286pc"/>
                <w:rFonts w:ascii="Calibri" w:eastAsia="Times New Roman" w:hAnsi="Calibri" w:cs="Calibri"/>
                <w:b/>
                <w:sz w:val="20"/>
                <w:szCs w:val="20"/>
              </w:rPr>
              <w:t>.</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Gniazdo LAN (Ethernet), min. 1 port USB (obsługa pamięci zewnętrznych/pendrive).</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Bezpośredni zapis do formatu </w:t>
            </w:r>
            <w:r>
              <w:rPr>
                <w:rStyle w:val="Pogrubienie"/>
                <w:rFonts w:ascii="Calibri" w:eastAsia="Times New Roman" w:hAnsi="Calibri" w:cs="Calibri"/>
                <w:sz w:val="20"/>
                <w:szCs w:val="20"/>
              </w:rPr>
              <w:t>PDF</w:t>
            </w:r>
            <w:r>
              <w:rPr>
                <w:rStyle w:val="t286pc"/>
                <w:rFonts w:ascii="Calibri" w:eastAsia="Times New Roman" w:hAnsi="Calibri" w:cs="Calibri"/>
                <w:sz w:val="20"/>
                <w:szCs w:val="20"/>
              </w:rPr>
              <w:t xml:space="preserve"> na zewnętrzny nośnik oraz możliwość wysyłki badania bezpośrednio na e-mail z urządzenia.</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Wykonywanie testów VC, FVC (krzywa przepływ-objętość) oraz MVV.</w:t>
            </w:r>
          </w:p>
        </w:tc>
        <w:tc>
          <w:tcPr>
            <w:tcW w:w="3799" w:type="dxa"/>
          </w:tcPr>
          <w:p w:rsidR="0078639D" w:rsidRDefault="0078639D">
            <w:pPr>
              <w:spacing w:after="0" w:line="276" w:lineRule="auto"/>
              <w:rPr>
                <w:rFonts w:ascii="Calibri" w:hAnsi="Calibri" w:cs="Calibri"/>
                <w:sz w:val="20"/>
                <w:szCs w:val="20"/>
              </w:rPr>
            </w:pPr>
          </w:p>
        </w:tc>
      </w:tr>
      <w:tr w:rsidR="0078639D">
        <w:trPr>
          <w:trHeight w:val="7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6" w:type="dxa"/>
            <w:vAlign w:val="center"/>
          </w:tcPr>
          <w:p w:rsidR="0078639D" w:rsidRDefault="004945CF">
            <w:pPr>
              <w:spacing w:after="0" w:line="276" w:lineRule="auto"/>
              <w:rPr>
                <w:rStyle w:val="t286pc"/>
                <w:rFonts w:ascii="Calibri" w:hAnsi="Calibri" w:cs="Calibri"/>
                <w:sz w:val="20"/>
                <w:szCs w:val="20"/>
              </w:rPr>
            </w:pPr>
            <w:r>
              <w:rPr>
                <w:rFonts w:ascii="Calibri" w:eastAsia="Times New Roman" w:hAnsi="Calibri" w:cs="Calibri"/>
                <w:sz w:val="20"/>
                <w:szCs w:val="20"/>
              </w:rPr>
              <w:t>Automatyczna korekcja BTPS za pomocą wbudowanych czujników temperatury, ciśnienia i wilgotności.</w:t>
            </w:r>
          </w:p>
        </w:tc>
        <w:tc>
          <w:tcPr>
            <w:tcW w:w="3799" w:type="dxa"/>
          </w:tcPr>
          <w:p w:rsidR="0078639D" w:rsidRDefault="0078639D">
            <w:pPr>
              <w:spacing w:after="0" w:line="276" w:lineRule="auto"/>
              <w:rPr>
                <w:rFonts w:ascii="Calibri" w:hAnsi="Calibri" w:cs="Calibri"/>
                <w:sz w:val="20"/>
                <w:szCs w:val="20"/>
              </w:rPr>
            </w:pPr>
          </w:p>
        </w:tc>
      </w:tr>
      <w:tr w:rsidR="0078639D">
        <w:trPr>
          <w:trHeight w:val="4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6"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Strzykawka kalibracyjna o pojemności około 3 l. wyposażona w dedykowany adapter/złącze do głowic pneumotachometrycznych.</w:t>
            </w:r>
          </w:p>
        </w:tc>
        <w:tc>
          <w:tcPr>
            <w:tcW w:w="3799" w:type="dxa"/>
          </w:tcPr>
          <w:p w:rsidR="0078639D" w:rsidRDefault="0078639D">
            <w:pPr>
              <w:spacing w:after="0" w:line="276" w:lineRule="auto"/>
              <w:rPr>
                <w:rFonts w:ascii="Calibri" w:hAnsi="Calibri" w:cs="Calibri"/>
                <w:sz w:val="20"/>
                <w:szCs w:val="20"/>
              </w:rPr>
            </w:pPr>
          </w:p>
        </w:tc>
      </w:tr>
      <w:tr w:rsidR="0078639D">
        <w:trPr>
          <w:trHeight w:val="54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6" w:type="dxa"/>
            <w:vAlign w:val="center"/>
          </w:tcPr>
          <w:p w:rsidR="0078639D" w:rsidRDefault="004945CF">
            <w:pPr>
              <w:spacing w:after="0" w:line="276" w:lineRule="auto"/>
              <w:rPr>
                <w:rStyle w:val="t286pc"/>
                <w:rFonts w:ascii="Calibri" w:hAnsi="Calibri" w:cs="Calibri"/>
                <w:sz w:val="20"/>
                <w:szCs w:val="20"/>
              </w:rPr>
            </w:pPr>
            <w:r>
              <w:rPr>
                <w:rFonts w:ascii="Calibri" w:eastAsia="Times New Roman" w:hAnsi="Calibri" w:cs="Calibri"/>
                <w:sz w:val="20"/>
                <w:szCs w:val="20"/>
              </w:rPr>
              <w:t xml:space="preserve">W celu potwierdzenia, iż oferowany produkt spełnia parametry techniczne potwierdzone w niniejszej tabeli, Wykonawca dołączy do oferty karty katalogowe/ materiały handlowe potwierdzające spełnienie wymaganych parametrów. </w:t>
            </w:r>
          </w:p>
        </w:tc>
        <w:tc>
          <w:tcPr>
            <w:tcW w:w="3799" w:type="dxa"/>
          </w:tcPr>
          <w:p w:rsidR="0078639D" w:rsidRDefault="0078639D">
            <w:pPr>
              <w:spacing w:after="0" w:line="276" w:lineRule="auto"/>
              <w:rPr>
                <w:rFonts w:ascii="Calibri" w:hAnsi="Calibri" w:cs="Calibri"/>
                <w:sz w:val="20"/>
                <w:szCs w:val="20"/>
              </w:rPr>
            </w:pPr>
          </w:p>
        </w:tc>
      </w:tr>
      <w:tr w:rsidR="0078639D">
        <w:trPr>
          <w:trHeight w:val="19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6"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6"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c>
          <w:tcPr>
            <w:tcW w:w="3799" w:type="dxa"/>
          </w:tcPr>
          <w:p w:rsidR="0078639D" w:rsidRDefault="0078639D">
            <w:pPr>
              <w:spacing w:after="0" w:line="276" w:lineRule="auto"/>
              <w:rPr>
                <w:rFonts w:ascii="Calibri" w:hAnsi="Calibri" w:cs="Calibri"/>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6"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c>
          <w:tcPr>
            <w:tcW w:w="3799" w:type="dxa"/>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7 Defibrylator </w:t>
      </w:r>
    </w:p>
    <w:tbl>
      <w:tblPr>
        <w:tblStyle w:val="Tabela-Siatka"/>
        <w:tblW w:w="10386" w:type="dxa"/>
        <w:tblInd w:w="113" w:type="dxa"/>
        <w:tblLayout w:type="fixed"/>
        <w:tblLook w:val="04A0"/>
      </w:tblPr>
      <w:tblGrid>
        <w:gridCol w:w="532"/>
        <w:gridCol w:w="6055"/>
        <w:gridCol w:w="3799"/>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99" w:type="dxa"/>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c>
          <w:tcPr>
            <w:tcW w:w="3799" w:type="dxa"/>
            <w:vAlign w:val="center"/>
          </w:tcPr>
          <w:p w:rsidR="0078639D" w:rsidRDefault="0078639D">
            <w:pPr>
              <w:spacing w:after="0" w:line="276" w:lineRule="auto"/>
              <w:rPr>
                <w:rFonts w:ascii="Calibri" w:hAnsi="Calibri" w:cs="Calibri"/>
                <w:sz w:val="20"/>
                <w:szCs w:val="20"/>
              </w:rPr>
            </w:pPr>
          </w:p>
        </w:tc>
      </w:tr>
      <w:tr w:rsidR="0078639D">
        <w:trPr>
          <w:trHeight w:val="120"/>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transportowy, wyposażony w uchwyt do przenoszenia.</w:t>
            </w:r>
          </w:p>
        </w:tc>
        <w:tc>
          <w:tcPr>
            <w:tcW w:w="3799" w:type="dxa"/>
            <w:vAlign w:val="center"/>
          </w:tcPr>
          <w:p w:rsidR="0078639D" w:rsidRDefault="0078639D">
            <w:pPr>
              <w:spacing w:after="0" w:line="276" w:lineRule="auto"/>
              <w:rPr>
                <w:rFonts w:ascii="Calibri" w:hAnsi="Calibri" w:cs="Calibri"/>
                <w:sz w:val="20"/>
                <w:szCs w:val="20"/>
              </w:rPr>
            </w:pPr>
          </w:p>
        </w:tc>
      </w:tr>
      <w:tr w:rsidR="0078639D">
        <w:trPr>
          <w:trHeight w:val="23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przeznaczony do defibrylacji dorosłych i dzieci.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samoczynnego testowania urządzenia wraz z wskaźnikiem czy urządzenie może być użyte.</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zapisania wyniku autotestu w pamięci urządzenia.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automatycznego wydruku wyniku autotestu.</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Odporność na ingerencję ciał stałych i cieczy: min. IP44.</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Minimalny zakres temperatur pracy defibrylatora:</w:t>
            </w:r>
            <w:r>
              <w:rPr>
                <w:rFonts w:ascii="Calibri" w:eastAsia="Times New Roman" w:hAnsi="Calibri" w:cs="Calibri"/>
                <w:sz w:val="20"/>
                <w:szCs w:val="20"/>
              </w:rPr>
              <w:br/>
              <w:t>-5 do 45°C</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Waga z akumulatorem, zewnętrznymi łyżkami i uchwytem do zewnętrznych łyżek max. 7,0 kg</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Ekran kolorowy, pojedynczy, z aktywną matrycą TFT. Przekątna ekranu min. 10".</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wyposażony w ekran dotykowy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Rozdzielczość ekranu min.: 800 x 600 pikseli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wyświetlenia jednoczasowo min. 6 krzywych dynamicznych. Funkcja „zamrażania” krzywych.</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przewodnika z ilustracjami wskazującymi rozwiązanie problemów oraz sposobów rozmieszczenia czujników.</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Wysoka jasność wyświetlacza zapewniająca dobry odczyt parametrów z ekranu: min 400 cd/m</w:t>
            </w:r>
            <w:r>
              <w:rPr>
                <w:rFonts w:ascii="Calibri" w:eastAsia="Times New Roman" w:hAnsi="Calibri" w:cs="Calibri"/>
                <w:sz w:val="20"/>
                <w:szCs w:val="20"/>
                <w:vertAlign w:val="superscript"/>
              </w:rPr>
              <w:t>2</w:t>
            </w:r>
            <w:r>
              <w:rPr>
                <w:rFonts w:ascii="Calibri" w:eastAsia="Times New Roman" w:hAnsi="Calibri" w:cs="Calibri"/>
                <w:sz w:val="20"/>
                <w:szCs w:val="20"/>
              </w:rPr>
              <w:t>.</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Ekran „Dużych liczb”: funkcja wyświetlania ekranu powiększonych wartości numerycznych parametrów życiowych wraz z min. 1 krzywą EKG.</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zasilany elektrycznie 230 VAC/50 Hz ±10%.</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Wbudowane zasilanie akumulatorowe.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Automatyczne ładowanie akumulatora przy podłączeniu defibrylatora do sieciowego zasilania elektrycznego.</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150 wyładowań z energią maksymalną.</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40 wyładowań z energią maksymalną przy temperaturze 0°C.</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180 minut stymulacji przezskórnej przy ustawieniu najwyższej wartości prądu stymulacji i najwyższej częstotliwości stymulacji defibrylatora (podać nastawy).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Monitorowanie przy pracy z zasilaniem akumulatorowym - minimum 300 minut.</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akumulatora max 3 godziny.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Wskaźnik naładowania i komunikat rozładowania akumulatora. Stan rzeczywisty naładowanej baterii widoczny na ekranie defibrylatora.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dwufazowa.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Technologia zapewniająca stałą szerokość drugiej fazy impulsu defibrylacji przy wysokiej impedancji.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ręczna.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synchroniczna umożliwiająca przeprowadzenie kardiowersji.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półautomatyczna, AED.</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Zakres wyboru energii w J min. 2 – 265 J.</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Ilość stopni dostępności energii defibrylacji zewnętrznej min. 14.</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Łyżki do defibrylacji dla pacjentów pediatrycznych zintegrowane z łyżkami dla dorosłych.</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Wyzwalanie defibrylacji z łyżek defibrylacyjnych.</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do energii 200 [j] mniej niż 4 sekundy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do energii maksymalnej: mniej niż 5 sekund.</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Ze względu bezpieczeństwa defibrylator jest wyposażony w automatyczną procedurę wewnętrznego wyładowania energii w min. następujących przypadkach: wyładowanie łyżek w powietrze, </w:t>
            </w:r>
            <w:r>
              <w:rPr>
                <w:rFonts w:ascii="Calibri" w:eastAsia="Times New Roman" w:hAnsi="Calibri" w:cs="Calibri"/>
                <w:sz w:val="20"/>
                <w:szCs w:val="20"/>
              </w:rPr>
              <w:lastRenderedPageBreak/>
              <w:t>odłączenie od defibrylatora łyżek wielorazowych, odłączenie od defibrylatora przewodu AED, upłynięcie określonego czasu od momentu naładowania energii defibrylacji.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Tryb stymulacji stałej.</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Tryb stymulacji "na żądanie".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Regulacja częstotliwość stymulacji w zakresie min. 30 – 180 imp./min.</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Regulacja natężenia prądu stymulacji w zakresie min. 9 – 195 mA </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Monitorowanie EKG:</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 xml:space="preserve">Wyświetlanie min. 3 odprowadzeń EKG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 xml:space="preserve">Wybór wyświetlanego odprowadzenia EKG z: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łyżek defibrylatora, I, II, III.</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Zakres pomiarowy tętna: min. 15 ÷ 300 ud./min.</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Wzmocnienie zapisu krzywej EKG min.: x 0,25 x0,5; x1; x2, x4</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monitorowania 12-odpr EKG z przewodu 10-żyłowego, wyświetlanie wszystkich 12 odprowadzeń jednocześnie na ekranie.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rozbudowy o monitorowanie aproksymowanych 18 odprowadzeń EKG ze standardowego przewodu 12-odpr.</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Szybkie przywrócenie zapisu EKG po defibrylacji lub kardiowersji, max 3 sekundy.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wyboru rodzaju wykrywania QRS przez użytkownika w zależności od kategorii pacjenta. Min.: dorosły, dziecko, noworodek</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umożliwiająca pomiar EKG przy jednoczesnym wykonywaniu nieinwazyjnej stymulacji.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rozbudowy o analizę arytmii z rozpoznawaniem min. 6 kategorii arytmii.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Zasilany i sterowany z poziomu defibrylatora pomiar SpO</w:t>
            </w:r>
            <w:r>
              <w:rPr>
                <w:rFonts w:ascii="Calibri" w:eastAsia="Times New Roman" w:hAnsi="Calibri" w:cs="Calibri"/>
                <w:kern w:val="2"/>
                <w:sz w:val="20"/>
                <w:szCs w:val="20"/>
                <w:vertAlign w:val="subscript"/>
                <w:lang w:eastAsia="ar-SA"/>
              </w:rPr>
              <w:t>2</w:t>
            </w:r>
            <w:r>
              <w:rPr>
                <w:rFonts w:ascii="Calibri" w:eastAsia="Times New Roman" w:hAnsi="Calibri" w:cs="Calibri"/>
                <w:kern w:val="2"/>
                <w:sz w:val="20"/>
                <w:szCs w:val="20"/>
                <w:lang w:eastAsia="ar-SA"/>
              </w:rPr>
              <w:t xml:space="preserve"> za pośrednictwem wodoodpornego czujnika typu klips.</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55"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Pomiar SpO</w:t>
            </w:r>
            <w:r>
              <w:rPr>
                <w:rFonts w:ascii="Calibri" w:eastAsia="Times New Roman" w:hAnsi="Calibri" w:cs="Calibri"/>
                <w:kern w:val="2"/>
                <w:sz w:val="20"/>
                <w:szCs w:val="20"/>
                <w:vertAlign w:val="subscript"/>
                <w:lang w:eastAsia="ar-SA"/>
              </w:rPr>
              <w:t>2</w:t>
            </w:r>
            <w:r>
              <w:rPr>
                <w:rFonts w:ascii="Calibri" w:eastAsia="Times New Roman" w:hAnsi="Calibri" w:cs="Calibri"/>
                <w:kern w:val="2"/>
                <w:sz w:val="20"/>
                <w:szCs w:val="20"/>
                <w:lang w:eastAsia="ar-SA"/>
              </w:rPr>
              <w:t xml:space="preserve"> w zakresie min. 1 – 100 %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Pomiar pulsu w zakresie min. 30 – 300 ud./min.</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 VPC.</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Alarmy techniczne z podaniem przyczyny.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Alarmy wszystkich mierzonych parametrów życiowych.</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wyciszenia alarmu na min 2 minuty.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zawieszenia alarmów na min 2 minuty.</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Wbudowana drukarka termiczna.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Wydruki na żądanie.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Wydruki automatyczne.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Pamięć i możliwość wydrukowania min.30 raportów defibrylacji.</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Pamięć z możliwością wydruku min. 20 godzinnych trendów monitorowanych parametrów.</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wydrukowania raportu z autotestu.</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pozwalająca na wydruk raportu zawierającego krzywą i nazwęzdarzenia leczenia. Możliwość zdefiniowania i zapisania w pamięci defibrylatora nazw minimum 4 zdarzeń leczenia.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zapis min. 160 godzin ciągłego pomiaru EKG.</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urządzenia o moduł Bluetooth i WLAN</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urządzenia o komunikację HL7</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przesyłanie wyników autotestu do serwera.</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sterowany i zasilany z poziomu defibrylatora pomiar CO</w:t>
            </w:r>
            <w:r>
              <w:rPr>
                <w:rFonts w:ascii="Calibri" w:eastAsia="Times New Roman" w:hAnsi="Calibri" w:cs="Calibri"/>
                <w:sz w:val="20"/>
                <w:szCs w:val="20"/>
                <w:vertAlign w:val="subscript"/>
              </w:rPr>
              <w:t>2</w:t>
            </w:r>
            <w:r>
              <w:rPr>
                <w:rFonts w:ascii="Calibri" w:eastAsia="Times New Roman" w:hAnsi="Calibri" w:cs="Calibri"/>
                <w:sz w:val="20"/>
                <w:szCs w:val="20"/>
              </w:rPr>
              <w:t xml:space="preserve"> w strumieniu głównym zaintubowanych. Czas nagrzania do pomiaru: maks. 7 sekund.</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67.</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pomiar NIBP metodą oscylometryczną. Pomiar ręczny i okresowy z okresem pomiaru regulowanym w zakresie min. 1 – 480 min.</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pomiar NIBP realizowany podczas pompowania mankietu.</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6055"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Wyposażenie defibrylatora:</w:t>
            </w:r>
            <w:r>
              <w:rPr>
                <w:rFonts w:ascii="Calibri" w:eastAsia="Times New Roman" w:hAnsi="Calibri" w:cs="Calibri"/>
                <w:sz w:val="20"/>
                <w:szCs w:val="20"/>
              </w:rPr>
              <w:br/>
              <w:t>- łyżki do defibrylacji dla pacjentów dorosłych</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łyżki do defibrylacji dla pacjentów pediatrycznych (zintegrowane z łyżkami dla pacjentów dorosłych)</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kabel EKG min. 3 odprowadzeniowy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przewód do elektrod jednorazowych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elektrody jednorazowe do defibrylacji dla dorosłych/dzieci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wielorazowy przewód do podłączenia czujników saturacji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wielorazowy, wodoodporny czujnik saturacji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papier do rejestratora</w:t>
            </w:r>
          </w:p>
        </w:tc>
        <w:tc>
          <w:tcPr>
            <w:tcW w:w="3799" w:type="dxa"/>
            <w:vAlign w:val="center"/>
          </w:tcPr>
          <w:p w:rsidR="0078639D" w:rsidRDefault="0078639D">
            <w:pPr>
              <w:spacing w:after="0" w:line="276" w:lineRule="auto"/>
              <w:rPr>
                <w:rFonts w:ascii="Calibri" w:hAnsi="Calibri" w:cs="Calibri"/>
                <w:sz w:val="20"/>
                <w:szCs w:val="20"/>
              </w:rPr>
            </w:pPr>
          </w:p>
        </w:tc>
      </w:tr>
      <w:tr w:rsidR="0078639D">
        <w:trPr>
          <w:trHeight w:val="516"/>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6055"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99" w:type="dxa"/>
            <w:vAlign w:val="center"/>
          </w:tcPr>
          <w:p w:rsidR="0078639D" w:rsidRDefault="0078639D">
            <w:pPr>
              <w:spacing w:after="0" w:line="276" w:lineRule="auto"/>
              <w:rPr>
                <w:rFonts w:ascii="Calibri" w:hAnsi="Calibri" w:cs="Calibri"/>
                <w:sz w:val="20"/>
                <w:szCs w:val="20"/>
              </w:rPr>
            </w:pPr>
          </w:p>
        </w:tc>
      </w:tr>
      <w:tr w:rsidR="0078639D">
        <w:trPr>
          <w:trHeight w:val="216"/>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6055"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6055"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c>
          <w:tcPr>
            <w:tcW w:w="3799" w:type="dxa"/>
            <w:vAlign w:val="center"/>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6055"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c>
          <w:tcPr>
            <w:tcW w:w="3799" w:type="dxa"/>
            <w:vAlign w:val="center"/>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8 Łóżko elektryczne z wyposażeniem </w:t>
      </w:r>
    </w:p>
    <w:tbl>
      <w:tblPr>
        <w:tblStyle w:val="Tabela-Siatka"/>
        <w:tblW w:w="10368" w:type="dxa"/>
        <w:tblInd w:w="113" w:type="dxa"/>
        <w:tblLayout w:type="fixed"/>
        <w:tblLook w:val="04A0"/>
      </w:tblPr>
      <w:tblGrid>
        <w:gridCol w:w="533"/>
        <w:gridCol w:w="6054"/>
        <w:gridCol w:w="3781"/>
      </w:tblGrid>
      <w:tr w:rsidR="0078639D">
        <w:trPr>
          <w:trHeight w:val="264"/>
        </w:trPr>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rPr>
          <w:trHeight w:val="26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Metalowa konstrukcja łóżka lakierowana proszkowo. Podstawa łóżka pozbawiona kabli oraz układów sterujących funkcjami łóżka, łatwa w utrzymaniu czystości.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Podstawa łóżka pantograf podpierająca leże w minimum 8 punktach, gwarantująca stabilność leża (nie dopuszcza się łóżek opartych na dwóch i trzech kolumnach).</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Wszystkie przewody umieszczone w listwie stanowiącej tunel dla przewodów zasilających siłowniki.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 xml:space="preserve">Wolna przestrzeń pomiędzy podłożem, a całym podwoziem wynosząca nie mniej niż </w:t>
            </w:r>
            <w:r>
              <w:rPr>
                <w:rFonts w:ascii="Calibri" w:eastAsia="Times New Roman" w:hAnsi="Calibri" w:cs="Calibri"/>
                <w:color w:val="000000" w:themeColor="text1"/>
                <w:sz w:val="20"/>
                <w:szCs w:val="20"/>
              </w:rPr>
              <w:t xml:space="preserve">170mm ( dla kół 150 mm) umożliwiająca łatwy przejazd przez </w:t>
            </w:r>
            <w:r>
              <w:rPr>
                <w:rFonts w:ascii="Calibri" w:eastAsia="Times New Roman" w:hAnsi="Calibri" w:cs="Calibri"/>
                <w:sz w:val="20"/>
                <w:szCs w:val="20"/>
              </w:rPr>
              <w:t>progi oraz wjazd do dźwigów osobowych.</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Wymiary zewnętrzne łóżka:</w:t>
            </w:r>
          </w:p>
          <w:p w:rsidR="0078639D" w:rsidRDefault="004945CF">
            <w:pPr>
              <w:numPr>
                <w:ilvl w:val="0"/>
                <w:numId w:val="42"/>
              </w:numPr>
              <w:tabs>
                <w:tab w:val="clear" w:pos="720"/>
                <w:tab w:val="left" w:pos="0"/>
              </w:tabs>
              <w:spacing w:after="0" w:line="276" w:lineRule="auto"/>
              <w:ind w:left="170" w:hanging="170"/>
              <w:rPr>
                <w:rFonts w:ascii="Calibri" w:hAnsi="Calibri" w:cs="Calibri"/>
                <w:sz w:val="20"/>
                <w:szCs w:val="20"/>
              </w:rPr>
            </w:pPr>
            <w:r>
              <w:rPr>
                <w:rFonts w:ascii="Calibri" w:eastAsia="Times New Roman" w:hAnsi="Calibri" w:cs="Calibri"/>
                <w:sz w:val="20"/>
                <w:szCs w:val="20"/>
              </w:rPr>
              <w:t xml:space="preserve">Długość całkowita: 2160 mm, (± 30 mm) </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Szerokość całkowita wraz z zamontowanymi barierkami wynosi max 1000 mm (wymiar leża min. 870x2000)</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Leże łóżka czterosegmentowe z czego min. 3 segmenty ruchome.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Zasilanie elektryczne  220/230 V</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Przewód zasilający skrętny wyposażony w tworzywowy uchwyt na kabel zasilający na czas transportu łóżka.</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Elektryczne regulacje: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segment oparcia pleców 0-72° (± 2°)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segment uda 0-34°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kąt przechyłu Trendelenburga 0-17°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kąt przechyłu anty - Trendelenburga 0-17°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lastRenderedPageBreak/>
              <w:t>- regulacja segmentu podudzia – ręczna   mechanizmem zapadkowym.</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9.</w:t>
            </w:r>
          </w:p>
        </w:tc>
        <w:tc>
          <w:tcPr>
            <w:tcW w:w="6054" w:type="dxa"/>
            <w:vAlign w:val="center"/>
          </w:tcPr>
          <w:p w:rsidR="0078639D" w:rsidRDefault="004945CF">
            <w:pPr>
              <w:pStyle w:val="paragraph"/>
              <w:spacing w:beforeAutospacing="0" w:after="0" w:afterAutospacing="0" w:line="276" w:lineRule="auto"/>
              <w:textAlignment w:val="baseline"/>
              <w:rPr>
                <w:rFonts w:ascii="Calibri" w:hAnsi="Calibri" w:cs="Calibri"/>
                <w:sz w:val="20"/>
                <w:szCs w:val="20"/>
              </w:rPr>
            </w:pPr>
            <w:r>
              <w:rPr>
                <w:rStyle w:val="normaltextrun"/>
                <w:rFonts w:ascii="Calibri" w:hAnsi="Calibri" w:cs="Calibri"/>
                <w:bCs/>
                <w:iCs/>
                <w:sz w:val="20"/>
                <w:szCs w:val="20"/>
              </w:rPr>
              <w:t>Sterowanie</w:t>
            </w:r>
            <w:r>
              <w:rPr>
                <w:rStyle w:val="normaltextrun"/>
                <w:rFonts w:ascii="Calibri" w:hAnsi="Calibri" w:cs="Calibri"/>
                <w:bCs/>
                <w:sz w:val="20"/>
                <w:szCs w:val="20"/>
              </w:rPr>
              <w:t xml:space="preserve"> funkcjami łóżka:</w:t>
            </w:r>
            <w:r>
              <w:rPr>
                <w:rStyle w:val="eop"/>
                <w:rFonts w:ascii="Calibri" w:hAnsi="Calibri" w:cs="Calibri"/>
                <w:sz w:val="20"/>
                <w:szCs w:val="20"/>
              </w:rPr>
              <w:t> </w:t>
            </w:r>
            <w:r>
              <w:rPr>
                <w:rStyle w:val="normaltextrun"/>
                <w:rFonts w:ascii="Calibri" w:hAnsi="Calibri" w:cs="Calibri"/>
                <w:sz w:val="20"/>
                <w:szCs w:val="20"/>
              </w:rPr>
              <w:t> </w:t>
            </w:r>
            <w:r>
              <w:rPr>
                <w:rStyle w:val="eop"/>
                <w:rFonts w:ascii="Calibri" w:hAnsi="Calibri" w:cs="Calibri"/>
                <w:sz w:val="20"/>
                <w:szCs w:val="20"/>
              </w:rPr>
              <w:t> </w:t>
            </w:r>
          </w:p>
          <w:p w:rsidR="0078639D" w:rsidRDefault="004945CF">
            <w:pPr>
              <w:pStyle w:val="paragraph"/>
              <w:spacing w:beforeAutospacing="0" w:after="0" w:afterAutospacing="0" w:line="276" w:lineRule="auto"/>
              <w:textAlignment w:val="baseline"/>
              <w:rPr>
                <w:rFonts w:ascii="Calibri" w:hAnsi="Calibri" w:cs="Calibri"/>
                <w:sz w:val="20"/>
                <w:szCs w:val="20"/>
              </w:rPr>
            </w:pPr>
            <w:r>
              <w:rPr>
                <w:rFonts w:ascii="Calibri" w:hAnsi="Calibri" w:cs="Calibri"/>
                <w:sz w:val="20"/>
                <w:szCs w:val="20"/>
              </w:rPr>
              <w:t xml:space="preserve">Łóżko posiadające pilot przewodowy z możliwością blokady.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Elektryczna regulacja wysokości w zakresie:</w:t>
            </w:r>
          </w:p>
          <w:p w:rsidR="0078639D" w:rsidRDefault="004945CF">
            <w:pPr>
              <w:snapToGrid w:val="0"/>
              <w:spacing w:after="0" w:line="276" w:lineRule="auto"/>
              <w:rPr>
                <w:rFonts w:ascii="Calibri" w:hAnsi="Calibri" w:cs="Calibri"/>
                <w:color w:val="000000" w:themeColor="text1"/>
                <w:sz w:val="20"/>
                <w:szCs w:val="20"/>
              </w:rPr>
            </w:pPr>
            <w:r>
              <w:rPr>
                <w:rFonts w:ascii="Calibri" w:eastAsia="Times New Roman" w:hAnsi="Calibri" w:cs="Calibri"/>
                <w:color w:val="000000" w:themeColor="text1"/>
                <w:sz w:val="20"/>
                <w:szCs w:val="20"/>
              </w:rPr>
              <w:t xml:space="preserve">350 mm do 850 mm (± 50 mm)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Dźwignia CPR umożliwiająca mechaniczne uniesienie segmentu pleców w przypadku braku zasilania (alternatywny napęd).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Leże odporne na działanie wysokiej temperatury, środków dezynfekujących oraz działanie promieni UV.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Szczyty łatwo odejmowane, odporne na działanie wysokiej temperatury, uszkodzenia mechaniczne, chemiczne oraz promieniowanie UV.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Łóżko wyposażone barierki boczne, zabezpieczające pacjenta na całej długości leża.</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Opuszczanie oraz podnoszenie barierek bocznych w łatwy sposób za pomocą jednej ręki.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 narożnikach leża 4 krążki stożkowe uniemożliwiające przypadkowe wyrwanie parapetów okiennych lub listew ściennych przy regulacji wysokości łóżka odbojowe, chroniące łóżko i ściany przed uderzeniami oraz otarciami.</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Podstawa łóżka jezdna wyposażona w antystatyczne koła o średnicy min. 120 mm, z centralną blokadą kół oraz blokadą kierunkową. </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Bezpieczne obciążenie min. 200 kg</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Możliwość wyboru kolorów wypełnień min. 6 kolorów</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Wymagane elementy wyposażenia łóżek:</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Wysięgnik z uchwytem do ręki</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Wysięgnik z haczykami na kroplówkę</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Materac</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Materac wysokości 12cm dopasowany do rozmiarów leża (gąbka w pokrowcu z tkaniny).</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Gęstość pianki T-40kg/m3, i twardości 4.1kPa. Osłona z zamkiem błyskawicznym z 2 stron (zapięcie w kształcie „L”), chroniąca cały materac, wykonana z włókna tekstylnego, pokrytego czystym przepuszczającym parę wodną poliuretanem, bez PVC.</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Osłona na materac odporna na przemakanie, zanieczyszczenia, przenikanie mikroorganizmów, wytrzymała, elastyczna odporna na ścieranie.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Łatwa do dezynfekcji i prania , nie zmieniająca swych parametrów pod wpływem środków chemicznych (wytrzymałość na alkohole, środki czyszczące, środki dezynfekcyjne) i wysokie temperatury (pranie na gorąco 95° C, suszenie w bębnie – 100° C).</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czyszczenia w komorach myjących (para-próżnia para) w temp. 100° C pokrowca).</w:t>
            </w:r>
          </w:p>
        </w:tc>
        <w:tc>
          <w:tcPr>
            <w:tcW w:w="3781" w:type="dxa"/>
          </w:tcPr>
          <w:p w:rsidR="0078639D" w:rsidRDefault="0078639D">
            <w:pPr>
              <w:spacing w:after="0" w:line="276" w:lineRule="auto"/>
              <w:rPr>
                <w:rFonts w:ascii="Calibri" w:hAnsi="Calibri" w:cs="Calibri"/>
                <w:sz w:val="20"/>
                <w:szCs w:val="20"/>
              </w:rPr>
            </w:pPr>
          </w:p>
        </w:tc>
      </w:tr>
      <w:tr w:rsidR="0078639D">
        <w:trPr>
          <w:trHeight w:val="61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sz w:val="20"/>
                <w:szCs w:val="20"/>
              </w:rPr>
            </w:pPr>
          </w:p>
        </w:tc>
      </w:tr>
      <w:tr w:rsidR="0078639D">
        <w:trPr>
          <w:trHeight w:val="58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c>
          <w:tcPr>
            <w:tcW w:w="3781" w:type="dxa"/>
          </w:tcPr>
          <w:p w:rsidR="0078639D" w:rsidRDefault="0078639D">
            <w:pPr>
              <w:spacing w:after="0" w:line="276" w:lineRule="auto"/>
              <w:rPr>
                <w:rFonts w:ascii="Calibri" w:hAnsi="Calibri" w:cs="Calibri"/>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4"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c>
          <w:tcPr>
            <w:tcW w:w="3781" w:type="dxa"/>
          </w:tcPr>
          <w:p w:rsidR="0078639D" w:rsidRDefault="0078639D">
            <w:pPr>
              <w:spacing w:after="0" w:line="276" w:lineRule="auto"/>
              <w:rPr>
                <w:rFonts w:ascii="Calibri" w:hAnsi="Calibri" w:cs="Calibri"/>
                <w:sz w:val="20"/>
                <w:szCs w:val="20"/>
              </w:rPr>
            </w:pPr>
          </w:p>
        </w:tc>
      </w:tr>
    </w:tbl>
    <w:p w:rsidR="0078639D" w:rsidRDefault="004945CF">
      <w:pPr>
        <w:spacing w:after="0"/>
        <w:outlineLvl w:val="0"/>
        <w:rPr>
          <w:b/>
        </w:rPr>
      </w:pPr>
      <w:r>
        <w:rPr>
          <w:b/>
        </w:rPr>
        <w:lastRenderedPageBreak/>
        <w:t xml:space="preserve">Pakiet 9 Waga </w:t>
      </w:r>
    </w:p>
    <w:tbl>
      <w:tblPr>
        <w:tblStyle w:val="Tabela-Siatka"/>
        <w:tblW w:w="10386" w:type="dxa"/>
        <w:tblInd w:w="113" w:type="dxa"/>
        <w:tblLayout w:type="fixed"/>
        <w:tblLook w:val="04A0"/>
      </w:tblPr>
      <w:tblGrid>
        <w:gridCol w:w="531"/>
        <w:gridCol w:w="6056"/>
        <w:gridCol w:w="3799"/>
      </w:tblGrid>
      <w:tr w:rsidR="0078639D">
        <w:trPr>
          <w:trHeight w:val="168"/>
        </w:trPr>
        <w:tc>
          <w:tcPr>
            <w:tcW w:w="6587" w:type="dxa"/>
            <w:gridSpan w:val="2"/>
            <w:shd w:val="clear" w:color="auto" w:fill="FFC000"/>
            <w:vAlign w:val="center"/>
          </w:tcPr>
          <w:p w:rsidR="0078639D" w:rsidRDefault="004945CF">
            <w:pPr>
              <w:spacing w:after="0" w:line="276" w:lineRule="auto"/>
              <w:jc w:val="center"/>
              <w:rPr>
                <w:rFonts w:ascii="Calibri" w:hAnsi="Calibri" w:cs="Calibri"/>
                <w:color w:val="363437"/>
                <w:sz w:val="20"/>
                <w:szCs w:val="20"/>
              </w:rPr>
            </w:pPr>
            <w:r>
              <w:rPr>
                <w:rFonts w:ascii="Calibri" w:eastAsia="Times New Roman" w:hAnsi="Calibri" w:cs="Calibri"/>
                <w:b/>
                <w:sz w:val="20"/>
              </w:rPr>
              <w:t>Parametr wymagany</w:t>
            </w:r>
          </w:p>
        </w:tc>
        <w:tc>
          <w:tcPr>
            <w:tcW w:w="3799" w:type="dxa"/>
            <w:shd w:val="clear" w:color="auto" w:fill="FFC000"/>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6" w:type="dxa"/>
            <w:vAlign w:val="center"/>
          </w:tcPr>
          <w:p w:rsidR="0078639D" w:rsidRDefault="004945CF">
            <w:pPr>
              <w:spacing w:after="0" w:line="276" w:lineRule="auto"/>
              <w:rPr>
                <w:rFonts w:ascii="Calibri" w:hAnsi="Calibri" w:cs="Calibri"/>
                <w:color w:val="000000" w:themeColor="text1"/>
                <w:sz w:val="20"/>
                <w:szCs w:val="20"/>
              </w:rPr>
            </w:pPr>
            <w:r>
              <w:rPr>
                <w:rFonts w:ascii="Calibri" w:eastAsia="Times New Roman" w:hAnsi="Calibri" w:cs="Calibri"/>
                <w:color w:val="000000" w:themeColor="text1"/>
                <w:sz w:val="20"/>
                <w:szCs w:val="20"/>
              </w:rPr>
              <w:t>Wyrób fabrycznie nowy, rok produkcji nie starszy niż 2025.</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39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6"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Profesjonalna, mechaniczna waga kolumnowa z przesuwnymi odważnikami, do precyzyjnego pomiaru masy ciała w placówkach medycznych.</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14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6"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Klasa dokładności:</w:t>
            </w:r>
            <w:r>
              <w:rPr>
                <w:rStyle w:val="t286pc"/>
                <w:rFonts w:ascii="Calibri" w:eastAsia="Times New Roman" w:hAnsi="Calibri" w:cs="Calibri"/>
                <w:sz w:val="20"/>
                <w:szCs w:val="20"/>
              </w:rPr>
              <w:t xml:space="preserve"> III </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13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 xml:space="preserve">Nośność: </w:t>
            </w:r>
            <w:r>
              <w:rPr>
                <w:rStyle w:val="t286pc"/>
                <w:rFonts w:ascii="Calibri" w:eastAsia="Times New Roman" w:hAnsi="Calibri" w:cs="Calibri"/>
                <w:sz w:val="20"/>
                <w:szCs w:val="20"/>
              </w:rPr>
              <w:t>około 220 kg</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Podziałka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100 g.</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Wymiary</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około 520 x 1556 x 520 mm</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10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 xml:space="preserve">Wymiary platformy: około </w:t>
            </w:r>
            <w:r>
              <w:rPr>
                <w:rStyle w:val="t286pc"/>
                <w:rFonts w:ascii="Calibri" w:eastAsia="Times New Roman" w:hAnsi="Calibri" w:cs="Calibri"/>
                <w:sz w:val="20"/>
                <w:szCs w:val="20"/>
              </w:rPr>
              <w:t>335 x 80 x 345 mm</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15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Waga własna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około 21 kg</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Lokalizacja odczytu:</w:t>
            </w:r>
            <w:r>
              <w:rPr>
                <w:rStyle w:val="t286pc"/>
                <w:rFonts w:ascii="Calibri" w:eastAsia="Times New Roman" w:hAnsi="Calibri" w:cs="Calibri"/>
                <w:sz w:val="20"/>
                <w:szCs w:val="20"/>
              </w:rPr>
              <w:t xml:space="preserve"> Skala pomiarowa umieszczona na wysokości wzroku.</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6"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Konstrukcja:</w:t>
            </w:r>
            <w:r>
              <w:rPr>
                <w:rStyle w:val="t286pc"/>
                <w:rFonts w:ascii="Calibri" w:eastAsia="Times New Roman" w:hAnsi="Calibri" w:cs="Calibri"/>
                <w:sz w:val="20"/>
                <w:szCs w:val="20"/>
              </w:rPr>
              <w:t xml:space="preserve"> Solidna, żeliwna podstawa oraz stalowa kolumna.</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Mobilność:</w:t>
            </w:r>
            <w:r>
              <w:rPr>
                <w:rStyle w:val="t286pc"/>
                <w:rFonts w:ascii="Calibri" w:eastAsia="Times New Roman" w:hAnsi="Calibri" w:cs="Calibri"/>
                <w:sz w:val="20"/>
                <w:szCs w:val="20"/>
              </w:rPr>
              <w:t xml:space="preserve"> Zintegrowane rolki transportowe umożliwiające łatwe przemieszczanie wagi przez jedną osobę.</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Bezpieczeństwo:</w:t>
            </w:r>
            <w:r>
              <w:rPr>
                <w:rStyle w:val="t286pc"/>
                <w:rFonts w:ascii="Calibri" w:eastAsia="Times New Roman" w:hAnsi="Calibri" w:cs="Calibri"/>
                <w:sz w:val="20"/>
                <w:szCs w:val="20"/>
              </w:rPr>
              <w:t xml:space="preserve"> Nisko zawieszona, stabilna platforma z antypoślizgową matą.</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Regulacja:</w:t>
            </w:r>
            <w:r>
              <w:rPr>
                <w:rStyle w:val="t286pc"/>
                <w:rFonts w:ascii="Calibri" w:eastAsia="Times New Roman" w:hAnsi="Calibri" w:cs="Calibri"/>
                <w:sz w:val="20"/>
                <w:szCs w:val="20"/>
              </w:rPr>
              <w:t xml:space="preserve"> Możliwość manualnego ustawienia punktu zerowego.</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Skala:</w:t>
            </w:r>
            <w:r>
              <w:rPr>
                <w:rStyle w:val="t286pc"/>
                <w:rFonts w:ascii="Calibri" w:eastAsia="Times New Roman" w:hAnsi="Calibri" w:cs="Calibri"/>
                <w:sz w:val="20"/>
                <w:szCs w:val="20"/>
              </w:rPr>
              <w:t xml:space="preserve"> Dwustronna (odczyt możliwy z obu stron kolumny).</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33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 xml:space="preserve">Wzrostomierz teleskopowy: </w:t>
            </w:r>
            <w:r>
              <w:rPr>
                <w:rStyle w:val="t286pc"/>
                <w:rFonts w:ascii="Calibri" w:eastAsia="Times New Roman" w:hAnsi="Calibri" w:cs="Calibri"/>
                <w:sz w:val="20"/>
                <w:szCs w:val="20"/>
              </w:rPr>
              <w:t xml:space="preserve">zakres pomiaru od 60 do 200 cm (podziałka 1 mm). </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26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99" w:type="dxa"/>
            <w:vAlign w:val="center"/>
          </w:tcPr>
          <w:p w:rsidR="0078639D" w:rsidRDefault="0078639D">
            <w:pPr>
              <w:spacing w:after="0" w:line="276" w:lineRule="auto"/>
              <w:rPr>
                <w:rFonts w:ascii="Calibri" w:hAnsi="Calibri" w:cs="Calibri"/>
                <w:b/>
                <w:sz w:val="20"/>
                <w:szCs w:val="20"/>
              </w:rPr>
            </w:pPr>
          </w:p>
        </w:tc>
      </w:tr>
      <w:tr w:rsidR="0078639D">
        <w:trPr>
          <w:trHeight w:val="15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6" w:type="dxa"/>
            <w:vAlign w:val="center"/>
          </w:tcPr>
          <w:p w:rsidR="0078639D" w:rsidRDefault="004945CF">
            <w:pPr>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Deklaracja zgodności/oznaczenie CE</w:t>
            </w:r>
          </w:p>
        </w:tc>
        <w:tc>
          <w:tcPr>
            <w:tcW w:w="3799" w:type="dxa"/>
            <w:vAlign w:val="center"/>
          </w:tcPr>
          <w:p w:rsidR="0078639D" w:rsidRDefault="0078639D">
            <w:pPr>
              <w:spacing w:after="0" w:line="276" w:lineRule="auto"/>
              <w:rPr>
                <w:rFonts w:ascii="Calibri" w:hAnsi="Calibri" w:cs="Calibri"/>
                <w:b/>
                <w:sz w:val="20"/>
                <w:szCs w:val="20"/>
              </w:rPr>
            </w:pP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6"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Gwarancja minimum 24 miesiące.</w:t>
            </w:r>
          </w:p>
        </w:tc>
        <w:tc>
          <w:tcPr>
            <w:tcW w:w="3799" w:type="dxa"/>
            <w:vAlign w:val="center"/>
          </w:tcPr>
          <w:p w:rsidR="0078639D" w:rsidRDefault="0078639D">
            <w:pPr>
              <w:spacing w:after="0" w:line="276" w:lineRule="auto"/>
              <w:rPr>
                <w:rFonts w:ascii="Calibri" w:hAnsi="Calibri" w:cs="Calibri"/>
                <w:b/>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10 Kardiostymulator zewnętrzny </w:t>
      </w:r>
    </w:p>
    <w:tbl>
      <w:tblPr>
        <w:tblStyle w:val="Tabela-Siatka"/>
        <w:tblW w:w="10386" w:type="dxa"/>
        <w:tblInd w:w="113" w:type="dxa"/>
        <w:tblLayout w:type="fixed"/>
        <w:tblLook w:val="04A0"/>
      </w:tblPr>
      <w:tblGrid>
        <w:gridCol w:w="532"/>
        <w:gridCol w:w="6055"/>
        <w:gridCol w:w="3799"/>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wymagany</w:t>
            </w:r>
          </w:p>
        </w:tc>
        <w:tc>
          <w:tcPr>
            <w:tcW w:w="3799" w:type="dxa"/>
            <w:shd w:val="clear" w:color="auto" w:fill="FFC000"/>
          </w:tcPr>
          <w:p w:rsidR="0078639D" w:rsidRDefault="004945CF">
            <w:pPr>
              <w:spacing w:after="0" w:line="276" w:lineRule="auto"/>
              <w:jc w:val="center"/>
              <w:rPr>
                <w:rFonts w:ascii="Calibri" w:hAnsi="Calibri" w:cs="Calibri"/>
                <w:sz w:val="20"/>
                <w:szCs w:val="20"/>
              </w:rPr>
            </w:pPr>
            <w:r>
              <w:rPr>
                <w:rFonts w:ascii="Calibri" w:eastAsia="Times New Roman" w:hAnsi="Calibri" w:cs="Calibri"/>
                <w:b/>
                <w:sz w:val="20"/>
              </w:rPr>
              <w:t>Parametr oferowany (dokładnie opisać)</w:t>
            </w: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pracy: AAI, AOO, VVI, VOO.</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Podstawowa częstość stymulacji regulowana w zakresie co najmniej 30 – 180 ppm</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Stymulacja o wysokiej częstości: Funkcja stymulacji szybkiej o częstości co najmniej do 990 ppm</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Amplituda impulsu wyjściowego regulowana w zakresie co najmniej od 0,2 V do 12 V</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Czułość regulowana w zakresie do 20 mV</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trwania impulsu: stały lub regulowany w zakresie mieszczącym się między 0,2 ms a 1,5 ms</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posiadające optyczne i akustyczne wskaźniki stymulacji, wyczuwania własnych załamków serca oraz stanu rozładowania baterii.</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Wbudowane zabezpieczenie chroniące urządzenie podczas defibrylacji pacjenta.</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Automatyczne ograniczenie emisji impulsów lub alarmy przy </w:t>
            </w:r>
            <w:r>
              <w:rPr>
                <w:rFonts w:ascii="Calibri" w:eastAsia="Times New Roman" w:hAnsi="Calibri" w:cs="Calibri"/>
                <w:sz w:val="20"/>
                <w:szCs w:val="20"/>
              </w:rPr>
              <w:lastRenderedPageBreak/>
              <w:t>przekroczeniu bezpiecznych wartości.</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11.</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bateryjne, zapewniające ciągłość pracy. Wymagane jest rozwiązanie umożliwiające wymianę baterii bez przerwania stymulacji.</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pracy urządzenia minimum 200 godzin.</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urządzenia wraz z baterią około 300 g</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Zestaw zawierający: stymulator, kabel pacjenta, bateria startowa.</w:t>
            </w:r>
          </w:p>
        </w:tc>
        <w:tc>
          <w:tcPr>
            <w:tcW w:w="3799" w:type="dxa"/>
          </w:tcPr>
          <w:p w:rsidR="0078639D" w:rsidRDefault="0078639D">
            <w:pPr>
              <w:spacing w:after="0" w:line="276" w:lineRule="auto"/>
              <w:rPr>
                <w:rFonts w:ascii="Calibri" w:hAnsi="Calibri" w:cs="Calibri"/>
                <w:sz w:val="20"/>
                <w:szCs w:val="20"/>
              </w:rPr>
            </w:pPr>
          </w:p>
        </w:tc>
      </w:tr>
      <w:tr w:rsidR="0078639D">
        <w:trPr>
          <w:trHeight w:val="62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5" w:type="dxa"/>
            <w:vAlign w:val="center"/>
          </w:tcPr>
          <w:p w:rsidR="0078639D" w:rsidRDefault="004945CF">
            <w:pPr>
              <w:spacing w:after="0" w:line="276" w:lineRule="auto"/>
              <w:rPr>
                <w:rFonts w:ascii="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99" w:type="dxa"/>
          </w:tcPr>
          <w:p w:rsidR="0078639D" w:rsidRDefault="0078639D">
            <w:pPr>
              <w:spacing w:after="0" w:line="276" w:lineRule="auto"/>
              <w:rPr>
                <w:rFonts w:ascii="Calibri" w:hAnsi="Calibri" w:cs="Calibri"/>
                <w:sz w:val="20"/>
                <w:szCs w:val="20"/>
              </w:rPr>
            </w:pPr>
          </w:p>
        </w:tc>
      </w:tr>
      <w:tr w:rsidR="0078639D">
        <w:trPr>
          <w:trHeight w:val="588"/>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5" w:type="dxa"/>
            <w:vAlign w:val="center"/>
          </w:tcPr>
          <w:p w:rsidR="0078639D" w:rsidRDefault="004945CF">
            <w:pPr>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sz w:val="20"/>
                <w:szCs w:val="20"/>
              </w:rPr>
            </w:pPr>
          </w:p>
        </w:tc>
      </w:tr>
      <w:tr w:rsidR="0078639D">
        <w:trPr>
          <w:trHeight w:val="132"/>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5"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c>
          <w:tcPr>
            <w:tcW w:w="3799" w:type="dxa"/>
          </w:tcPr>
          <w:p w:rsidR="0078639D" w:rsidRDefault="0078639D">
            <w:pPr>
              <w:spacing w:after="0" w:line="276" w:lineRule="auto"/>
              <w:rPr>
                <w:rFonts w:ascii="Calibri" w:hAnsi="Calibri" w:cs="Calibri"/>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5" w:type="dxa"/>
            <w:vAlign w:val="center"/>
          </w:tcPr>
          <w:p w:rsidR="0078639D" w:rsidRDefault="004945CF">
            <w:pPr>
              <w:spacing w:after="0" w:line="276" w:lineRule="auto"/>
              <w:rPr>
                <w:rFonts w:ascii="Calibri" w:eastAsia="Calibri" w:hAnsi="Calibri" w:cs="Calibri"/>
                <w:sz w:val="20"/>
                <w:szCs w:val="20"/>
              </w:rPr>
            </w:pPr>
            <w:r>
              <w:rPr>
                <w:rFonts w:ascii="Calibri" w:eastAsia="Calibri" w:hAnsi="Calibri" w:cs="Calibri"/>
                <w:sz w:val="20"/>
                <w:szCs w:val="20"/>
              </w:rPr>
              <w:t>Gwarancja minimum 24 miesiące.</w:t>
            </w:r>
          </w:p>
        </w:tc>
        <w:tc>
          <w:tcPr>
            <w:tcW w:w="3799" w:type="dxa"/>
          </w:tcPr>
          <w:p w:rsidR="0078639D" w:rsidRDefault="0078639D">
            <w:pPr>
              <w:spacing w:after="0" w:line="276" w:lineRule="auto"/>
              <w:rPr>
                <w:rFonts w:ascii="Calibri" w:hAnsi="Calibri" w:cs="Calibri"/>
                <w:sz w:val="20"/>
                <w:szCs w:val="20"/>
              </w:rPr>
            </w:pPr>
          </w:p>
        </w:tc>
      </w:tr>
    </w:tbl>
    <w:p w:rsidR="0078639D" w:rsidRDefault="0078639D">
      <w:pPr>
        <w:spacing w:after="0"/>
        <w:outlineLvl w:val="0"/>
        <w:rPr>
          <w:b/>
        </w:rPr>
      </w:pPr>
    </w:p>
    <w:p w:rsidR="0078639D" w:rsidRDefault="004945CF">
      <w:pPr>
        <w:spacing w:after="0"/>
        <w:outlineLvl w:val="0"/>
        <w:rPr>
          <w:b/>
        </w:rPr>
      </w:pPr>
      <w:r>
        <w:rPr>
          <w:b/>
        </w:rPr>
        <w:t>Pakiet  11 Opcje kardiologiczne</w:t>
      </w:r>
    </w:p>
    <w:tbl>
      <w:tblPr>
        <w:tblStyle w:val="Tabela-Siatka"/>
        <w:tblW w:w="10368" w:type="dxa"/>
        <w:tblInd w:w="113" w:type="dxa"/>
        <w:tblLayout w:type="fixed"/>
        <w:tblLook w:val="04A0"/>
      </w:tblPr>
      <w:tblGrid>
        <w:gridCol w:w="533"/>
        <w:gridCol w:w="6054"/>
        <w:gridCol w:w="3781"/>
      </w:tblGrid>
      <w:tr w:rsidR="0078639D" w:rsidRPr="00630AA5">
        <w:trPr>
          <w:trHeight w:val="20"/>
        </w:trPr>
        <w:tc>
          <w:tcPr>
            <w:tcW w:w="6587" w:type="dxa"/>
            <w:gridSpan w:val="2"/>
            <w:shd w:val="clear" w:color="auto" w:fill="FFC000"/>
            <w:vAlign w:val="center"/>
          </w:tcPr>
          <w:p w:rsidR="0078639D" w:rsidRPr="00630AA5" w:rsidRDefault="004945CF">
            <w:pPr>
              <w:spacing w:after="0" w:line="276" w:lineRule="auto"/>
              <w:jc w:val="center"/>
              <w:rPr>
                <w:rFonts w:ascii="Calibri" w:hAnsi="Calibri" w:cs="Calibri"/>
                <w:color w:val="000000"/>
                <w:sz w:val="20"/>
                <w:szCs w:val="20"/>
              </w:rPr>
            </w:pPr>
            <w:r w:rsidRPr="00630AA5">
              <w:rPr>
                <w:rFonts w:ascii="Calibri" w:eastAsia="Times New Roman" w:hAnsi="Calibri" w:cs="Calibri"/>
                <w:b/>
                <w:sz w:val="20"/>
              </w:rPr>
              <w:t>Parametr wymagany</w:t>
            </w:r>
          </w:p>
        </w:tc>
        <w:tc>
          <w:tcPr>
            <w:tcW w:w="3781" w:type="dxa"/>
            <w:shd w:val="clear" w:color="auto" w:fill="FFC000"/>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rPr>
              <w:t>Parametr oferowany (dokładnie opisać)</w:t>
            </w: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1.</w:t>
            </w:r>
          </w:p>
        </w:tc>
        <w:tc>
          <w:tcPr>
            <w:tcW w:w="605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Upgrade aparatu tomografu komputerowego Revolution Maxima</w:t>
            </w:r>
          </w:p>
        </w:tc>
        <w:tc>
          <w:tcPr>
            <w:tcW w:w="3781" w:type="dxa"/>
          </w:tcPr>
          <w:p w:rsidR="0078639D" w:rsidRPr="00630AA5" w:rsidRDefault="0078639D">
            <w:pPr>
              <w:spacing w:after="0" w:line="276" w:lineRule="auto"/>
              <w:rPr>
                <w:rFonts w:ascii="Calibri" w:hAnsi="Calibri" w:cs="Calibri"/>
                <w:b/>
                <w:sz w:val="20"/>
                <w:szCs w:val="20"/>
              </w:rPr>
            </w:pPr>
          </w:p>
        </w:tc>
      </w:tr>
      <w:tr w:rsidR="0078639D" w:rsidRPr="00E256B8">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2.</w:t>
            </w:r>
          </w:p>
        </w:tc>
        <w:tc>
          <w:tcPr>
            <w:tcW w:w="6054" w:type="dxa"/>
            <w:vAlign w:val="center"/>
          </w:tcPr>
          <w:p w:rsidR="0078639D" w:rsidRPr="00630AA5" w:rsidRDefault="004945CF">
            <w:pPr>
              <w:spacing w:after="0" w:line="276" w:lineRule="auto"/>
              <w:rPr>
                <w:rFonts w:ascii="Calibri" w:hAnsi="Calibri" w:cs="Calibri"/>
                <w:color w:val="000000"/>
                <w:sz w:val="20"/>
                <w:szCs w:val="20"/>
                <w:lang w:val="en-US"/>
              </w:rPr>
            </w:pPr>
            <w:r w:rsidRPr="00630AA5">
              <w:rPr>
                <w:rFonts w:ascii="Calibri" w:eastAsia="Times New Roman" w:hAnsi="Calibri" w:cs="Calibri"/>
                <w:color w:val="000000"/>
                <w:sz w:val="20"/>
                <w:szCs w:val="20"/>
                <w:lang w:val="en-US"/>
              </w:rPr>
              <w:t>Instalacja opcji na Revolution Maxima: Pakiet kardiologiczny Smart score Pro, ECG trace, Cardiac Enhance filter, Card IQ Snapshot, SnapShot Pulse, ECG wave on gantry, SnapShot Assist, SnapShot Freeze.</w:t>
            </w:r>
          </w:p>
        </w:tc>
        <w:tc>
          <w:tcPr>
            <w:tcW w:w="3781" w:type="dxa"/>
          </w:tcPr>
          <w:p w:rsidR="0078639D" w:rsidRPr="00630AA5" w:rsidRDefault="0078639D">
            <w:pPr>
              <w:spacing w:after="0" w:line="276" w:lineRule="auto"/>
              <w:rPr>
                <w:rFonts w:ascii="Calibri" w:hAnsi="Calibri" w:cs="Calibri"/>
                <w:b/>
                <w:sz w:val="20"/>
                <w:szCs w:val="20"/>
                <w:lang w:val="en-US"/>
              </w:rPr>
            </w:pP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3.</w:t>
            </w:r>
          </w:p>
        </w:tc>
        <w:tc>
          <w:tcPr>
            <w:tcW w:w="605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Kardiomonitor Ivy 7800</w:t>
            </w:r>
          </w:p>
        </w:tc>
        <w:tc>
          <w:tcPr>
            <w:tcW w:w="3781" w:type="dxa"/>
          </w:tcPr>
          <w:p w:rsidR="0078639D" w:rsidRPr="00630AA5" w:rsidRDefault="0078639D">
            <w:pPr>
              <w:spacing w:after="0" w:line="276" w:lineRule="auto"/>
              <w:rPr>
                <w:rFonts w:ascii="Calibri" w:hAnsi="Calibri" w:cs="Calibri"/>
                <w:b/>
                <w:sz w:val="20"/>
                <w:szCs w:val="20"/>
              </w:rPr>
            </w:pP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4.</w:t>
            </w:r>
          </w:p>
        </w:tc>
        <w:tc>
          <w:tcPr>
            <w:tcW w:w="605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Aktualizacja oprogramowania do najnowszej wersji AW Serwera</w:t>
            </w:r>
          </w:p>
        </w:tc>
        <w:tc>
          <w:tcPr>
            <w:tcW w:w="3781" w:type="dxa"/>
          </w:tcPr>
          <w:p w:rsidR="0078639D" w:rsidRPr="00630AA5" w:rsidRDefault="0078639D">
            <w:pPr>
              <w:spacing w:after="0" w:line="276" w:lineRule="auto"/>
              <w:rPr>
                <w:rFonts w:ascii="Calibri" w:hAnsi="Calibri" w:cs="Calibri"/>
                <w:b/>
                <w:sz w:val="20"/>
                <w:szCs w:val="20"/>
              </w:rPr>
            </w:pPr>
          </w:p>
        </w:tc>
      </w:tr>
      <w:tr w:rsidR="0078639D" w:rsidRPr="00E256B8">
        <w:trPr>
          <w:trHeight w:val="324"/>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5.</w:t>
            </w:r>
          </w:p>
        </w:tc>
        <w:tc>
          <w:tcPr>
            <w:tcW w:w="6054" w:type="dxa"/>
            <w:vAlign w:val="center"/>
          </w:tcPr>
          <w:p w:rsidR="0078639D" w:rsidRPr="00630AA5" w:rsidRDefault="004945CF">
            <w:pPr>
              <w:spacing w:after="0" w:line="276" w:lineRule="auto"/>
              <w:rPr>
                <w:rFonts w:ascii="Calibri" w:hAnsi="Calibri" w:cs="Calibri"/>
                <w:color w:val="000000"/>
                <w:sz w:val="20"/>
                <w:szCs w:val="20"/>
                <w:lang w:val="en-US"/>
              </w:rPr>
            </w:pPr>
            <w:r w:rsidRPr="00630AA5">
              <w:rPr>
                <w:rFonts w:ascii="Calibri" w:eastAsia="Times New Roman" w:hAnsi="Calibri" w:cs="Calibri"/>
                <w:color w:val="000000"/>
                <w:sz w:val="20"/>
                <w:szCs w:val="20"/>
                <w:lang w:val="en-US"/>
              </w:rPr>
              <w:t>Instalacja następujących aplikacji (po 1 licencji): CardIQ Xpress 2.0 Reveal DL, CardIQ function Xpress, CardIQ Suite Coronaries, Snapshot Freeze 2</w:t>
            </w:r>
          </w:p>
        </w:tc>
        <w:tc>
          <w:tcPr>
            <w:tcW w:w="3781" w:type="dxa"/>
          </w:tcPr>
          <w:p w:rsidR="0078639D" w:rsidRPr="00630AA5" w:rsidRDefault="0078639D">
            <w:pPr>
              <w:spacing w:after="0" w:line="276" w:lineRule="auto"/>
              <w:rPr>
                <w:rFonts w:ascii="Calibri" w:hAnsi="Calibri" w:cs="Calibri"/>
                <w:b/>
                <w:sz w:val="20"/>
                <w:szCs w:val="20"/>
                <w:lang w:val="en-US"/>
              </w:rPr>
            </w:pPr>
          </w:p>
        </w:tc>
      </w:tr>
      <w:tr w:rsidR="0078639D" w:rsidRPr="00630AA5">
        <w:trPr>
          <w:trHeight w:val="152"/>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6.</w:t>
            </w:r>
          </w:p>
        </w:tc>
        <w:tc>
          <w:tcPr>
            <w:tcW w:w="605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Przegląd roczny urządzenia.</w:t>
            </w:r>
          </w:p>
        </w:tc>
        <w:tc>
          <w:tcPr>
            <w:tcW w:w="3781" w:type="dxa"/>
          </w:tcPr>
          <w:p w:rsidR="0078639D" w:rsidRPr="00630AA5" w:rsidRDefault="0078639D">
            <w:pPr>
              <w:spacing w:after="0" w:line="276" w:lineRule="auto"/>
              <w:rPr>
                <w:rFonts w:ascii="Calibri" w:hAnsi="Calibri" w:cs="Calibri"/>
                <w:b/>
                <w:sz w:val="20"/>
                <w:szCs w:val="20"/>
              </w:rPr>
            </w:pP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7.</w:t>
            </w:r>
          </w:p>
        </w:tc>
        <w:tc>
          <w:tcPr>
            <w:tcW w:w="605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4 dni szkolenia.</w:t>
            </w:r>
          </w:p>
        </w:tc>
        <w:tc>
          <w:tcPr>
            <w:tcW w:w="3781" w:type="dxa"/>
          </w:tcPr>
          <w:p w:rsidR="0078639D" w:rsidRPr="00630AA5" w:rsidRDefault="0078639D">
            <w:pPr>
              <w:spacing w:after="0" w:line="276" w:lineRule="auto"/>
              <w:rPr>
                <w:rFonts w:ascii="Calibri" w:hAnsi="Calibri" w:cs="Calibri"/>
                <w:b/>
                <w:sz w:val="20"/>
                <w:szCs w:val="20"/>
              </w:rPr>
            </w:pPr>
          </w:p>
        </w:tc>
      </w:tr>
      <w:tr w:rsidR="0078639D">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8.</w:t>
            </w:r>
          </w:p>
        </w:tc>
        <w:tc>
          <w:tcPr>
            <w:tcW w:w="6054" w:type="dxa"/>
            <w:vAlign w:val="center"/>
          </w:tcPr>
          <w:p w:rsidR="0078639D"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Gwarancja na wymienione elementy minimum 12 miesięcy.</w:t>
            </w:r>
          </w:p>
        </w:tc>
        <w:tc>
          <w:tcPr>
            <w:tcW w:w="3781" w:type="dxa"/>
          </w:tcPr>
          <w:p w:rsidR="0078639D" w:rsidRDefault="0078639D">
            <w:pPr>
              <w:spacing w:after="0" w:line="276" w:lineRule="auto"/>
              <w:rPr>
                <w:rFonts w:ascii="Calibri" w:hAnsi="Calibri" w:cs="Calibri"/>
                <w:b/>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12 Telemetria z wyposażeniem </w:t>
      </w:r>
    </w:p>
    <w:tbl>
      <w:tblPr>
        <w:tblStyle w:val="Tabela-Siatka"/>
        <w:tblW w:w="10386" w:type="dxa"/>
        <w:tblInd w:w="113" w:type="dxa"/>
        <w:tblLayout w:type="fixed"/>
        <w:tblLook w:val="04A0"/>
      </w:tblPr>
      <w:tblGrid>
        <w:gridCol w:w="532"/>
        <w:gridCol w:w="6022"/>
        <w:gridCol w:w="33"/>
        <w:gridCol w:w="3799"/>
      </w:tblGrid>
      <w:tr w:rsidR="0078639D">
        <w:trPr>
          <w:trHeight w:val="168"/>
        </w:trPr>
        <w:tc>
          <w:tcPr>
            <w:tcW w:w="6554" w:type="dxa"/>
            <w:gridSpan w:val="2"/>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wymagany</w:t>
            </w:r>
          </w:p>
        </w:tc>
        <w:tc>
          <w:tcPr>
            <w:tcW w:w="3832" w:type="dxa"/>
            <w:gridSpan w:val="2"/>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rPr>
          <w:trHeight w:val="168"/>
        </w:trPr>
        <w:tc>
          <w:tcPr>
            <w:tcW w:w="10386" w:type="dxa"/>
            <w:gridSpan w:val="4"/>
          </w:tcPr>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Nadajnik telemetryczny</w:t>
            </w:r>
          </w:p>
        </w:tc>
      </w:tr>
      <w:tr w:rsidR="0078639D">
        <w:trPr>
          <w:trHeight w:val="96"/>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 r.</w:t>
            </w:r>
          </w:p>
        </w:tc>
        <w:tc>
          <w:tcPr>
            <w:tcW w:w="3799" w:type="dxa"/>
          </w:tcPr>
          <w:p w:rsidR="0078639D" w:rsidRDefault="0078639D">
            <w:pPr>
              <w:spacing w:after="0" w:line="276" w:lineRule="auto"/>
              <w:rPr>
                <w:rFonts w:ascii="Calibri" w:hAnsi="Calibri" w:cs="Calibri"/>
                <w:b/>
                <w:sz w:val="20"/>
                <w:szCs w:val="20"/>
              </w:rPr>
            </w:pPr>
          </w:p>
        </w:tc>
      </w:tr>
      <w:tr w:rsidR="0078639D">
        <w:trPr>
          <w:trHeight w:val="372"/>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Bezprzewodowy nadajnik systemu telemetrii umożliwiający monitorowanie EKG, oddechu metodą impedancyjną i SpO2</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wyposażone w kolorowy ekran o przekątnej minimum 3.2 cala.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ekranu min. 400x800</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Sterowanie za pośrednictwem przycisków umieszczonych na transmiterze oraz ekranu dotykowego.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zablokowania ekranu przed przypadkowym użyciem.</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Wyświetlanie krzywych: EKG, pulsu oraz respiracji.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3 krzywe wyświetlane jednocześnie.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Wyświetlanie danych numerycznych min.: Częstość akcji serca, Częstość oddechowa, SpO2, puls, NIBP (skurczowe, rozkurczowe, średnie).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3 poziomowy system alarmowy, Alarmy rozróżniane tonem oraz kolorem.</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wyciszenia alarmów.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Możliwość ustawienia przez użytkownika czasu wyciszenia alarmów, </w:t>
            </w:r>
            <w:r>
              <w:rPr>
                <w:rFonts w:ascii="Calibri" w:eastAsia="Times New Roman" w:hAnsi="Calibri" w:cs="Calibri"/>
                <w:sz w:val="20"/>
                <w:szCs w:val="20"/>
              </w:rPr>
              <w:lastRenderedPageBreak/>
              <w:t>min. 1, 2, 3 minuty.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13.</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zawieszenia alarmów.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przez użytkownika czasu zawieszenia alarmów, min. 1, 2, 3 minuty.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progów alarmowych monitorowanych parametrów przez użytkownika.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Funkcja wyświetlania pełnego przebiegu min. 1 krzywej z  min. 1 godziny.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podglądu na ekranie odbiornika pełnego przebiegu min 1 krzywej z min. 24 godzin zapisanego na monitorze centralnym połączonym w sieci monitorowania.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tabelaryczny wszystkich parametrów z min. 1 godziny.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wyświetlanych danych w trendzie tabelarycznym, min. 1-60min.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podglądu na ekranie odbiornika trendu tabelarycznego z min. 24 godzin zapisanego na monitorze centralnym połączonym w sieci monitorowania.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NIBP min. 100 pozycji.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wyświetlanych danych w trendzie NIBP, min. 1-60min.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zdarzeń arytmii min. 700 zdarzeń</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23 kategorie arytmii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alarmów min. 1000 alarmów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eskalacji alarmów dla alarmów min. SpO2 tj. po przekroczeniu ustawionych kryteriów alarm zmienia się z „ostrzeżenia” na krytyczny.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bezprzewodowa w standardzie IEEE 802.11a/b/g/n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Dostępne protokoły bezpieczeństwa min.: WEP, WPA-Personal, WPA2-Personal, WPA-Enterprise, WPA2-Enteprise, 802.1X</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standardowymi bateriami lub akumulatorami AA (R6) pozwalające na min. 24 godz. pracy.</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Poziom naładowania baterii widoczny na ekranie.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EKG za pomocą przewodu 3 oraz 6 odprowadzeniowego.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częstości akcji serca min. 15-300 ud/min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ST min -25 ÷ 25 mm</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Wybór rodzaju wykrywanego QRS dla: noworodków, dzieci i dorosłych.</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i wyświetlanie PPK/VPC</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oddechu metodą impedancyjną. Prezentacja krzywej oddechowej i ilości oddechów na minutę.</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częstości oddechowej min. 0-150 odd/min.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bezdechu w zakresie min. 5 – 30 sekund.</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SpO2 w technologii BluPro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SpO2 min. 0-100%</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pulsu min. 30-300 ud/min</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SpO2 z pomocą wodoszczelnego czujnika typu klips na palec.</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Nieinwazyjny pomiar ciśnienia tętniczego metodą oscylometryczną.</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NIBP min. 0-300 mmHg</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automatycznego pomiaru NIBP min. 1min – 4godz.</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pomiaru NIBP podczas pompowania mankietu.</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Możliwość zdalnego rozpoczęcia pomiaru NIBP z poziomu monitora </w:t>
            </w:r>
            <w:r>
              <w:rPr>
                <w:rFonts w:ascii="Calibri" w:eastAsia="Times New Roman" w:hAnsi="Calibri" w:cs="Calibri"/>
                <w:sz w:val="20"/>
                <w:szCs w:val="20"/>
              </w:rPr>
              <w:lastRenderedPageBreak/>
              <w:t>centralnego.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48.</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bez baterii i akcesoriów max. 375g ±40g</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Wyposażenie: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pasek do zawieszenia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etui na nadajnik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przewód pacjenta EKG, 3-odprowadzeniowy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wielorazowy wodoszczelny czujnik do pomiaru saturacji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przewód NIBP </w:t>
            </w:r>
          </w:p>
          <w:p w:rsidR="0078639D" w:rsidRDefault="004945CF">
            <w:pPr>
              <w:spacing w:after="0" w:line="276" w:lineRule="auto"/>
              <w:rPr>
                <w:rFonts w:ascii="Calibri" w:hAnsi="Calibri" w:cs="Calibri"/>
                <w:bCs/>
                <w:sz w:val="20"/>
                <w:szCs w:val="20"/>
              </w:rPr>
            </w:pPr>
            <w:r>
              <w:rPr>
                <w:rFonts w:ascii="Calibri" w:eastAsia="Times New Roman" w:hAnsi="Calibri" w:cs="Calibri"/>
                <w:bCs/>
                <w:sz w:val="20"/>
                <w:szCs w:val="20"/>
              </w:rPr>
              <w:t xml:space="preserve">- mankiet wielorazowy, rozmiary: mały, średni, duży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Akumulatory typ AA </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6055"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Wykonawca dostarczy i zainstaluje niezbędne elementy do położenia sieci WiFi: punkty dostępowe WiFi, switch, okablowanie do obsługi systemu telemetrii.</w:t>
            </w:r>
          </w:p>
        </w:tc>
        <w:tc>
          <w:tcPr>
            <w:tcW w:w="3799" w:type="dxa"/>
          </w:tcPr>
          <w:p w:rsidR="0078639D" w:rsidRDefault="0078639D">
            <w:pPr>
              <w:spacing w:after="0" w:line="276" w:lineRule="auto"/>
              <w:rPr>
                <w:rFonts w:ascii="Calibri" w:hAnsi="Calibri" w:cs="Calibri"/>
                <w:b/>
                <w:sz w:val="20"/>
                <w:szCs w:val="20"/>
              </w:rPr>
            </w:pPr>
          </w:p>
        </w:tc>
      </w:tr>
      <w:tr w:rsidR="0078639D">
        <w:tc>
          <w:tcPr>
            <w:tcW w:w="10386" w:type="dxa"/>
            <w:gridSpan w:val="4"/>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Centrala monitorowania</w:t>
            </w: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Centrala przygotowana do monitorowania, min. 16 stanowisk pacjenta, kompatybilna z wyżej opisanymi monitorami pacjenta.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rozbudowy centrali do obsługi 48 stanowisk.</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Centrala wyposażona w jeden kolorowy ekran o przekątnej min. 23”. Rozdzielczość wyświetlania min. 1920x1080.</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Wyświetlanie min. 8 stanowisk/monitor Ilość jednocześnie wyświetlanych przebiegów dynamicznych (krzywych) z jednego stanowiska: min. 3 krzywe (dla 8 stanowisk na ekranie).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Komunikacja z użytkownikiem poprzez mysz i klawiaturę – oprogramowanie w języku polskim.</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Podgląd dowolnego pełnego ekranu monitora z sieci.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dokonania zmiany koloru wyświetlania poszczególnych parametrów.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„zamrażania” wyświetlanych krzywych. Nie dotyczy danych numerycznych, które są cały czas aktualizowane.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wybrania typu wyświetlanej krzywej, jej wzmocnienia oraz danych numerycznych niezależnie dla każdego monitorowanego łóżka wyświetlanego w oknie ogólnego przeglądu pacjentów oddziału.</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umożliwiająca ustawienie wspólnej lub oddzielnej skali dla krzywych ciśnienia inwazyjnego.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umożliwiającą użytkownikowi definiowanie priorytetu wyświetlania parametrów życiowych.</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zawieszania monitorowania pacjenta wraz z możliwością nadania etykiety z opisem przyczyny zawieszenia.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Identyfikacja łóżka, na którym wystąpił alarm na ekranie centrali.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Wielostopniowe alarmy monitorowanych parametrów, min. 3 stopnie.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zawieszenia monitorowania pacjenta wraz z możliwością nadania etykiety z opisem przyczyny zawieszenia (użytkownik ma możliwość edycji treści etykiet).</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Historia alarmów, min. 400 na pacjenta.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Trendy graficzne i tabelaryczne z min. 110 [h].</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Archiwizacja zapisu „holterowskiego” min. 6 krzywych dynamicznych z min 110 godzin każdego monitorowanego stanowiska.</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Pamięć min. 300 zdarzeń arytmii dla każdego łóżka (pamięć zdarzeń arytmii jest niezależna od pamięci pozostałych alarmów).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pozwalająca użytkownikowi na zdefiniowanie, dla których typów arytmii mają być zapisywane zdarzenia arytmii.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Wyświetlanie wyników analizy 12 odprowadzeń EKG wraz z raportami.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72.</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definiowania parametrów zapisywanych w min. trzech różnych trendach tabelarycznych.</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Pamięć minimum 400 plików z pomiarem odcinka ST.</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definiowania przez użytkownika zawartości raportów przeznaczonych do wydruku.</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wyboru interwału automatycznych wydruków raportów.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Sieć monitorowania LAN do komunikacji z monitorami stacjonarnymi.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Przesyłanie alarmów z monitorów przyłóżkowych do centrali oraz pomiędzy monitorami.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przesyłania danych pomiędzy monitorami a centralą oraz pomiędzy monitorami również w razie wyłączenia/ awarii centrali.</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Interaktywna komunikacja centrali z monitorami. Możliwość regulacji granic alarmów z centrali w monitorach przyłóżkowych.</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ręcznego uruchomienia pomiaru NIBP w monitorze z monitora centralnego.</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współpracy z nadajnikami telemetrycznymi.</w:t>
            </w:r>
          </w:p>
        </w:tc>
        <w:tc>
          <w:tcPr>
            <w:tcW w:w="3799" w:type="dxa"/>
          </w:tcPr>
          <w:p w:rsidR="0078639D" w:rsidRDefault="0078639D">
            <w:pPr>
              <w:spacing w:after="0" w:line="276" w:lineRule="auto"/>
              <w:rPr>
                <w:rFonts w:ascii="Calibri" w:hAnsi="Calibri" w:cs="Calibri"/>
                <w:b/>
                <w:sz w:val="20"/>
                <w:szCs w:val="20"/>
              </w:rPr>
            </w:pPr>
          </w:p>
        </w:tc>
      </w:tr>
      <w:tr w:rsidR="0078639D">
        <w:trPr>
          <w:trHeight w:val="180"/>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Zasilacz UPS do podtrzymania pracy centrali.</w:t>
            </w:r>
          </w:p>
        </w:tc>
        <w:tc>
          <w:tcPr>
            <w:tcW w:w="3799" w:type="dxa"/>
          </w:tcPr>
          <w:p w:rsidR="0078639D" w:rsidRDefault="0078639D">
            <w:pPr>
              <w:spacing w:after="0" w:line="276" w:lineRule="auto"/>
              <w:rPr>
                <w:rFonts w:ascii="Calibri" w:hAnsi="Calibri" w:cs="Calibri"/>
                <w:b/>
                <w:sz w:val="20"/>
                <w:szCs w:val="20"/>
              </w:rPr>
            </w:pPr>
          </w:p>
        </w:tc>
      </w:tr>
      <w:tr w:rsidR="0078639D">
        <w:trPr>
          <w:trHeight w:val="8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83.</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Szkolenie personelu.</w:t>
            </w:r>
          </w:p>
        </w:tc>
        <w:tc>
          <w:tcPr>
            <w:tcW w:w="3799" w:type="dxa"/>
          </w:tcPr>
          <w:p w:rsidR="0078639D" w:rsidRDefault="0078639D">
            <w:pPr>
              <w:spacing w:after="0" w:line="276" w:lineRule="auto"/>
              <w:rPr>
                <w:rFonts w:ascii="Calibri" w:hAnsi="Calibri" w:cs="Calibri"/>
                <w:b/>
                <w:sz w:val="20"/>
                <w:szCs w:val="20"/>
              </w:rPr>
            </w:pPr>
          </w:p>
        </w:tc>
      </w:tr>
      <w:tr w:rsidR="0078639D">
        <w:trPr>
          <w:trHeight w:val="168"/>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Instrukcja obsługi w języku polskim przy dostawie.</w:t>
            </w:r>
          </w:p>
        </w:tc>
        <w:tc>
          <w:tcPr>
            <w:tcW w:w="3799" w:type="dxa"/>
          </w:tcPr>
          <w:p w:rsidR="0078639D" w:rsidRDefault="0078639D">
            <w:pPr>
              <w:spacing w:after="0" w:line="276" w:lineRule="auto"/>
              <w:rPr>
                <w:rFonts w:ascii="Calibri" w:hAnsi="Calibri" w:cs="Calibri"/>
                <w:b/>
                <w:sz w:val="20"/>
                <w:szCs w:val="20"/>
              </w:rPr>
            </w:pPr>
          </w:p>
        </w:tc>
      </w:tr>
      <w:tr w:rsidR="0078639D">
        <w:trPr>
          <w:trHeight w:val="636"/>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86.</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c>
          <w:tcPr>
            <w:tcW w:w="3799" w:type="dxa"/>
          </w:tcPr>
          <w:p w:rsidR="0078639D" w:rsidRDefault="0078639D">
            <w:pPr>
              <w:spacing w:after="0" w:line="276" w:lineRule="auto"/>
              <w:rPr>
                <w:rFonts w:ascii="Calibri" w:hAnsi="Calibri" w:cs="Calibri"/>
                <w:b/>
                <w:sz w:val="20"/>
                <w:szCs w:val="20"/>
              </w:rPr>
            </w:pPr>
          </w:p>
        </w:tc>
      </w:tr>
      <w:tr w:rsidR="0078639D">
        <w:trPr>
          <w:trHeight w:val="84"/>
        </w:trPr>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6055" w:type="dxa"/>
            <w:gridSpan w:val="2"/>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Deklaracja zgodności/oznaczenie CE</w:t>
            </w:r>
          </w:p>
        </w:tc>
        <w:tc>
          <w:tcPr>
            <w:tcW w:w="3799" w:type="dxa"/>
          </w:tcPr>
          <w:p w:rsidR="0078639D" w:rsidRDefault="0078639D">
            <w:pPr>
              <w:spacing w:after="0" w:line="276" w:lineRule="auto"/>
              <w:rPr>
                <w:rFonts w:ascii="Calibri" w:hAnsi="Calibri" w:cs="Calibri"/>
                <w:b/>
                <w:sz w:val="20"/>
                <w:szCs w:val="20"/>
              </w:rPr>
            </w:pPr>
          </w:p>
        </w:tc>
      </w:tr>
      <w:tr w:rsidR="0078639D">
        <w:tc>
          <w:tcPr>
            <w:tcW w:w="532"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6055" w:type="dxa"/>
            <w:gridSpan w:val="2"/>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Gwarancja minimum 24 miesiące.</w:t>
            </w:r>
          </w:p>
        </w:tc>
        <w:tc>
          <w:tcPr>
            <w:tcW w:w="3799" w:type="dxa"/>
          </w:tcPr>
          <w:p w:rsidR="0078639D" w:rsidRDefault="0078639D">
            <w:pPr>
              <w:spacing w:after="0" w:line="276" w:lineRule="auto"/>
              <w:rPr>
                <w:rFonts w:ascii="Calibri" w:hAnsi="Calibri" w:cs="Calibri"/>
                <w:b/>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13 Kardiomonitor </w:t>
      </w:r>
    </w:p>
    <w:tbl>
      <w:tblPr>
        <w:tblStyle w:val="Tabela-Siatka"/>
        <w:tblW w:w="10368" w:type="dxa"/>
        <w:tblInd w:w="113" w:type="dxa"/>
        <w:tblLayout w:type="fixed"/>
        <w:tblLook w:val="04A0"/>
      </w:tblPr>
      <w:tblGrid>
        <w:gridCol w:w="609"/>
        <w:gridCol w:w="5978"/>
        <w:gridCol w:w="3781"/>
      </w:tblGrid>
      <w:tr w:rsidR="0078639D">
        <w:trPr>
          <w:trHeight w:val="288"/>
        </w:trPr>
        <w:tc>
          <w:tcPr>
            <w:tcW w:w="6587" w:type="dxa"/>
            <w:gridSpan w:val="2"/>
            <w:shd w:val="clear" w:color="auto" w:fill="FFC000"/>
            <w:vAlign w:val="center"/>
          </w:tcPr>
          <w:p w:rsidR="0078639D" w:rsidRDefault="004945CF">
            <w:pPr>
              <w:spacing w:after="0" w:line="276" w:lineRule="auto"/>
              <w:jc w:val="center"/>
              <w:rPr>
                <w:rFonts w:ascii="Calibri" w:hAnsi="Calibri" w:cs="Calibri"/>
                <w:color w:val="000000"/>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rPr>
          <w:trHeight w:val="288"/>
        </w:trPr>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5978"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 r.</w:t>
            </w:r>
          </w:p>
        </w:tc>
        <w:tc>
          <w:tcPr>
            <w:tcW w:w="3781" w:type="dxa"/>
          </w:tcPr>
          <w:p w:rsidR="0078639D" w:rsidRDefault="0078639D">
            <w:pPr>
              <w:spacing w:after="0" w:line="276" w:lineRule="auto"/>
              <w:rPr>
                <w:rFonts w:ascii="Calibri" w:hAnsi="Calibri" w:cs="Calibri"/>
                <w:b/>
                <w:sz w:val="20"/>
                <w:szCs w:val="20"/>
              </w:rPr>
            </w:pPr>
          </w:p>
        </w:tc>
      </w:tr>
      <w:tr w:rsidR="0078639D">
        <w:trPr>
          <w:trHeight w:val="1430"/>
        </w:trPr>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integracji z dostępnym klinicznym systemem informatycznym</w:t>
            </w:r>
          </w:p>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(CIS) producenta oferowanego systemu monitorowania pacjenta, w polskiej wersji językowej, umożliwiającym prowadzenie elektronicznej dokumentacji medycznej i jej ciągłość w zakresie opieki około-intensywnej i około-operacyjnej, zapewniającym przynajmniej: automatyczną akwizycję parametrów życiowych z oferowanych monitorów, ale także: respiratorów, aparatów do znieczulania, pomp infuzyjnych i do terapii nerkozastępczej; dokumentację terapii płynowej i lekowej, obliczanie bilansu płynów, ocenę stanu pacjenta wg. znanych skal ocen (m.in.: APACHE II, GCS, TISS-28, SOFA), tworzenie zleceń lekarskich, dokumentację procesu opieki pielęgniarskiej, generowanie raportów (w tym karta znieczulenia).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System monitorowania pacjenta o budowie modułowej lub kompaktowo-modułowej, w technologii wymiennych modułów podłączanych podczas pracy przez użytkownika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597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Monitor zapewnia monitorowanie pacjenta stacjonarnie i w transporcie: pojedynczy monitor stacjonarno-transportowy lub monitor stacjonarny wyposażony w niewielkich rozmiarów moduł </w:t>
            </w:r>
            <w:r>
              <w:rPr>
                <w:rFonts w:ascii="Calibri" w:eastAsia="Times New Roman" w:hAnsi="Calibri" w:cs="Calibri"/>
                <w:color w:val="000000"/>
                <w:sz w:val="20"/>
                <w:szCs w:val="20"/>
              </w:rPr>
              <w:lastRenderedPageBreak/>
              <w:t>transportowy z ekranem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w:t>
            </w:r>
          </w:p>
        </w:tc>
        <w:tc>
          <w:tcPr>
            <w:tcW w:w="597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we wbudowaną ramę na min. 1 moduł rozszerzeń z możliwością rozbudowy o dodatkową ramę do podłączenia min. 2 dodatkowych modułów pomiarowych.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Wszystkie elementy systemu monitorowania pacjenta chłodzone konwekcyjnie, pasywnie - bez użycia wentylatorów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System monitorowania pacjenta przeznaczony do monitorowania pacjentów we wszystkich kategoriach wiekowych: dorosłych, dzieci i noworodków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Komunikacja z użytkownikiem w języku polskim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tryb "Standby" - tymczasowe wstrzymanie monitorowania pacjenta oraz sygnalizowania alarmów, np. na czas toalety pacjenta lub badania diagnostycznego. Po wznowieniu monitorowania następuje kontynuacja monitorowania tego samego pacjenta bez utraty zapisanych danych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konfigurowalny tryb nocny: uruchamiany automatycznie w wybranych przez użytkownika godzinach. Przełączenie w tryb nocny zapewnia min. obniżenie jasności ekranu oraz poziomu głośności alarmów.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Dostęp na ekranie monitora do kompletu dokumentacji: instruckji obsługi wraz z dodatkami, instrukcji technicznej, opisu interfejsu HL7 oraz kompletnej listy akcesoriów i materiałów zużywalnych. Nawigacja po instrukcji przy użyciu hiperłączy ułatwiających przełączanie pomiędzy dokumentami i rozdziałami.</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Zasilanie sieciowe, zgodne z PN, dostosowane do 230V/50Hz</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zasilanie akumulatorowe zapewniające przynajmniej 240 minut pracy na wypadek zaniku zasilania lub transportu. W czasie pracy na baterii parametry są wyświetlane na dużym ekranie monitora stacjonarno-transportowego lub stacjonarnego – dopuszcza się realizację tej funkcjonalności przy pomocy zewnętrznego zasilacza UPS klasy medycznej montowanego na stanowisku. W przypadku zewnętrznego zasilacza w ofercie ujęty uchwyt do montażu zasilacza na stanowisku pacjenta.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pracy w sieci centralnego monitorowania, zgodnej ze standardem Ethernet.</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wykorzystanie jednej fizycznej infrastruktury teleinformatycznej, w sieci przewodowej i bezprzewodowej, do celu sieci centralnego monitorowania oraz innych aplikacji szpitalnych, w sposób zapewniający bezpieczeństwo i priorytet przesyłania wrażliwych danych medycznych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gotowe do współpracy z centralą monitorującą, która umożliwia zdalny nadzór nad oferowanymi monitorami, a także w pełni modułowymi monitorami wysokiej klasy tego samego producenta. Nadzór oznacza podgląd bieżących wartości parametrów, krzywych i stanów alarmowych, możliwość wyciszania alarmów i zmiany granic alarmowych, możliwość retrospektywnej analizy danych (trendów i fulldisclosure)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wyposażone w funkcję wysyłania parametrów życiowych monitorowanych pacjentów do zewnętrznych systemów, za pośrednictwem protokołu HL7. Funkcja realizowana bezpośrenio przez kardiomonitory lub dedykowany serwer komunikacyjny - ujęty w ofercie.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zdalny podgląd ekranu innego kardiomonitora pracującego w sieci centralnego monitorowania. Funkcjonalność zależy wyłącznie od funkcjonowania sieci monitorowania i nie wymaga obecności dedykowanych komputerów, serwerów, centrali monitorującej, itp.</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wyświetlanie informacji o alarmach występujących na pozostałych kardiomonitorach pracujących w sieci centralnego monitorowania. Możliwość konfiguracji stanowisk, pomiędzy którymi mają być wymieniane informacje o alarmach.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zapewniają automatyczne otwarcie ekranu zdalnego monitora w momencie wystąpienia zdarzenia alarmowego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drukowania krzywych, trendów graficznych i numerycznych na podłączonej do sieci centralnego monitorowania tradycyjnej drukarce laserowej - bez konieczności pośredniczenia centrali monitorującej</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5978" w:type="dxa"/>
            <w:vAlign w:val="center"/>
          </w:tcPr>
          <w:p w:rsidR="0078639D" w:rsidRDefault="004945CF">
            <w:pPr>
              <w:spacing w:after="0" w:line="276" w:lineRule="auto"/>
              <w:rPr>
                <w:rFonts w:ascii="Calibri" w:hAnsi="Calibri" w:cs="Calibri"/>
                <w:color w:val="FFFFFF" w:themeColor="background1"/>
                <w:sz w:val="20"/>
                <w:szCs w:val="20"/>
              </w:rPr>
            </w:pPr>
            <w:r>
              <w:rPr>
                <w:rFonts w:ascii="Calibri" w:eastAsia="Times New Roman" w:hAnsi="Calibri" w:cs="Calibri"/>
                <w:color w:val="000000"/>
                <w:sz w:val="20"/>
                <w:szCs w:val="20"/>
              </w:rPr>
              <w:t>W ofercie do każdego monitora mocowanie na podstawie jezdnej.</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stacjonarny lub stacjonarno-transportowy wyposażony w dotykowy ekran panoramiczny o przekątnej min. 15,6" i rozdzielczości min. 1366 x 768 pikseli.  Umożliwia wyświetlanie przynajmniej 12 krzywych dynamicznych jednocześnie i pełną obsługę funkcji monitorowania pacjenta. Nie dopuszcza się realizacji tej funkcjonalności z wykorzystaniem zewnętrznego, dodatkowego ekranu lub innych rozwiązań zależnych od funkcjonowania sieci informatycznej. Rozmiar ekranu dostępny w czasie monitorowania transportowego min. 6,2".</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podłączenia dodatkowego ekranu powielającego o przekątnej min. 19”. Ekran podłączany z wykorzystaniem złącza cyfrowego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Obsługa kardiomonitora poprzez ekran dotykowy lub ekran dotykowy i pokrętło funkcyjne. Możliwość podłączenia czytnika kodów kreskowych (standardowych i QR) do portu USB.</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zaprogramowania min. 7 różnych konfiguracji (profili) monitora, zawierających m.in. ustawienia monitorowanych parametrów oraz widoki ekranów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wyboru spośród przynajmniej 16 różnych układów (widoków) ekranu, z możliwością edycji i zapisu przynajmniej 6 z nich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Dostępny tzw. ekran dużych liczb z możliwością podziału na 4 oraz 6 okien parametrów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moduł transportowy przystosowany do warunków transportowych, odporny na upadek z wysokości przynajmniej 0,25m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moduł transportowy przystosowany do warunków transportowych, klasa odporności na zachlapanie wodą nie gorsza niż IPX2</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monitor stacjonarny odporny przeciwko zachlapaniu i wnikaniu ciał stałych. Klasa odporności nie gorsza niż IP22</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Masa monitora stacjonarno-transportowego lub modułu transportowego wraz z wbudowanym ekranem oraz akumulatorem nie przekracza 5,5 kg</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Monitor stacjonarno-transportowy lub moduł transportowy umożliwia kontynuację monitorowania w czasie transportu przynajmniej </w:t>
            </w:r>
            <w:r>
              <w:rPr>
                <w:rFonts w:ascii="Calibri" w:eastAsia="Times New Roman" w:hAnsi="Calibri" w:cs="Calibri"/>
                <w:color w:val="000000"/>
                <w:sz w:val="20"/>
                <w:szCs w:val="20"/>
              </w:rPr>
              <w:lastRenderedPageBreak/>
              <w:t>następujących parametrów (zgodnie z ich wymogami opisanymi w dalszej części specyfikacji): EKG, SpO2, NIBP, 2x Temp., 2x IBP, z możliwością rozbudowy o pomiar CO2 w strumieniu bocznym, w zależności od podłączonych modułów pomiarowych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EKG</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Monitorowanie przynajmniej 1 z 3, 7 i 12 odprowadzeń, z jakością diagnostyczną, w zależności od użytego przewodu EKG</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Jednoczesna prezentacja przynajmniej 3 kanałów EKG na ekranie głównym kardiomonitora: 3 różne odprowadzenia lub 1 odprowadzenie w formie kaskady</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częstości akcji serca w zakresie min. 20 - 300 ud/min. z dokładnością +/- 1% lub +/- 1ud/min.</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przewód do podłączenia 5- elektrod dla dorosłych i dzieci. Długość przewodów przynajmniej 3m.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arytmii</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Wieloodprowadzeniowa analiza arytmii</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arytmii w przynajmniej 4 odprowadzeniach EKG jednocześnie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597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Zaawansowana analiza arytmii wg przynajmniej 12 definicji z rozpoznawaniem arytmii komorowych i przedsionkowych, w tym migotania przedsionków. Dopuszcza się realizację tej funkcjonalności przez zewnętrzny aparat EKG z trybem pomiaru ciągłego - w takiej sytuacji należy zaoferować 1 szt. takiego aparatu na każdy oferowany kardiomonitor.</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ST</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odcinka ST w 12 odprowadzeniach jednocześnie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Zakres pomiarowy analizy odcinka ST min. -15,0 -(+) 15,0 mm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Oddech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częstości oddechu metodą impedancyjną w zakresie min. 4-120 odd/min.</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Prezentacja częstości oddechu oraz krzywej oddechowej </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Saturacja (SpO2)</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wysycenia hemoglobiny tlenem, z wykorzystaniem algorytmu odpornego na niską perfuzję i artefakty ruchowe: TruSignal lub Masimorainbow SET</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saturacji w zakresie min. 70-100%</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Prezentacja wartości saturacji, krzywej pletyzmograficznej i wskaźnika perfuzji</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wyboru SPO2 jako źródła częstości rytmu serca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Modulacja dźwięku tętna przy zmianie wartości % SpO2.</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przewód podłączeniowy dł. min. 3m oraz wielorazowy czujnik na palec dla dorosłych. Oryginalne akcesoria pomiarowe producenta algorytmu pomiarowego.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nieinwazyjną (NIBP)</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Algorytm pomiarowy wykorzystuje dwutubowy systemem wężyków i mankietów, skokową deflację, odporny na zakłócenia, artefakty i niemiarową akcję serca, skraca czas pomiarów przez wstępne pompowanie mankietu do wartości bezpośrednio powyżej ostatnio zmierzonej wartości ciśnienia skurczowego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tętniczego metodą oscylometryczną.</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Pomiar ręczny na żądanie, ciągły przez określony czas oraz automatyczny. Zakres przedziałów czasowych w trybie </w:t>
            </w:r>
            <w:r>
              <w:rPr>
                <w:rFonts w:ascii="Calibri" w:eastAsia="Times New Roman" w:hAnsi="Calibri" w:cs="Calibri"/>
                <w:color w:val="000000"/>
                <w:sz w:val="20"/>
                <w:szCs w:val="20"/>
              </w:rPr>
              <w:lastRenderedPageBreak/>
              <w:t>automatycznym przynajmniej 1 - 120 minut</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Funkcja stazy żylnej.</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zaprogramowania własnych cykli pomiarowych NIBP, składających się z min. 4 kroków z możliwością indywidualnej konfiguracji liczby powtórzeń oraz interwału</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w zakresie przynajmniej od 10 mmHg dla ciśnienia rozkurczowego do 250 mmHg dla ciśnienia skurczowego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Prezentacja wartości: skurczowej, rozkurczowej oraz średniej. Możliwość wyświetlania listy ostatnich wyników pomiarów NIBP na ekranie głównym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wężyk z szybkozłączką dla dorosłych/dzieci oraz 3 mankiety wielorazowe dla dorosłych (w 3 różnych rozmiarach). Dodatkowo na całą instalację 20 szt. mankietów dla pacjentów otyłych.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Mankiety dla pacjentów otyłych stożkowe, dedykowane i walidowane do pomiaru na przedramieniu</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Temperatura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temperatury w 2 kanałach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Jednoczesna prezentacja w polu parametru temperatury na ekranie głównym monitora stacjonarnego min. 2 wartości temperatury jednocześnie: obu zmierzonych lub jednej zmierzonej i różnicy temperatur</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ustawienia etykiet temperatur wg. miejsca pomiaru</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wielorazowy czujnik temperatury skóry i wielorazowy czujniki temperatury głębokiej dla dorosłych.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inwazyjną (IBP)</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inwazyjną w 2 kanałach. Możliwość rozbudowy do przynajmniej 3 kanałów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w zakresie przynajmniej -20 do 320 mmHg</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monitorowania i wyboru nazw różnych ciśnień, w tym ciśnienia śródczaszkowego, wraz z automatycznym doborem skali i ustawień dla poszczególnych ciśnień</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parametru PPV: automatyczny lub ręczny</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Ciągły, automatyczny pomiar parametrów PPV i SPV na wybranym kanale ciśnienia. Prezentacja wyników pomiarów na ekranie głównym. Parametry zapisywane w trendach.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5978" w:type="dxa"/>
            <w:vAlign w:val="center"/>
          </w:tcPr>
          <w:p w:rsidR="0078639D" w:rsidRDefault="004945CF" w:rsidP="00206F80">
            <w:pPr>
              <w:spacing w:after="0" w:line="276" w:lineRule="auto"/>
              <w:rPr>
                <w:rFonts w:ascii="Calibri" w:hAnsi="Calibri" w:cs="Calibri"/>
                <w:color w:val="000000"/>
                <w:sz w:val="20"/>
                <w:szCs w:val="20"/>
              </w:rPr>
            </w:pPr>
            <w:r w:rsidRPr="00206F80">
              <w:rPr>
                <w:rFonts w:ascii="Calibri" w:eastAsia="Times New Roman" w:hAnsi="Calibri" w:cs="Calibri"/>
                <w:color w:val="000000"/>
                <w:sz w:val="20"/>
                <w:szCs w:val="20"/>
              </w:rPr>
              <w:t xml:space="preserve">W komplecie do każdego monitora przewody do podłączenia przetworników </w:t>
            </w:r>
            <w:r w:rsidR="00206F80" w:rsidRPr="00206F80">
              <w:rPr>
                <w:rFonts w:ascii="Calibri" w:eastAsia="Times New Roman" w:hAnsi="Calibri" w:cs="Calibri"/>
                <w:color w:val="000000"/>
                <w:sz w:val="20"/>
                <w:szCs w:val="20"/>
              </w:rPr>
              <w:t>Edwards</w:t>
            </w:r>
            <w:r w:rsidRPr="00206F80">
              <w:rPr>
                <w:rFonts w:ascii="Calibri" w:eastAsia="Times New Roman" w:hAnsi="Calibri" w:cs="Calibri"/>
                <w:color w:val="000000"/>
                <w:sz w:val="20"/>
                <w:szCs w:val="20"/>
              </w:rPr>
              <w:t xml:space="preserve"> (po jednym na każdy oferowany kanał)</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kapnografii (CO2) – po jednym na kardiomonitor</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wdechowego i wydechowego stężenia dwutlenku węgla w drogach oddechowych oraz pomiar częstości oddechu</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realizowany w strumieniu bocznym, dostępny u pacjentów zaintubowanych i niezaintubowanych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10 jednorazowych zestawów pomiarowych dla pacjentów zaintubowanych, dorosłych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Możliwość rozbudowy o monitorowanie gazowe w strumieniu bocznym, min.: CO2, O2, N2O i anestetyków z automatyczą identyfikacją środka znieczulającego oraz prezentacją MAC / MACage. Pomiary możliwe u pacjentów zaintubowanych i niezaintubowanych. Pomiar realizowany z wykorzystaniem modułu oferowanego systemu monitorowania, przenoszonego pomiędzy stanowiskami, zapewniającego wyświetlanie monitorowanych parametrów na </w:t>
            </w:r>
            <w:r>
              <w:rPr>
                <w:rFonts w:ascii="Calibri" w:eastAsia="Times New Roman" w:hAnsi="Calibri" w:cs="Calibri"/>
                <w:color w:val="000000"/>
                <w:sz w:val="20"/>
                <w:szCs w:val="20"/>
              </w:rPr>
              <w:lastRenderedPageBreak/>
              <w:t>ekranie monitora i pełną obsługę funkcji monitorowania i alarmowania za pośrednictwem ekranu monitora pacjenta. Możliwość zamiennego stosowania modułu pomiarowego pomiędzy różnymi monitorami i aparatami do znieczulania tego samego producenta.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83.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rzutu minutowego serca z wykorzystaniem cewnika Swana-Ganza.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zwiotczenia mięśni przez monitorowanie transmisji nerwowo-mięśniowej NMT z wykorzystaniem mechanosensora lub elektrosensora - możliwość wyboru przez Użytkownika pomiędzy w/w metodami w trakcie użytkownia monitora. Dostępne tryby stymulacji min.: ST, DBS, TET, ToF. Kardiomonitor wyposażony w funkcje:</w:t>
            </w:r>
            <w:r>
              <w:rPr>
                <w:rFonts w:ascii="Calibri" w:eastAsia="Times New Roman" w:hAnsi="Calibri" w:cs="Calibri"/>
                <w:color w:val="000000"/>
                <w:sz w:val="20"/>
                <w:szCs w:val="20"/>
              </w:rPr>
              <w:br/>
              <w:t>- tzw. Hookup-advisor - narzędzie ekranowe podpowiadające rozmieszczenie elektrod oraz umożliwiające weryfikację prawidłowego ich kontaktu ze skórą pacjenta,</w:t>
            </w:r>
            <w:r>
              <w:rPr>
                <w:rFonts w:ascii="Calibri" w:eastAsia="Times New Roman" w:hAnsi="Calibri" w:cs="Calibri"/>
                <w:color w:val="000000"/>
                <w:sz w:val="20"/>
                <w:szCs w:val="20"/>
              </w:rPr>
              <w:br/>
              <w:t>- dźwiękową sygnalizację stymulacji,</w:t>
            </w:r>
            <w:r>
              <w:rPr>
                <w:rFonts w:ascii="Calibri" w:eastAsia="Times New Roman" w:hAnsi="Calibri" w:cs="Calibri"/>
                <w:color w:val="000000"/>
                <w:sz w:val="20"/>
                <w:szCs w:val="20"/>
              </w:rPr>
              <w:br/>
              <w:t>- dźwiękową sygnalizację ustępowania blokady.</w:t>
            </w:r>
            <w:r>
              <w:rPr>
                <w:rFonts w:ascii="Calibri" w:eastAsia="Times New Roman" w:hAnsi="Calibri" w:cs="Calibri"/>
                <w:color w:val="000000"/>
                <w:sz w:val="20"/>
                <w:szCs w:val="20"/>
              </w:rPr>
              <w:b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głębokości uśpienia. Pomiar realizowany przez analizę sygnału EEG, wspomaganego pomiarem elektromiografii mięśni czoła, z obliczaniem parametrów SE, RE i BSR.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kardiomonitora o pomiar poziomu analgezji - pomiar reakcji hemodynamicznej pacjenta na bodźce nocyceptywne i środki przeciwbólowe, realizowany za pośrednictwem czujnika saturacji - bez konieczności stosowania dodatkowych akcesoriów zużywalnych. Wynik pomiaru prezentowany na wspólnym wykresie z pomiarem głębokości uśpienia, w sposób ułatwiający prowadzenie znieczulenia i optymalizację zużycia środków znieczulających.</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podłączenie aparatu do znieczulania, zapewniające prezentację na ekranie kardiomonitora wartości parametrów i krzywych dynamicznych oraz sygnalizację alarmów. Dane przesyłane dalej do systemu centralnego monitorowania.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Alarmy przynajmniej 3-stopniowe, sygnalizowane wizualnie i dźwiękowo, z wizualizacją parametru, który wywołał alarm</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zmiany priorytetu alarmów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Alarmy techniczne z podaniem przyczyny.</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Granice alarmowe regulowane ręcznie - przez użytkownika, i automatycznie (na żądanie) - na podstawie bieżących wartości </w:t>
            </w:r>
            <w:r>
              <w:rPr>
                <w:rFonts w:ascii="Calibri" w:eastAsia="Times New Roman" w:hAnsi="Calibri" w:cs="Calibri"/>
                <w:color w:val="000000"/>
                <w:sz w:val="20"/>
                <w:szCs w:val="20"/>
              </w:rPr>
              <w:lastRenderedPageBreak/>
              <w:t>parametrów.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92.</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Granice regulowane indywidualnie - w oknach poszczególnych parametrów - oraz zbiorczo, w oknie ustawień alarmów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93.</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wyciszenia alarmów. Czas wyciszenia alarmów przynajmniej: 2 minuty oraz bez limitu czasowego.</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94.</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bezdotykowego wyciszania alarmów gestem - poprzez odpowiedni ruch dłonią przed ekranem kardiomonitora</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95.</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pamięć przynajmniej 100 zdarzeń alarmowych zawierających wycinki krzywych dynamicznych. Zdarzenia zapisywane automatycznie - w chwili wystąpienia zdarzenia alarmowego, a także ręcznie - po naciśnięciu odpowiedniego przycisku</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96.</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kardiomonitora o funkcję zaawansowanych alarmów ułatwiających diagnozowanie trudnch stanów klinicznych poprzez informowanie personelu o jednoczasowym zajściu kilku warunków brzegowych - konfigurowanych przez użytkownika - związanych z wartościami różnych mierzonych parametrów.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97.</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Stanowisko monitorowania pacjenta wyposażone w pamięć trendów z ostatnich min. 96 godzin.</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98.</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pamięć przynajmniej 168 godzin trendów.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99.</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wyświetlania trendów w formie graficznej i tabelarycznej.</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100.</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z możliwością rozbudowy o funkcje wczesnego ostrzegania wg skali NEWS2 i MEWS oraz funkcję OxyCRG oraz wbudowaną pamięć pełnych przebiegów dynamicznych Full Disclosure z min. 72 godzin dla przynajmniej: wszystkich przebiegów EKG, SpO2, Oddechu i 2x IBP.</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101.</w:t>
            </w:r>
          </w:p>
        </w:tc>
        <w:tc>
          <w:tcPr>
            <w:tcW w:w="597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funkcję przenoszenia konfiguracji oraz trendów parametrów życiowych pacjenta za pośrednictwem pamięci USB. Funkcja eksportu trendów zabezpieczona przed niepowołanym dostępem, trendy eksportowane w formie zanonimizowanej, zaszyfrowanej w formacie umożliwiającym odczyt z wykorzystaniem pakietu MS Excel lub Acrobat Reader.</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102.</w:t>
            </w:r>
          </w:p>
        </w:tc>
        <w:tc>
          <w:tcPr>
            <w:tcW w:w="5978"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103.</w:t>
            </w:r>
          </w:p>
        </w:tc>
        <w:tc>
          <w:tcPr>
            <w:tcW w:w="5978"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104.</w:t>
            </w:r>
          </w:p>
        </w:tc>
        <w:tc>
          <w:tcPr>
            <w:tcW w:w="5978" w:type="dxa"/>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Deklaracja zgodności/oznaczenie CE</w:t>
            </w:r>
          </w:p>
        </w:tc>
        <w:tc>
          <w:tcPr>
            <w:tcW w:w="3781" w:type="dxa"/>
          </w:tcPr>
          <w:p w:rsidR="0078639D" w:rsidRDefault="0078639D">
            <w:pPr>
              <w:spacing w:after="0" w:line="276" w:lineRule="auto"/>
              <w:rPr>
                <w:rFonts w:ascii="Calibri" w:hAnsi="Calibri" w:cs="Calibri"/>
                <w:b/>
                <w:sz w:val="20"/>
                <w:szCs w:val="20"/>
              </w:rPr>
            </w:pP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105.</w:t>
            </w:r>
          </w:p>
        </w:tc>
        <w:tc>
          <w:tcPr>
            <w:tcW w:w="5978" w:type="dxa"/>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Gwarancja minimum 24 miesiące.</w:t>
            </w:r>
          </w:p>
        </w:tc>
        <w:tc>
          <w:tcPr>
            <w:tcW w:w="3781" w:type="dxa"/>
          </w:tcPr>
          <w:p w:rsidR="0078639D" w:rsidRDefault="0078639D">
            <w:pPr>
              <w:spacing w:after="0" w:line="276" w:lineRule="auto"/>
              <w:rPr>
                <w:rFonts w:ascii="Calibri" w:hAnsi="Calibri" w:cs="Calibri"/>
                <w:b/>
                <w:sz w:val="20"/>
                <w:szCs w:val="20"/>
              </w:rPr>
            </w:pPr>
          </w:p>
        </w:tc>
      </w:tr>
    </w:tbl>
    <w:p w:rsidR="0078639D" w:rsidRDefault="0078639D">
      <w:pPr>
        <w:spacing w:after="0"/>
        <w:outlineLvl w:val="0"/>
        <w:rPr>
          <w:b/>
        </w:rPr>
      </w:pPr>
    </w:p>
    <w:p w:rsidR="0078639D" w:rsidRDefault="004945CF">
      <w:pPr>
        <w:spacing w:after="0"/>
        <w:outlineLvl w:val="0"/>
        <w:rPr>
          <w:b/>
        </w:rPr>
      </w:pPr>
      <w:r>
        <w:rPr>
          <w:b/>
        </w:rPr>
        <w:t xml:space="preserve">Pakiet  14 Ssak medyczny elektryczny CPV </w:t>
      </w:r>
    </w:p>
    <w:tbl>
      <w:tblPr>
        <w:tblStyle w:val="Tabela-Siatka"/>
        <w:tblW w:w="10368" w:type="dxa"/>
        <w:tblInd w:w="113" w:type="dxa"/>
        <w:tblLayout w:type="fixed"/>
        <w:tblLook w:val="04A0"/>
      </w:tblPr>
      <w:tblGrid>
        <w:gridCol w:w="533"/>
        <w:gridCol w:w="6054"/>
        <w:gridCol w:w="3781"/>
      </w:tblGrid>
      <w:tr w:rsidR="0078639D">
        <w:tc>
          <w:tcPr>
            <w:tcW w:w="6587" w:type="dxa"/>
            <w:gridSpan w:val="2"/>
            <w:shd w:val="clear" w:color="auto" w:fill="FFC000"/>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wymagany</w:t>
            </w:r>
          </w:p>
        </w:tc>
        <w:tc>
          <w:tcPr>
            <w:tcW w:w="3781" w:type="dxa"/>
            <w:shd w:val="clear" w:color="auto" w:fill="FFC000"/>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rPr>
              <w:t>Parametr oferowany (dokładnie opisać)</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 rok</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60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Zawartość zestawu dołączona do urządzenia:</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Kompletny zestaw drenów silikonowych,</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Filtr antybakteryjny i hydrofobowy,</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Łącznik stożkowy do cewników,</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Przewód zasilający.</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Maksymalne podciśnienie (ssanie)</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-0,80 bar (-80 kPa / 600 mmHg).</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Maksymalny przepływ powietrza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40 l/min (wolny przepływ).</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Tryb pracy</w:t>
            </w:r>
            <w:r>
              <w:rPr>
                <w:rStyle w:val="t286pc"/>
                <w:rFonts w:ascii="Calibri" w:eastAsia="Times New Roman" w:hAnsi="Calibri" w:cs="Calibri"/>
                <w:sz w:val="20"/>
                <w:szCs w:val="20"/>
              </w:rPr>
              <w:t>: Przystosowany do pracy ciągłej (</w:t>
            </w:r>
            <w:r>
              <w:rPr>
                <w:rStyle w:val="Pogrubienie"/>
                <w:rFonts w:ascii="Calibri" w:eastAsia="Times New Roman" w:hAnsi="Calibri" w:cs="Calibri"/>
                <w:sz w:val="20"/>
                <w:szCs w:val="20"/>
              </w:rPr>
              <w:t>non-stop</w:t>
            </w:r>
            <w:r>
              <w:rPr>
                <w:rStyle w:val="t286pc"/>
                <w:rFonts w:ascii="Calibri" w:eastAsia="Times New Roman" w:hAnsi="Calibri" w:cs="Calibri"/>
                <w:sz w:val="20"/>
                <w:szCs w:val="20"/>
              </w:rPr>
              <w:t>) bez ryzyka przegrzania.</w:t>
            </w:r>
          </w:p>
        </w:tc>
        <w:tc>
          <w:tcPr>
            <w:tcW w:w="3781" w:type="dxa"/>
          </w:tcPr>
          <w:p w:rsidR="0078639D" w:rsidRDefault="0078639D">
            <w:pPr>
              <w:spacing w:after="0" w:line="276" w:lineRule="auto"/>
              <w:rPr>
                <w:rFonts w:ascii="Calibri" w:hAnsi="Calibri" w:cs="Calibri"/>
                <w:b/>
                <w:sz w:val="20"/>
                <w:szCs w:val="20"/>
              </w:rPr>
            </w:pPr>
          </w:p>
        </w:tc>
      </w:tr>
      <w:tr w:rsidR="0078639D">
        <w:trPr>
          <w:trHeight w:val="251"/>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Poziom hałasu</w:t>
            </w:r>
            <w:r>
              <w:rPr>
                <w:rStyle w:val="t286pc"/>
                <w:rFonts w:ascii="Calibri" w:eastAsia="Times New Roman" w:hAnsi="Calibri" w:cs="Calibri"/>
                <w:sz w:val="20"/>
                <w:szCs w:val="20"/>
              </w:rPr>
              <w:t>: 61,5 dBA.</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Zbiorniki</w:t>
            </w:r>
            <w:r>
              <w:rPr>
                <w:rStyle w:val="t286pc"/>
                <w:rFonts w:ascii="Calibri" w:eastAsia="Times New Roman" w:hAnsi="Calibri" w:cs="Calibri"/>
                <w:sz w:val="20"/>
                <w:szCs w:val="20"/>
              </w:rPr>
              <w:t xml:space="preserve">: Dwa słoje o pojemności </w:t>
            </w:r>
            <w:r>
              <w:rPr>
                <w:rStyle w:val="Pogrubienie"/>
                <w:rFonts w:ascii="Calibri" w:eastAsia="Times New Roman" w:hAnsi="Calibri" w:cs="Calibri"/>
                <w:sz w:val="20"/>
                <w:szCs w:val="20"/>
              </w:rPr>
              <w:t>2 litry każdy</w:t>
            </w:r>
            <w:r>
              <w:rPr>
                <w:rStyle w:val="t286pc"/>
                <w:rFonts w:ascii="Calibri" w:eastAsia="Times New Roman" w:hAnsi="Calibri" w:cs="Calibri"/>
                <w:sz w:val="20"/>
                <w:szCs w:val="20"/>
              </w:rPr>
              <w:t xml:space="preserve"> (łącznie 4 litry), wykonane z poliwęglanu, z możliwością sterylizacji w autoklawie w temperaturze 121°C.</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60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System zabezpieczeń</w:t>
            </w:r>
            <w:r>
              <w:rPr>
                <w:rStyle w:val="t286pc"/>
                <w:rFonts w:ascii="Calibri" w:eastAsia="Times New Roman" w:hAnsi="Calibri" w:cs="Calibri"/>
                <w:sz w:val="20"/>
                <w:szCs w:val="20"/>
              </w:rPr>
              <w:t>: Każdy zbiornik wyposażony w zawór zabezpieczający przed przepełnieniem (pływakowy).</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Podstawa</w:t>
            </w:r>
            <w:r>
              <w:rPr>
                <w:rStyle w:val="t286pc"/>
                <w:rFonts w:ascii="Calibri" w:eastAsia="Times New Roman" w:hAnsi="Calibri" w:cs="Calibri"/>
                <w:sz w:val="20"/>
                <w:szCs w:val="20"/>
              </w:rPr>
              <w:t>: Mobilny wózek z 5-ramienną bazą na kółkach, z czego 3 kółka posiadają blokadę (hamulec).</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Materiał obudowy</w:t>
            </w:r>
            <w:r>
              <w:rPr>
                <w:rStyle w:val="t286pc"/>
                <w:rFonts w:ascii="Calibri" w:eastAsia="Times New Roman" w:hAnsi="Calibri" w:cs="Calibri"/>
                <w:sz w:val="20"/>
                <w:szCs w:val="20"/>
              </w:rPr>
              <w:t>: Tworzywo sztuczne o wysokiej odporności termicznej i izolacji elektrycznej.</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Wymiary i waga</w:t>
            </w:r>
            <w:r>
              <w:rPr>
                <w:rStyle w:val="t286pc"/>
                <w:rFonts w:ascii="Calibri" w:eastAsia="Times New Roman" w:hAnsi="Calibri" w:cs="Calibri"/>
                <w:sz w:val="20"/>
                <w:szCs w:val="20"/>
              </w:rPr>
              <w:t>: 32 x 30 x 90 cm; waga urządzenia to ok. 6,2 kg</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Regulacja</w:t>
            </w:r>
            <w:r>
              <w:rPr>
                <w:rStyle w:val="t286pc"/>
                <w:rFonts w:ascii="Calibri" w:eastAsia="Times New Roman" w:hAnsi="Calibri" w:cs="Calibri"/>
                <w:sz w:val="20"/>
                <w:szCs w:val="20"/>
              </w:rPr>
              <w:t>: Bezstopniowy regulator siły ssania z analogowym wskaźnikiem próżni (wakuometrem) na panelu przednim.</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Sterowanie</w:t>
            </w:r>
            <w:r>
              <w:rPr>
                <w:rStyle w:val="t286pc"/>
                <w:rFonts w:ascii="Calibri" w:eastAsia="Times New Roman" w:hAnsi="Calibri" w:cs="Calibri"/>
                <w:sz w:val="20"/>
                <w:szCs w:val="20"/>
              </w:rPr>
              <w:t xml:space="preserve">: Włącznik/wyłącznik główny na obudowie oraz </w:t>
            </w:r>
            <w:r>
              <w:rPr>
                <w:rStyle w:val="Pogrubienie"/>
                <w:rFonts w:ascii="Calibri" w:eastAsia="Times New Roman" w:hAnsi="Calibri" w:cs="Calibri"/>
                <w:sz w:val="20"/>
                <w:szCs w:val="20"/>
              </w:rPr>
              <w:t>wyłącznik nożny (pedał)</w:t>
            </w:r>
            <w:r>
              <w:rPr>
                <w:rStyle w:val="t286pc"/>
                <w:rFonts w:ascii="Calibri" w:eastAsia="Times New Roman" w:hAnsi="Calibri" w:cs="Calibri"/>
                <w:sz w:val="20"/>
                <w:szCs w:val="20"/>
              </w:rPr>
              <w:t xml:space="preserve"> pozwalający na pracę bez użycia rąk.</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Opcjonalnie</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Możliwość współpracy z jednorazowymi wkładami.</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Zasilanie</w:t>
            </w:r>
            <w:r>
              <w:rPr>
                <w:rStyle w:val="t286pc"/>
                <w:rFonts w:ascii="Calibri" w:eastAsia="Times New Roman" w:hAnsi="Calibri" w:cs="Calibri"/>
                <w:sz w:val="20"/>
                <w:szCs w:val="20"/>
              </w:rPr>
              <w:t>: 230 V ~ / 50 Hz, pobór mocy 110 VA.</w:t>
            </w:r>
          </w:p>
        </w:tc>
        <w:tc>
          <w:tcPr>
            <w:tcW w:w="3781" w:type="dxa"/>
          </w:tcPr>
          <w:p w:rsidR="0078639D" w:rsidRDefault="0078639D">
            <w:pPr>
              <w:spacing w:after="0" w:line="276" w:lineRule="auto"/>
              <w:rPr>
                <w:rFonts w:ascii="Calibri" w:hAnsi="Calibri" w:cs="Calibri"/>
                <w:b/>
                <w:sz w:val="20"/>
                <w:szCs w:val="20"/>
              </w:rPr>
            </w:pP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605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Warunki pracy</w:t>
            </w:r>
            <w:r>
              <w:rPr>
                <w:rStyle w:val="t286pc"/>
                <w:rFonts w:ascii="Calibri" w:eastAsia="Times New Roman" w:hAnsi="Calibri" w:cs="Calibri"/>
                <w:sz w:val="20"/>
                <w:szCs w:val="20"/>
              </w:rPr>
              <w:t>: Temperatura 5 ÷ 35°C, wilgotność 30 ÷ 75% RH.</w:t>
            </w:r>
          </w:p>
        </w:tc>
        <w:tc>
          <w:tcPr>
            <w:tcW w:w="3781" w:type="dxa"/>
          </w:tcPr>
          <w:p w:rsidR="0078639D" w:rsidRDefault="0078639D">
            <w:pPr>
              <w:spacing w:after="0" w:line="276" w:lineRule="auto"/>
              <w:rPr>
                <w:rFonts w:ascii="Calibri" w:hAnsi="Calibri" w:cs="Calibri"/>
                <w:b/>
                <w:sz w:val="20"/>
                <w:szCs w:val="20"/>
              </w:rPr>
            </w:pPr>
          </w:p>
        </w:tc>
      </w:tr>
      <w:tr w:rsidR="0078639D">
        <w:trPr>
          <w:trHeight w:val="125"/>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60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Normy bezpieczeństwa: Zgodność z EN60601-1, EN60601-2, ISO10079-1 lub normą równoważną.</w:t>
            </w:r>
          </w:p>
        </w:tc>
        <w:tc>
          <w:tcPr>
            <w:tcW w:w="3781" w:type="dxa"/>
          </w:tcPr>
          <w:p w:rsidR="0078639D" w:rsidRDefault="0078639D">
            <w:pPr>
              <w:spacing w:after="0" w:line="276" w:lineRule="auto"/>
              <w:rPr>
                <w:rFonts w:ascii="Calibri" w:hAnsi="Calibri" w:cs="Calibri"/>
                <w:b/>
                <w:sz w:val="20"/>
                <w:szCs w:val="20"/>
              </w:rPr>
            </w:pP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60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60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60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Deklaracja zgodności/oznaczenie CE.</w:t>
            </w:r>
          </w:p>
        </w:tc>
        <w:tc>
          <w:tcPr>
            <w:tcW w:w="3781" w:type="dxa"/>
          </w:tcPr>
          <w:p w:rsidR="0078639D" w:rsidRDefault="0078639D">
            <w:pPr>
              <w:spacing w:after="0" w:line="276" w:lineRule="auto"/>
              <w:rPr>
                <w:rFonts w:ascii="Calibri" w:hAnsi="Calibri" w:cs="Calibri"/>
                <w:b/>
                <w:sz w:val="20"/>
                <w:szCs w:val="20"/>
              </w:rPr>
            </w:pP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60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Gwarancja minimum 24 miesiące.</w:t>
            </w:r>
          </w:p>
        </w:tc>
        <w:tc>
          <w:tcPr>
            <w:tcW w:w="3781" w:type="dxa"/>
          </w:tcPr>
          <w:p w:rsidR="0078639D" w:rsidRDefault="0078639D">
            <w:pPr>
              <w:spacing w:after="0" w:line="276" w:lineRule="auto"/>
              <w:rPr>
                <w:rFonts w:ascii="Calibri" w:hAnsi="Calibri" w:cs="Calibri"/>
                <w:b/>
                <w:sz w:val="20"/>
                <w:szCs w:val="20"/>
              </w:rPr>
            </w:pPr>
          </w:p>
        </w:tc>
      </w:tr>
    </w:tbl>
    <w:p w:rsidR="0078639D" w:rsidRDefault="0078639D">
      <w:pPr>
        <w:sectPr w:rsidR="0078639D">
          <w:footerReference w:type="default" r:id="rId32"/>
          <w:footerReference w:type="first" r:id="rId33"/>
          <w:pgSz w:w="11906" w:h="16838"/>
          <w:pgMar w:top="720" w:right="1016" w:bottom="766" w:left="720" w:header="0" w:footer="709" w:gutter="0"/>
          <w:cols w:space="720"/>
          <w:formProt w:val="0"/>
          <w:titlePg/>
          <w:docGrid w:linePitch="360"/>
        </w:sectPr>
      </w:pPr>
    </w:p>
    <w:p w:rsidR="0078639D" w:rsidRDefault="0078639D">
      <w:pPr>
        <w:pStyle w:val="Nagwek3"/>
        <w:rPr>
          <w:rFonts w:asciiTheme="majorHAnsi" w:hAnsiTheme="majorHAnsi"/>
          <w:i w:val="0"/>
          <w:sz w:val="20"/>
          <w:szCs w:val="20"/>
        </w:rPr>
      </w:pPr>
    </w:p>
    <w:p w:rsidR="0078639D" w:rsidRDefault="004945CF">
      <w:pPr>
        <w:pStyle w:val="Nagwek3"/>
        <w:rPr>
          <w:rFonts w:asciiTheme="majorHAnsi" w:hAnsiTheme="majorHAnsi"/>
          <w:i w:val="0"/>
          <w:sz w:val="20"/>
          <w:szCs w:val="20"/>
        </w:rPr>
      </w:pPr>
      <w:r>
        <w:rPr>
          <w:noProof/>
          <w:lang w:val="en-US"/>
        </w:rPr>
        <w:drawing>
          <wp:inline distT="0" distB="0" distL="0" distR="0">
            <wp:extent cx="6457950" cy="646430"/>
            <wp:effectExtent l="0" t="0" r="0" b="0"/>
            <wp:docPr id="19"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az13"/>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pStyle w:val="Nagwek3"/>
        <w:rPr>
          <w:rFonts w:asciiTheme="majorHAnsi" w:hAnsiTheme="majorHAnsi"/>
          <w:b w:val="0"/>
          <w:i w:val="0"/>
          <w:sz w:val="20"/>
          <w:szCs w:val="20"/>
        </w:rPr>
      </w:pPr>
      <w:r>
        <w:rPr>
          <w:rFonts w:asciiTheme="majorHAnsi" w:hAnsiTheme="majorHAnsi"/>
          <w:i w:val="0"/>
          <w:sz w:val="20"/>
          <w:szCs w:val="20"/>
        </w:rPr>
        <w:t>Załącznik nr 6 – Klauzula obowiązku informacyjnego z art. 14 RODO</w:t>
      </w:r>
    </w:p>
    <w:p w:rsidR="0078639D" w:rsidRDefault="0078639D">
      <w:pPr>
        <w:tabs>
          <w:tab w:val="left" w:pos="284"/>
        </w:tabs>
        <w:spacing w:after="0" w:line="240" w:lineRule="auto"/>
        <w:rPr>
          <w:rFonts w:cstheme="minorHAnsi"/>
          <w:b/>
          <w:sz w:val="20"/>
          <w:szCs w:val="20"/>
        </w:rPr>
      </w:pPr>
    </w:p>
    <w:p w:rsidR="0078639D" w:rsidRDefault="004945CF">
      <w:pPr>
        <w:tabs>
          <w:tab w:val="left" w:pos="284"/>
        </w:tabs>
        <w:spacing w:after="0" w:line="240" w:lineRule="auto"/>
        <w:jc w:val="center"/>
        <w:rPr>
          <w:rFonts w:cstheme="minorHAnsi"/>
          <w:b/>
          <w:sz w:val="20"/>
          <w:szCs w:val="20"/>
        </w:rPr>
      </w:pPr>
      <w:r>
        <w:rPr>
          <w:rFonts w:cstheme="minorHAnsi"/>
          <w:b/>
          <w:sz w:val="20"/>
          <w:szCs w:val="20"/>
        </w:rPr>
        <w:t xml:space="preserve">Informacje dotyczące przetwarzania danych osobowych </w:t>
      </w:r>
    </w:p>
    <w:p w:rsidR="0078639D" w:rsidRDefault="004945CF">
      <w:pPr>
        <w:tabs>
          <w:tab w:val="left" w:pos="284"/>
        </w:tabs>
        <w:spacing w:after="0" w:line="240" w:lineRule="auto"/>
        <w:jc w:val="center"/>
        <w:rPr>
          <w:rFonts w:cstheme="minorHAnsi"/>
          <w:b/>
          <w:sz w:val="20"/>
          <w:szCs w:val="20"/>
        </w:rPr>
      </w:pPr>
      <w:r>
        <w:rPr>
          <w:rFonts w:cstheme="minorHAnsi"/>
          <w:b/>
          <w:sz w:val="20"/>
          <w:szCs w:val="20"/>
        </w:rPr>
        <w:t>przez Instytucję Koordynującą w ramach Umowy</w:t>
      </w:r>
    </w:p>
    <w:p w:rsidR="0078639D" w:rsidRDefault="0078639D">
      <w:pPr>
        <w:tabs>
          <w:tab w:val="left" w:pos="284"/>
        </w:tabs>
        <w:spacing w:after="0" w:line="240" w:lineRule="auto"/>
        <w:jc w:val="both"/>
        <w:rPr>
          <w:rFonts w:cstheme="minorHAnsi"/>
          <w:sz w:val="20"/>
          <w:szCs w:val="20"/>
        </w:rPr>
      </w:pP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Administrator danych</w:t>
      </w:r>
    </w:p>
    <w:p w:rsidR="0078639D" w:rsidRDefault="004945CF">
      <w:pPr>
        <w:tabs>
          <w:tab w:val="left" w:pos="284"/>
        </w:tabs>
        <w:spacing w:after="0" w:line="240" w:lineRule="auto"/>
        <w:ind w:left="284" w:hanging="284"/>
        <w:jc w:val="both"/>
        <w:rPr>
          <w:rFonts w:cstheme="minorHAnsi"/>
          <w:sz w:val="20"/>
          <w:szCs w:val="20"/>
        </w:rPr>
      </w:pPr>
      <w:r>
        <w:rPr>
          <w:rFonts w:cstheme="minorHAnsi"/>
          <w:bCs/>
          <w:sz w:val="20"/>
          <w:szCs w:val="20"/>
        </w:rPr>
        <w:tab/>
        <w:t xml:space="preserve">Administratorem danych jest Instytucja Koordynująca, tj. Minister Funduszy i Polityki Regionalnej. </w:t>
      </w:r>
      <w:r>
        <w:rPr>
          <w:rFonts w:cstheme="minorHAnsi"/>
          <w:sz w:val="20"/>
          <w:szCs w:val="20"/>
        </w:rPr>
        <w:t>Z Administratorem można skontaktować się pod adresem jego siedziby: ul. Wspólna 2/4, 00-926 Warszawa.</w:t>
      </w: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Inspektor Ochrony Danych</w:t>
      </w:r>
    </w:p>
    <w:p w:rsidR="0078639D" w:rsidRDefault="004945CF">
      <w:pPr>
        <w:tabs>
          <w:tab w:val="left" w:pos="284"/>
        </w:tabs>
        <w:spacing w:after="0" w:line="240" w:lineRule="auto"/>
        <w:ind w:left="284" w:hanging="284"/>
        <w:jc w:val="both"/>
        <w:rPr>
          <w:rFonts w:cstheme="minorHAnsi"/>
          <w:bCs/>
          <w:sz w:val="20"/>
          <w:szCs w:val="20"/>
        </w:rPr>
      </w:pPr>
      <w:r>
        <w:rPr>
          <w:rFonts w:cstheme="minorHAnsi"/>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 xml:space="preserve">Cel przetwarzania danych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t>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 xml:space="preserve">Podstawa prawna przetwarzania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t xml:space="preserve">Instytucja Koordynująca przetwarza dane osobowe na podstawie art. 14lzj w związku z art. 14lzm ustawy w związku z art. 6 ust. 1 lit. c RODO (przetwarzanie jest niezbędne do wypełnienia obowiązku prawnego ciążącego na administratorze).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t>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Okres przechowywania danych</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t>Instytucja Koordynująca będzie przetwarzała dane osobowe przez okres realizacji Umowy oraz 3 lub 5 lat po realizacji Umowy zgodnie z art. 132 rozporządzenia 2018/1046</w:t>
      </w:r>
      <w:r>
        <w:rPr>
          <w:rStyle w:val="Odwoanieprzypisudolnego"/>
          <w:rFonts w:cstheme="minorHAnsi"/>
        </w:rPr>
        <w:footnoteReference w:id="4"/>
      </w:r>
      <w:r>
        <w:rPr>
          <w:rFonts w:cstheme="minorHAnsi"/>
          <w:sz w:val="20"/>
          <w:szCs w:val="20"/>
        </w:rPr>
        <w:t>, przepisami ustawy z dnia 17 lutego 2005 r. o informatyzacji działalności podmiotów realizujących zadania publiczne oraz ustawy z dnia 14 lipca 1983 r. o narodowym zasobie archiwalnym i archiwach.</w:t>
      </w:r>
    </w:p>
    <w:p w:rsidR="0078639D" w:rsidRDefault="004945CF">
      <w:pPr>
        <w:numPr>
          <w:ilvl w:val="0"/>
          <w:numId w:val="55"/>
        </w:numPr>
        <w:tabs>
          <w:tab w:val="left" w:pos="284"/>
        </w:tabs>
        <w:spacing w:after="0" w:line="240" w:lineRule="auto"/>
        <w:ind w:left="284" w:hanging="284"/>
        <w:jc w:val="both"/>
        <w:rPr>
          <w:rFonts w:cstheme="minorHAnsi"/>
          <w:b/>
          <w:sz w:val="20"/>
          <w:szCs w:val="20"/>
        </w:rPr>
      </w:pPr>
      <w:r>
        <w:rPr>
          <w:rFonts w:cstheme="minorHAnsi"/>
          <w:b/>
          <w:sz w:val="20"/>
          <w:szCs w:val="20"/>
        </w:rPr>
        <w:t>Rodzaje przetwarzanych danych</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r>
      <w:bookmarkStart w:id="72" w:name="_Hlk136596136"/>
      <w:r>
        <w:rPr>
          <w:rFonts w:cstheme="minorHAnsi"/>
          <w:sz w:val="20"/>
          <w:szCs w:val="20"/>
        </w:rPr>
        <w:t>Instytucja Odpowiedzialna za realizację Inwestycji przetwarza następujące kategorie danych osobowych:</w:t>
      </w:r>
    </w:p>
    <w:p w:rsidR="0078639D" w:rsidRDefault="004945CF">
      <w:pPr>
        <w:pStyle w:val="Akapitzlist"/>
        <w:numPr>
          <w:ilvl w:val="0"/>
          <w:numId w:val="59"/>
        </w:numPr>
        <w:tabs>
          <w:tab w:val="left" w:pos="284"/>
        </w:tabs>
        <w:jc w:val="both"/>
        <w:rPr>
          <w:rFonts w:asciiTheme="minorHAnsi" w:hAnsiTheme="minorHAnsi" w:cstheme="minorHAnsi"/>
        </w:rPr>
      </w:pPr>
      <w:r>
        <w:rPr>
          <w:rFonts w:asciiTheme="minorHAnsi" w:hAnsiTheme="minorHAnsi" w:cstheme="minorHAnsi"/>
        </w:rPr>
        <w:t xml:space="preserve">nazwa ostatecznego odbiorcy środków finansowych; </w:t>
      </w:r>
    </w:p>
    <w:p w:rsidR="0078639D" w:rsidRDefault="004945CF">
      <w:pPr>
        <w:pStyle w:val="Akapitzlist"/>
        <w:numPr>
          <w:ilvl w:val="0"/>
          <w:numId w:val="59"/>
        </w:numPr>
        <w:tabs>
          <w:tab w:val="left" w:pos="284"/>
        </w:tabs>
        <w:jc w:val="both"/>
        <w:rPr>
          <w:rFonts w:asciiTheme="minorHAnsi" w:hAnsiTheme="minorHAnsi" w:cstheme="minorHAnsi"/>
        </w:rPr>
      </w:pPr>
      <w:r>
        <w:rPr>
          <w:rFonts w:asciiTheme="minorHAnsi" w:hAnsiTheme="minorHAnsi" w:cstheme="minorHAnsi"/>
        </w:rPr>
        <w:t>nazwa wykonawcy i podwykonawcy, jeżeli końcowy odbiorca środków finansowych jest instytucją zamawiającą zgodnie z prawem unijnym lub krajowym dotyczącym zamówień publicznych;</w:t>
      </w:r>
    </w:p>
    <w:p w:rsidR="0078639D" w:rsidRDefault="004945CF">
      <w:pPr>
        <w:pStyle w:val="Akapitzlist"/>
        <w:numPr>
          <w:ilvl w:val="0"/>
          <w:numId w:val="59"/>
        </w:numPr>
        <w:tabs>
          <w:tab w:val="left" w:pos="284"/>
        </w:tabs>
        <w:jc w:val="both"/>
        <w:rPr>
          <w:rFonts w:asciiTheme="minorHAnsi" w:hAnsiTheme="minorHAnsi" w:cstheme="minorHAnsi"/>
        </w:rPr>
      </w:pPr>
      <w:r>
        <w:rPr>
          <w:rFonts w:asciiTheme="minorHAnsi" w:hAnsiTheme="minorHAnsi" w:cstheme="minorHAnsi"/>
        </w:rPr>
        <w:t>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późn. zm.) („dyrektywa 2015/849”);</w:t>
      </w:r>
      <w:bookmarkEnd w:id="72"/>
    </w:p>
    <w:p w:rsidR="0078639D" w:rsidRDefault="004945CF">
      <w:pPr>
        <w:pStyle w:val="Akapitzlist"/>
        <w:numPr>
          <w:ilvl w:val="0"/>
          <w:numId w:val="55"/>
        </w:numPr>
        <w:tabs>
          <w:tab w:val="left" w:pos="284"/>
        </w:tabs>
        <w:jc w:val="both"/>
        <w:rPr>
          <w:rFonts w:asciiTheme="minorHAnsi" w:hAnsiTheme="minorHAnsi" w:cstheme="minorHAnsi"/>
          <w:b/>
        </w:rPr>
      </w:pPr>
      <w:r>
        <w:rPr>
          <w:rFonts w:asciiTheme="minorHAnsi" w:hAnsiTheme="minorHAnsi" w:cstheme="minorHAnsi"/>
          <w:b/>
        </w:rPr>
        <w:t>Dostęp do danych osobowych</w:t>
      </w:r>
    </w:p>
    <w:p w:rsidR="0078639D" w:rsidRDefault="004945CF">
      <w:pPr>
        <w:tabs>
          <w:tab w:val="left" w:pos="284"/>
        </w:tabs>
        <w:spacing w:after="0" w:line="240" w:lineRule="auto"/>
        <w:jc w:val="both"/>
        <w:rPr>
          <w:rFonts w:cstheme="minorHAnsi"/>
          <w:sz w:val="20"/>
          <w:szCs w:val="20"/>
        </w:rPr>
      </w:pPr>
      <w:r>
        <w:rPr>
          <w:rFonts w:cstheme="minorHAnsi"/>
          <w:sz w:val="20"/>
          <w:szCs w:val="20"/>
        </w:rPr>
        <w:tab/>
        <w:t>Dane osobowe mogą być powierzane lub udostępniane:</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Podmiotom świadczącym na rzecz Instytucji Koordynującej usługi związane z obsługą i rozwojem systemów teleinformatycznych oraz zapewnieniem łączności, w szczególności dostawcy rozwiązań IT i operatorzy telekomunikacyjni,</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Organom administracji publicznej (na podstawie przepisów prawa),</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Organom Unii Europejskiej (na podstawie przepisów prawa),</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Podmiotom, którym Instytucja Koordynująca powierzyła wykonywanie zadań w ramach planu rozwojowego.</w:t>
      </w:r>
    </w:p>
    <w:p w:rsidR="0078639D" w:rsidRDefault="004945CF">
      <w:pPr>
        <w:numPr>
          <w:ilvl w:val="0"/>
          <w:numId w:val="55"/>
        </w:numPr>
        <w:tabs>
          <w:tab w:val="left" w:pos="284"/>
        </w:tabs>
        <w:spacing w:after="0" w:line="240" w:lineRule="auto"/>
        <w:jc w:val="both"/>
        <w:rPr>
          <w:rFonts w:cstheme="minorHAnsi"/>
          <w:b/>
          <w:sz w:val="20"/>
          <w:szCs w:val="20"/>
        </w:rPr>
      </w:pPr>
      <w:r>
        <w:rPr>
          <w:rFonts w:cstheme="minorHAnsi"/>
          <w:b/>
          <w:sz w:val="20"/>
          <w:szCs w:val="20"/>
        </w:rPr>
        <w:lastRenderedPageBreak/>
        <w:t>Prawa osób, których dane dotyczą</w:t>
      </w:r>
    </w:p>
    <w:p w:rsidR="0078639D" w:rsidRDefault="004945CF">
      <w:pPr>
        <w:numPr>
          <w:ilvl w:val="0"/>
          <w:numId w:val="57"/>
        </w:numPr>
        <w:tabs>
          <w:tab w:val="left" w:pos="284"/>
        </w:tabs>
        <w:spacing w:after="0" w:line="240" w:lineRule="auto"/>
        <w:ind w:left="714" w:hanging="357"/>
        <w:jc w:val="both"/>
        <w:rPr>
          <w:rFonts w:cstheme="minorHAnsi"/>
          <w:sz w:val="20"/>
          <w:szCs w:val="20"/>
        </w:rPr>
      </w:pPr>
      <w:r>
        <w:rPr>
          <w:rFonts w:cstheme="minorHAnsi"/>
          <w:sz w:val="20"/>
          <w:szCs w:val="20"/>
        </w:rPr>
        <w:t xml:space="preserve">prawo </w:t>
      </w:r>
      <w:r>
        <w:rPr>
          <w:rFonts w:cstheme="minorHAnsi"/>
          <w:b/>
          <w:sz w:val="20"/>
          <w:szCs w:val="20"/>
        </w:rPr>
        <w:t xml:space="preserve">dostępu do danych osobowych oraz otrzymania ich kopii – </w:t>
      </w:r>
      <w:r>
        <w:rPr>
          <w:rFonts w:cstheme="minorHAnsi"/>
          <w:bCs/>
          <w:sz w:val="20"/>
          <w:szCs w:val="20"/>
        </w:rPr>
        <w:t>art. 15 RODO;</w:t>
      </w:r>
    </w:p>
    <w:p w:rsidR="0078639D" w:rsidRDefault="004945CF">
      <w:pPr>
        <w:numPr>
          <w:ilvl w:val="0"/>
          <w:numId w:val="57"/>
        </w:numPr>
        <w:tabs>
          <w:tab w:val="left" w:pos="284"/>
        </w:tabs>
        <w:spacing w:after="0" w:line="240" w:lineRule="auto"/>
        <w:ind w:left="714" w:hanging="357"/>
        <w:jc w:val="both"/>
        <w:rPr>
          <w:rFonts w:cstheme="minorHAnsi"/>
          <w:bCs/>
          <w:sz w:val="20"/>
          <w:szCs w:val="20"/>
        </w:rPr>
      </w:pPr>
      <w:r>
        <w:rPr>
          <w:rFonts w:cstheme="minorHAnsi"/>
          <w:bCs/>
          <w:sz w:val="20"/>
          <w:szCs w:val="20"/>
        </w:rPr>
        <w:t>prawo</w:t>
      </w:r>
      <w:r>
        <w:rPr>
          <w:rFonts w:cstheme="minorHAnsi"/>
          <w:b/>
          <w:sz w:val="20"/>
          <w:szCs w:val="20"/>
        </w:rPr>
        <w:t xml:space="preserve"> do sprostowania danych osobowych – </w:t>
      </w:r>
      <w:r>
        <w:rPr>
          <w:rFonts w:cstheme="minorHAnsi"/>
          <w:bCs/>
          <w:sz w:val="20"/>
          <w:szCs w:val="20"/>
        </w:rPr>
        <w:t>art. 16 RODO;</w:t>
      </w:r>
    </w:p>
    <w:p w:rsidR="0078639D" w:rsidRDefault="004945CF">
      <w:pPr>
        <w:numPr>
          <w:ilvl w:val="0"/>
          <w:numId w:val="57"/>
        </w:numPr>
        <w:tabs>
          <w:tab w:val="left" w:pos="284"/>
        </w:tabs>
        <w:spacing w:after="0" w:line="240" w:lineRule="auto"/>
        <w:ind w:left="714" w:hanging="357"/>
        <w:jc w:val="both"/>
        <w:rPr>
          <w:rFonts w:cstheme="minorHAnsi"/>
          <w:sz w:val="20"/>
          <w:szCs w:val="20"/>
        </w:rPr>
      </w:pPr>
      <w:r>
        <w:rPr>
          <w:rFonts w:cstheme="minorHAnsi"/>
          <w:sz w:val="20"/>
          <w:szCs w:val="20"/>
        </w:rPr>
        <w:t xml:space="preserve">prawo żądania </w:t>
      </w:r>
      <w:r>
        <w:rPr>
          <w:rFonts w:cstheme="minorHAnsi"/>
          <w:b/>
          <w:sz w:val="20"/>
          <w:szCs w:val="20"/>
        </w:rPr>
        <w:t xml:space="preserve">ograniczenia przetwarzania - </w:t>
      </w:r>
      <w:r>
        <w:rPr>
          <w:rFonts w:cstheme="minorHAnsi"/>
          <w:sz w:val="20"/>
          <w:szCs w:val="20"/>
        </w:rPr>
        <w:t>jeżeli spełnione są przesłanki określone w art. 18 RODO;</w:t>
      </w:r>
    </w:p>
    <w:p w:rsidR="0078639D" w:rsidRDefault="004945CF">
      <w:pPr>
        <w:numPr>
          <w:ilvl w:val="0"/>
          <w:numId w:val="57"/>
        </w:numPr>
        <w:tabs>
          <w:tab w:val="left" w:pos="284"/>
        </w:tabs>
        <w:spacing w:after="0" w:line="240" w:lineRule="auto"/>
        <w:ind w:left="714" w:hanging="357"/>
        <w:jc w:val="both"/>
        <w:rPr>
          <w:rFonts w:cstheme="minorHAnsi"/>
          <w:sz w:val="20"/>
          <w:szCs w:val="20"/>
        </w:rPr>
      </w:pPr>
      <w:r>
        <w:rPr>
          <w:rFonts w:cstheme="minorHAnsi"/>
          <w:sz w:val="20"/>
          <w:szCs w:val="20"/>
        </w:rPr>
        <w:t xml:space="preserve">prawo </w:t>
      </w:r>
      <w:r>
        <w:rPr>
          <w:rFonts w:cstheme="minorHAnsi"/>
          <w:b/>
          <w:sz w:val="20"/>
          <w:szCs w:val="20"/>
        </w:rPr>
        <w:t>wniesienia sprzeciwu wobec przetwarzania danych osobowych</w:t>
      </w:r>
      <w:r>
        <w:rPr>
          <w:rFonts w:cstheme="minorHAnsi"/>
          <w:sz w:val="20"/>
          <w:szCs w:val="20"/>
        </w:rPr>
        <w:t xml:space="preserve"> - art. 21 RODO; </w:t>
      </w:r>
    </w:p>
    <w:p w:rsidR="0078639D" w:rsidRDefault="004945CF">
      <w:pPr>
        <w:numPr>
          <w:ilvl w:val="0"/>
          <w:numId w:val="57"/>
        </w:numPr>
        <w:tabs>
          <w:tab w:val="left" w:pos="284"/>
        </w:tabs>
        <w:spacing w:after="0" w:line="240" w:lineRule="auto"/>
        <w:ind w:left="714" w:hanging="357"/>
        <w:jc w:val="both"/>
        <w:rPr>
          <w:rFonts w:cstheme="minorHAnsi"/>
          <w:sz w:val="20"/>
          <w:szCs w:val="20"/>
        </w:rPr>
      </w:pPr>
      <w:r>
        <w:rPr>
          <w:rFonts w:cstheme="minorHAnsi"/>
          <w:sz w:val="20"/>
          <w:szCs w:val="20"/>
        </w:rPr>
        <w:t xml:space="preserve">prawo </w:t>
      </w:r>
      <w:r>
        <w:rPr>
          <w:rFonts w:cstheme="minorHAnsi"/>
          <w:b/>
          <w:sz w:val="20"/>
          <w:szCs w:val="20"/>
        </w:rPr>
        <w:t xml:space="preserve">wniesienia skargi do Prezesa Urzędu Ochrony Danych Osobowych – </w:t>
      </w:r>
      <w:r>
        <w:rPr>
          <w:rFonts w:cstheme="minorHAnsi"/>
          <w:bCs/>
          <w:sz w:val="20"/>
          <w:szCs w:val="20"/>
        </w:rPr>
        <w:t>art. 77 RODO</w:t>
      </w:r>
      <w:r>
        <w:rPr>
          <w:rFonts w:cstheme="minorHAnsi"/>
          <w:sz w:val="20"/>
          <w:szCs w:val="20"/>
        </w:rPr>
        <w:t>.</w:t>
      </w:r>
    </w:p>
    <w:p w:rsidR="0078639D" w:rsidRDefault="004945CF">
      <w:pPr>
        <w:numPr>
          <w:ilvl w:val="0"/>
          <w:numId w:val="55"/>
        </w:numPr>
        <w:tabs>
          <w:tab w:val="left" w:pos="284"/>
        </w:tabs>
        <w:spacing w:after="0" w:line="240" w:lineRule="auto"/>
        <w:jc w:val="both"/>
        <w:rPr>
          <w:rFonts w:cstheme="minorHAnsi"/>
          <w:b/>
          <w:sz w:val="20"/>
          <w:szCs w:val="20"/>
        </w:rPr>
      </w:pPr>
      <w:r>
        <w:rPr>
          <w:rFonts w:cstheme="minorHAnsi"/>
          <w:b/>
          <w:sz w:val="20"/>
          <w:szCs w:val="20"/>
        </w:rPr>
        <w:t>Źródło pochodzenia danych osobowych</w:t>
      </w:r>
    </w:p>
    <w:p w:rsidR="0078639D" w:rsidRDefault="004945CF">
      <w:pPr>
        <w:tabs>
          <w:tab w:val="left" w:pos="284"/>
        </w:tabs>
        <w:spacing w:after="0" w:line="240" w:lineRule="auto"/>
        <w:ind w:left="284"/>
        <w:rPr>
          <w:rFonts w:cstheme="minorHAnsi"/>
          <w:bCs/>
          <w:sz w:val="20"/>
          <w:szCs w:val="20"/>
        </w:rPr>
      </w:pPr>
      <w:r>
        <w:rPr>
          <w:rFonts w:cstheme="minorHAnsi"/>
          <w:bCs/>
          <w:sz w:val="20"/>
          <w:szCs w:val="20"/>
        </w:rPr>
        <w:t>Instytucja Koordynująca otrzymała dane osobowe Instytucji odpowiedzialnej za realizację inwestycji, tj. od Ministra Zdrowia.</w:t>
      </w:r>
    </w:p>
    <w:p w:rsidR="0078639D" w:rsidRDefault="004945CF">
      <w:pPr>
        <w:numPr>
          <w:ilvl w:val="0"/>
          <w:numId w:val="55"/>
        </w:numPr>
        <w:tabs>
          <w:tab w:val="left" w:pos="284"/>
        </w:tabs>
        <w:spacing w:after="0" w:line="240" w:lineRule="auto"/>
        <w:jc w:val="both"/>
        <w:rPr>
          <w:rFonts w:cstheme="minorHAnsi"/>
          <w:b/>
          <w:sz w:val="20"/>
          <w:szCs w:val="20"/>
        </w:rPr>
      </w:pPr>
      <w:r>
        <w:rPr>
          <w:rFonts w:cstheme="minorHAnsi"/>
          <w:b/>
          <w:sz w:val="20"/>
          <w:szCs w:val="20"/>
        </w:rPr>
        <w:t xml:space="preserve">Zautomatyzowane podejmowanie decyzji </w:t>
      </w:r>
    </w:p>
    <w:p w:rsidR="0078639D" w:rsidRDefault="004945CF">
      <w:pPr>
        <w:tabs>
          <w:tab w:val="left" w:pos="284"/>
        </w:tabs>
        <w:spacing w:after="0" w:line="240" w:lineRule="auto"/>
        <w:jc w:val="both"/>
        <w:rPr>
          <w:rFonts w:cstheme="minorHAnsi"/>
          <w:sz w:val="20"/>
          <w:szCs w:val="20"/>
        </w:rPr>
      </w:pPr>
      <w:r>
        <w:rPr>
          <w:rFonts w:cstheme="minorHAnsi"/>
          <w:sz w:val="20"/>
          <w:szCs w:val="20"/>
        </w:rPr>
        <w:tab/>
        <w:t>Dane osobowe nie będą podlegały zautomatyzowanemu podejmowaniu decyzji, w tym profilowaniu.</w:t>
      </w:r>
    </w:p>
    <w:p w:rsidR="0078639D" w:rsidRDefault="004945CF">
      <w:pPr>
        <w:numPr>
          <w:ilvl w:val="0"/>
          <w:numId w:val="55"/>
        </w:numPr>
        <w:tabs>
          <w:tab w:val="left" w:pos="284"/>
        </w:tabs>
        <w:spacing w:after="0" w:line="240" w:lineRule="auto"/>
        <w:jc w:val="both"/>
        <w:rPr>
          <w:rFonts w:cstheme="minorHAnsi"/>
          <w:b/>
          <w:sz w:val="20"/>
          <w:szCs w:val="20"/>
        </w:rPr>
      </w:pPr>
      <w:r>
        <w:rPr>
          <w:rFonts w:cstheme="minorHAnsi"/>
          <w:b/>
          <w:sz w:val="20"/>
          <w:szCs w:val="20"/>
        </w:rPr>
        <w:t>Przekazywanie danych do państwa trzeciego.</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t>Dane osobowe nie będą przekazywane do państwa trzeciego lub organizacji międzynarodowej innej niż Unia Europejska.</w:t>
      </w:r>
    </w:p>
    <w:p w:rsidR="0078639D" w:rsidRDefault="0078639D">
      <w:pPr>
        <w:tabs>
          <w:tab w:val="left" w:pos="284"/>
        </w:tabs>
        <w:spacing w:after="0" w:line="240" w:lineRule="auto"/>
        <w:jc w:val="both"/>
        <w:rPr>
          <w:rFonts w:cstheme="minorHAnsi"/>
          <w:sz w:val="20"/>
          <w:szCs w:val="20"/>
        </w:rPr>
      </w:pPr>
    </w:p>
    <w:p w:rsidR="0078639D" w:rsidRDefault="004945CF">
      <w:pPr>
        <w:tabs>
          <w:tab w:val="left" w:pos="284"/>
        </w:tabs>
        <w:spacing w:after="0" w:line="240" w:lineRule="auto"/>
        <w:jc w:val="center"/>
        <w:rPr>
          <w:rFonts w:cstheme="minorHAnsi"/>
          <w:b/>
          <w:sz w:val="20"/>
          <w:szCs w:val="20"/>
        </w:rPr>
      </w:pPr>
      <w:r>
        <w:rPr>
          <w:rFonts w:cstheme="minorHAnsi"/>
          <w:b/>
          <w:sz w:val="20"/>
          <w:szCs w:val="20"/>
        </w:rPr>
        <w:t>Informacje dotyczące przetwarzania danych osobowych</w:t>
      </w:r>
    </w:p>
    <w:p w:rsidR="0078639D" w:rsidRDefault="004945CF">
      <w:pPr>
        <w:tabs>
          <w:tab w:val="left" w:pos="284"/>
        </w:tabs>
        <w:spacing w:after="0" w:line="240" w:lineRule="auto"/>
        <w:jc w:val="center"/>
        <w:rPr>
          <w:rFonts w:cstheme="minorHAnsi"/>
          <w:b/>
          <w:sz w:val="20"/>
          <w:szCs w:val="20"/>
        </w:rPr>
      </w:pPr>
      <w:r>
        <w:rPr>
          <w:rFonts w:cstheme="minorHAnsi"/>
          <w:b/>
          <w:sz w:val="20"/>
          <w:szCs w:val="20"/>
        </w:rPr>
        <w:t>przez Instytucję Odpowiedzialną za realizację Inwestycji w ramach Umowy</w:t>
      </w:r>
    </w:p>
    <w:p w:rsidR="0078639D" w:rsidRDefault="0078639D">
      <w:pPr>
        <w:tabs>
          <w:tab w:val="left" w:pos="284"/>
        </w:tabs>
        <w:spacing w:after="0" w:line="240" w:lineRule="auto"/>
        <w:jc w:val="both"/>
        <w:rPr>
          <w:rFonts w:cstheme="minorHAnsi"/>
          <w:sz w:val="20"/>
          <w:szCs w:val="20"/>
        </w:rPr>
      </w:pPr>
    </w:p>
    <w:p w:rsidR="0078639D" w:rsidRDefault="004945CF">
      <w:pPr>
        <w:pStyle w:val="Akapitzlist"/>
        <w:numPr>
          <w:ilvl w:val="0"/>
          <w:numId w:val="60"/>
        </w:numPr>
        <w:tabs>
          <w:tab w:val="left" w:pos="284"/>
        </w:tabs>
        <w:jc w:val="both"/>
        <w:rPr>
          <w:rFonts w:asciiTheme="minorHAnsi" w:hAnsiTheme="minorHAnsi" w:cstheme="minorHAnsi"/>
          <w:b/>
        </w:rPr>
      </w:pPr>
      <w:r>
        <w:rPr>
          <w:rFonts w:asciiTheme="minorHAnsi" w:hAnsiTheme="minorHAnsi" w:cstheme="minorHAnsi"/>
          <w:b/>
        </w:rPr>
        <w:t>Administrator danych</w:t>
      </w:r>
    </w:p>
    <w:p w:rsidR="0078639D" w:rsidRDefault="004945CF">
      <w:pPr>
        <w:tabs>
          <w:tab w:val="left" w:pos="284"/>
        </w:tabs>
        <w:spacing w:after="0" w:line="240" w:lineRule="auto"/>
        <w:ind w:left="284" w:hanging="284"/>
        <w:jc w:val="both"/>
        <w:rPr>
          <w:rFonts w:cstheme="minorHAnsi"/>
          <w:sz w:val="20"/>
          <w:szCs w:val="20"/>
        </w:rPr>
      </w:pPr>
      <w:r>
        <w:rPr>
          <w:rFonts w:cstheme="minorHAnsi"/>
          <w:bCs/>
          <w:sz w:val="20"/>
          <w:szCs w:val="20"/>
        </w:rPr>
        <w:tab/>
      </w:r>
      <w:r>
        <w:rPr>
          <w:rFonts w:ascii="Calibri" w:hAnsi="Calibri"/>
          <w:sz w:val="20"/>
        </w:rPr>
        <w:t xml:space="preserve">Administratorem danych jest Instytucja Odpowiedzialna za realizację Inwestycji, tj. Minister Zdrowia. Z Administratorem można kontaktować się listownie lub elektronicznie za pomocą: e-mail (kancelaria@mz.gov.pl), e-Doręczeń (AE:PL-11185-96749-VHSCS-20) lub ePUAP </w:t>
      </w:r>
      <w:r>
        <w:rPr>
          <w:rFonts w:ascii="Calibri" w:hAnsi="Calibri" w:cstheme="minorHAnsi"/>
          <w:bCs/>
          <w:sz w:val="20"/>
          <w:szCs w:val="20"/>
        </w:rPr>
        <w:t>(/8tk37sxx6h/SkrytkaESP).</w:t>
      </w:r>
    </w:p>
    <w:p w:rsidR="0078639D" w:rsidRDefault="004945CF">
      <w:pPr>
        <w:numPr>
          <w:ilvl w:val="0"/>
          <w:numId w:val="60"/>
        </w:numPr>
        <w:tabs>
          <w:tab w:val="left" w:pos="284"/>
        </w:tabs>
        <w:spacing w:after="0" w:line="240" w:lineRule="auto"/>
        <w:ind w:left="284" w:hanging="284"/>
        <w:jc w:val="both"/>
        <w:rPr>
          <w:rFonts w:cstheme="minorHAnsi"/>
          <w:b/>
          <w:sz w:val="20"/>
          <w:szCs w:val="20"/>
        </w:rPr>
      </w:pPr>
      <w:r>
        <w:rPr>
          <w:rFonts w:cstheme="minorHAnsi"/>
          <w:b/>
          <w:sz w:val="20"/>
          <w:szCs w:val="20"/>
        </w:rPr>
        <w:t>Inspektor Ochrony Danych</w:t>
      </w:r>
    </w:p>
    <w:p w:rsidR="0078639D" w:rsidRDefault="004945CF">
      <w:pPr>
        <w:tabs>
          <w:tab w:val="left" w:pos="284"/>
        </w:tabs>
        <w:spacing w:after="0" w:line="240" w:lineRule="auto"/>
        <w:ind w:left="284" w:hanging="284"/>
        <w:jc w:val="both"/>
        <w:rPr>
          <w:rFonts w:cstheme="minorHAnsi"/>
          <w:bCs/>
          <w:sz w:val="20"/>
          <w:szCs w:val="20"/>
        </w:rPr>
      </w:pPr>
      <w:r>
        <w:rPr>
          <w:rFonts w:cstheme="minorHAnsi"/>
          <w:bCs/>
          <w:sz w:val="20"/>
          <w:szCs w:val="20"/>
        </w:rPr>
        <w:tab/>
        <w:t>Administrator powołał Inspektora Danych Osobowych, z którym można kontaktować się w sprawach dotyczących ochrony danych osobowych pod adresem siedziby Instytucji Odpowiedzialnej za Inwestycję, oraz na adres skrzynki elektronicznej iod@mz.gov.pl.</w:t>
      </w:r>
    </w:p>
    <w:p w:rsidR="0078639D" w:rsidRDefault="004945CF">
      <w:pPr>
        <w:numPr>
          <w:ilvl w:val="0"/>
          <w:numId w:val="60"/>
        </w:numPr>
        <w:tabs>
          <w:tab w:val="left" w:pos="284"/>
        </w:tabs>
        <w:spacing w:after="0" w:line="240" w:lineRule="auto"/>
        <w:ind w:left="284" w:hanging="284"/>
        <w:jc w:val="both"/>
        <w:rPr>
          <w:rFonts w:cstheme="minorHAnsi"/>
          <w:b/>
          <w:sz w:val="20"/>
          <w:szCs w:val="20"/>
        </w:rPr>
      </w:pPr>
      <w:r>
        <w:rPr>
          <w:rFonts w:cstheme="minorHAnsi"/>
          <w:b/>
          <w:sz w:val="20"/>
          <w:szCs w:val="20"/>
        </w:rPr>
        <w:t xml:space="preserve">Cel przetwarzania danych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r>
      <w:r>
        <w:rPr>
          <w:rFonts w:cstheme="minorHAnsi"/>
          <w:bCs/>
          <w:sz w:val="20"/>
          <w:szCs w:val="20"/>
        </w:rPr>
        <w:t>Instytucja Odpowiedzialna za realizację Inwestycji</w:t>
      </w:r>
      <w:r>
        <w:rPr>
          <w:rFonts w:cstheme="minorHAnsi"/>
          <w:sz w:val="20"/>
          <w:szCs w:val="20"/>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rsidR="0078639D" w:rsidRDefault="004945CF">
      <w:pPr>
        <w:numPr>
          <w:ilvl w:val="0"/>
          <w:numId w:val="60"/>
        </w:numPr>
        <w:tabs>
          <w:tab w:val="left" w:pos="284"/>
        </w:tabs>
        <w:spacing w:after="0" w:line="240" w:lineRule="auto"/>
        <w:ind w:left="284" w:hanging="284"/>
        <w:jc w:val="both"/>
        <w:rPr>
          <w:rFonts w:cstheme="minorHAnsi"/>
          <w:b/>
          <w:sz w:val="20"/>
          <w:szCs w:val="20"/>
        </w:rPr>
      </w:pPr>
      <w:r>
        <w:rPr>
          <w:rFonts w:cstheme="minorHAnsi"/>
          <w:b/>
          <w:sz w:val="20"/>
          <w:szCs w:val="20"/>
        </w:rPr>
        <w:t xml:space="preserve">Podstawa prawna przetwarzania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r>
      <w:r>
        <w:rPr>
          <w:rFonts w:cstheme="minorHAnsi"/>
          <w:bCs/>
          <w:sz w:val="20"/>
          <w:szCs w:val="20"/>
        </w:rPr>
        <w:t>Instytucja Odpowiedzialna za realizację Inwestycji</w:t>
      </w:r>
      <w:r>
        <w:rPr>
          <w:rFonts w:cstheme="minorHAnsi"/>
          <w:sz w:val="20"/>
          <w:szCs w:val="20"/>
        </w:rPr>
        <w:t xml:space="preserve"> przetwarza dane osobowe na podstawie art. 14lzj w związku z art. 14lzm ustawy w związku z art. 6 ust. 1 lit. c RODO (przetwarzanie jest niezbędne do wypełnienia obowiązku prawnego ciążącego na administratorze). </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r>
      <w:r>
        <w:rPr>
          <w:rFonts w:cstheme="minorHAnsi"/>
          <w:bCs/>
          <w:sz w:val="20"/>
          <w:szCs w:val="20"/>
        </w:rPr>
        <w:t>Instytucja Odpowiedzialna za realizację Inwestycji</w:t>
      </w:r>
      <w:r>
        <w:rPr>
          <w:rFonts w:cstheme="minorHAnsi"/>
          <w:sz w:val="20"/>
          <w:szCs w:val="20"/>
        </w:rPr>
        <w:t xml:space="preserve">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rsidR="0078639D" w:rsidRDefault="004945CF">
      <w:pPr>
        <w:numPr>
          <w:ilvl w:val="0"/>
          <w:numId w:val="60"/>
        </w:numPr>
        <w:tabs>
          <w:tab w:val="left" w:pos="284"/>
        </w:tabs>
        <w:spacing w:after="0" w:line="240" w:lineRule="auto"/>
        <w:ind w:left="284" w:hanging="284"/>
        <w:jc w:val="both"/>
        <w:rPr>
          <w:rFonts w:cstheme="minorHAnsi"/>
          <w:b/>
          <w:sz w:val="20"/>
          <w:szCs w:val="20"/>
        </w:rPr>
      </w:pPr>
      <w:r>
        <w:rPr>
          <w:rFonts w:cstheme="minorHAnsi"/>
          <w:b/>
          <w:sz w:val="20"/>
          <w:szCs w:val="20"/>
        </w:rPr>
        <w:t>Okres przechowywania danych</w:t>
      </w:r>
    </w:p>
    <w:p w:rsidR="0078639D" w:rsidRDefault="004945CF">
      <w:pPr>
        <w:tabs>
          <w:tab w:val="left" w:pos="284"/>
        </w:tabs>
        <w:spacing w:after="0" w:line="240" w:lineRule="auto"/>
        <w:ind w:left="284" w:hanging="284"/>
        <w:jc w:val="both"/>
        <w:rPr>
          <w:rFonts w:cstheme="minorHAnsi"/>
          <w:sz w:val="20"/>
          <w:szCs w:val="20"/>
        </w:rPr>
      </w:pPr>
      <w:r>
        <w:rPr>
          <w:rFonts w:cstheme="minorHAnsi"/>
          <w:sz w:val="20"/>
          <w:szCs w:val="20"/>
        </w:rPr>
        <w:tab/>
      </w:r>
      <w:r>
        <w:rPr>
          <w:rFonts w:cstheme="minorHAnsi"/>
          <w:bCs/>
          <w:sz w:val="20"/>
          <w:szCs w:val="20"/>
        </w:rPr>
        <w:t>Instytucja Odpowiedzialna za realizację Inwestycji</w:t>
      </w:r>
      <w:r>
        <w:rPr>
          <w:rFonts w:cstheme="minorHAnsi"/>
          <w:sz w:val="20"/>
          <w:szCs w:val="20"/>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rsidR="0078639D" w:rsidRDefault="0078639D">
      <w:pPr>
        <w:tabs>
          <w:tab w:val="left" w:pos="284"/>
        </w:tabs>
        <w:spacing w:after="0" w:line="240" w:lineRule="auto"/>
        <w:ind w:left="284" w:hanging="284"/>
        <w:jc w:val="right"/>
        <w:rPr>
          <w:rFonts w:cstheme="minorHAnsi"/>
          <w:sz w:val="20"/>
          <w:szCs w:val="20"/>
        </w:rPr>
      </w:pPr>
    </w:p>
    <w:p w:rsidR="0078639D" w:rsidRDefault="004945CF">
      <w:pPr>
        <w:numPr>
          <w:ilvl w:val="0"/>
          <w:numId w:val="60"/>
        </w:numPr>
        <w:tabs>
          <w:tab w:val="left" w:pos="284"/>
        </w:tabs>
        <w:spacing w:after="0" w:line="240" w:lineRule="auto"/>
        <w:ind w:left="284" w:hanging="284"/>
        <w:jc w:val="both"/>
        <w:rPr>
          <w:rFonts w:cstheme="minorHAnsi"/>
          <w:sz w:val="20"/>
          <w:szCs w:val="20"/>
        </w:rPr>
      </w:pPr>
      <w:r>
        <w:rPr>
          <w:rFonts w:cstheme="minorHAnsi"/>
          <w:b/>
          <w:sz w:val="20"/>
          <w:szCs w:val="20"/>
        </w:rPr>
        <w:t>Rodzaje przetwarzanych danych</w:t>
      </w:r>
    </w:p>
    <w:p w:rsidR="0078639D" w:rsidRDefault="004945CF">
      <w:pPr>
        <w:tabs>
          <w:tab w:val="left" w:pos="284"/>
        </w:tabs>
        <w:spacing w:after="0" w:line="240" w:lineRule="auto"/>
        <w:jc w:val="both"/>
        <w:rPr>
          <w:rFonts w:cstheme="minorHAnsi"/>
          <w:sz w:val="20"/>
          <w:szCs w:val="20"/>
        </w:rPr>
      </w:pPr>
      <w:r>
        <w:rPr>
          <w:rFonts w:cstheme="minorHAnsi"/>
          <w:sz w:val="20"/>
          <w:szCs w:val="20"/>
        </w:rPr>
        <w:tab/>
        <w:t>Instytucja Odpowiedzialna za realizację Inwestycji przetwarza następujące kategorie danych osobowych:</w:t>
      </w:r>
    </w:p>
    <w:p w:rsidR="0078639D" w:rsidRDefault="004945CF">
      <w:pPr>
        <w:tabs>
          <w:tab w:val="left" w:pos="284"/>
        </w:tabs>
        <w:spacing w:after="0" w:line="240" w:lineRule="auto"/>
        <w:ind w:left="714" w:hanging="357"/>
        <w:jc w:val="both"/>
        <w:rPr>
          <w:rFonts w:cstheme="minorHAnsi"/>
          <w:sz w:val="20"/>
          <w:szCs w:val="20"/>
        </w:rPr>
      </w:pPr>
      <w:r>
        <w:rPr>
          <w:rFonts w:cstheme="minorHAnsi"/>
          <w:sz w:val="20"/>
          <w:szCs w:val="20"/>
        </w:rPr>
        <w:t>a)</w:t>
      </w:r>
      <w:r>
        <w:rPr>
          <w:rFonts w:cstheme="minorHAnsi"/>
          <w:sz w:val="20"/>
          <w:szCs w:val="20"/>
        </w:rPr>
        <w:tab/>
        <w:t xml:space="preserve">nazwa ostatecznego odbiorcy środków finansowych; </w:t>
      </w:r>
    </w:p>
    <w:p w:rsidR="0078639D" w:rsidRDefault="004945CF">
      <w:pPr>
        <w:tabs>
          <w:tab w:val="left" w:pos="284"/>
        </w:tabs>
        <w:spacing w:after="0" w:line="240" w:lineRule="auto"/>
        <w:ind w:left="714" w:hanging="357"/>
        <w:jc w:val="both"/>
        <w:rPr>
          <w:rFonts w:cstheme="minorHAnsi"/>
          <w:sz w:val="20"/>
          <w:szCs w:val="20"/>
        </w:rPr>
      </w:pPr>
      <w:r>
        <w:rPr>
          <w:rFonts w:cstheme="minorHAnsi"/>
          <w:sz w:val="20"/>
          <w:szCs w:val="20"/>
        </w:rPr>
        <w:t>b)</w:t>
      </w:r>
      <w:r>
        <w:rPr>
          <w:rFonts w:cstheme="minorHAnsi"/>
          <w:sz w:val="20"/>
          <w:szCs w:val="20"/>
        </w:rPr>
        <w:tab/>
        <w:t>nazwa wykonawcy i podwykonawcy, jeżeli końcowy odbiorca środków finansowych jest instytucją zamawiającą zgodnie z prawem unijnym lub krajowym dotyczącym zamówień publicznych;</w:t>
      </w:r>
    </w:p>
    <w:p w:rsidR="0078639D" w:rsidRDefault="004945CF">
      <w:pPr>
        <w:tabs>
          <w:tab w:val="left" w:pos="284"/>
        </w:tabs>
        <w:spacing w:after="0" w:line="240" w:lineRule="auto"/>
        <w:ind w:left="714" w:hanging="357"/>
        <w:jc w:val="both"/>
        <w:rPr>
          <w:rFonts w:cstheme="minorHAnsi"/>
          <w:sz w:val="20"/>
          <w:szCs w:val="20"/>
        </w:rPr>
      </w:pPr>
      <w:r>
        <w:rPr>
          <w:rFonts w:cstheme="minorHAnsi"/>
          <w:sz w:val="20"/>
          <w:szCs w:val="20"/>
        </w:rPr>
        <w:t>c)</w:t>
      </w:r>
      <w:r>
        <w:rPr>
          <w:rFonts w:cstheme="minorHAnsi"/>
          <w:sz w:val="20"/>
          <w:szCs w:val="20"/>
        </w:rPr>
        <w:tab/>
        <w:t>imiona, nazwiska i daty urodzenia beneficjentów rzeczywistych podmiotu będącego odbiorcą środków finansowych lub wykonawcą, zgodnie z definicją zawartą w art. 3 pkt 6 dyrektywy 2015/849;</w:t>
      </w:r>
    </w:p>
    <w:p w:rsidR="0078639D" w:rsidRDefault="004945CF">
      <w:pPr>
        <w:numPr>
          <w:ilvl w:val="0"/>
          <w:numId w:val="60"/>
        </w:numPr>
        <w:tabs>
          <w:tab w:val="left" w:pos="284"/>
        </w:tabs>
        <w:spacing w:after="0" w:line="240" w:lineRule="auto"/>
        <w:ind w:left="284" w:hanging="284"/>
        <w:jc w:val="both"/>
        <w:rPr>
          <w:rFonts w:cstheme="minorHAnsi"/>
          <w:b/>
          <w:sz w:val="20"/>
          <w:szCs w:val="20"/>
        </w:rPr>
      </w:pPr>
      <w:r>
        <w:rPr>
          <w:rFonts w:cstheme="minorHAnsi"/>
          <w:b/>
          <w:sz w:val="20"/>
          <w:szCs w:val="20"/>
        </w:rPr>
        <w:t>Dostęp do danych osobowych</w:t>
      </w:r>
    </w:p>
    <w:p w:rsidR="0078639D" w:rsidRDefault="004945CF">
      <w:pPr>
        <w:tabs>
          <w:tab w:val="left" w:pos="284"/>
        </w:tabs>
        <w:spacing w:after="0" w:line="240" w:lineRule="auto"/>
        <w:jc w:val="both"/>
        <w:rPr>
          <w:rFonts w:cstheme="minorHAnsi"/>
          <w:sz w:val="20"/>
          <w:szCs w:val="20"/>
        </w:rPr>
      </w:pPr>
      <w:r>
        <w:rPr>
          <w:rFonts w:cstheme="minorHAnsi"/>
          <w:sz w:val="20"/>
          <w:szCs w:val="20"/>
        </w:rPr>
        <w:tab/>
        <w:t>Dane osobowe mogą być powierzane lub udostępniane:</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Podmiotom świadczącym na rzecz Instytucji Koordynującej usługi związane z obsługą i rozwojem systemów teleinformatycznych oraz zapewnieniem łączności, w szczególności dostawcy rozwiązań IT i operatorzy telekomunikacyjni,</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Organom administracji publicznej (na podstawie przepisów prawa),</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Organom Unii Europejskiej (na podstawie przepisów prawa),</w:t>
      </w:r>
    </w:p>
    <w:p w:rsidR="0078639D" w:rsidRDefault="004945CF">
      <w:pPr>
        <w:numPr>
          <w:ilvl w:val="0"/>
          <w:numId w:val="56"/>
        </w:numPr>
        <w:tabs>
          <w:tab w:val="left" w:pos="284"/>
        </w:tabs>
        <w:spacing w:after="0" w:line="240" w:lineRule="auto"/>
        <w:jc w:val="both"/>
        <w:rPr>
          <w:rFonts w:cstheme="minorHAnsi"/>
          <w:sz w:val="20"/>
          <w:szCs w:val="20"/>
        </w:rPr>
      </w:pPr>
      <w:r>
        <w:rPr>
          <w:rFonts w:cstheme="minorHAnsi"/>
          <w:sz w:val="20"/>
          <w:szCs w:val="20"/>
        </w:rPr>
        <w:t>Podmiotom, którym Instytucja Koordynująca powierzyła wykonywanie zadań w ramach planu rozwojowego.</w:t>
      </w:r>
    </w:p>
    <w:p w:rsidR="0078639D" w:rsidRDefault="004945CF">
      <w:pPr>
        <w:numPr>
          <w:ilvl w:val="0"/>
          <w:numId w:val="60"/>
        </w:numPr>
        <w:tabs>
          <w:tab w:val="left" w:pos="284"/>
        </w:tabs>
        <w:spacing w:after="0" w:line="240" w:lineRule="auto"/>
        <w:jc w:val="both"/>
        <w:rPr>
          <w:rFonts w:cstheme="minorHAnsi"/>
          <w:b/>
          <w:sz w:val="20"/>
          <w:szCs w:val="20"/>
        </w:rPr>
      </w:pPr>
      <w:r>
        <w:rPr>
          <w:rFonts w:cstheme="minorHAnsi"/>
          <w:b/>
          <w:sz w:val="20"/>
          <w:szCs w:val="20"/>
        </w:rPr>
        <w:lastRenderedPageBreak/>
        <w:t>Prawa osób, których dane dotyczą</w:t>
      </w:r>
    </w:p>
    <w:p w:rsidR="0078639D" w:rsidRDefault="004945CF">
      <w:pPr>
        <w:numPr>
          <w:ilvl w:val="0"/>
          <w:numId w:val="58"/>
        </w:numPr>
        <w:tabs>
          <w:tab w:val="left" w:pos="284"/>
        </w:tabs>
        <w:spacing w:after="0" w:line="240" w:lineRule="auto"/>
        <w:ind w:left="709" w:hanging="425"/>
        <w:jc w:val="both"/>
        <w:rPr>
          <w:rFonts w:cstheme="minorHAnsi"/>
          <w:sz w:val="20"/>
          <w:szCs w:val="20"/>
        </w:rPr>
      </w:pPr>
      <w:r>
        <w:rPr>
          <w:rFonts w:cstheme="minorHAnsi"/>
          <w:sz w:val="20"/>
          <w:szCs w:val="20"/>
        </w:rPr>
        <w:t xml:space="preserve">prawo </w:t>
      </w:r>
      <w:r>
        <w:rPr>
          <w:rFonts w:cstheme="minorHAnsi"/>
          <w:b/>
          <w:sz w:val="20"/>
          <w:szCs w:val="20"/>
        </w:rPr>
        <w:t xml:space="preserve">dostępu do danych osobowych oraz otrzymania ich kopii – </w:t>
      </w:r>
      <w:r>
        <w:rPr>
          <w:rFonts w:cstheme="minorHAnsi"/>
          <w:bCs/>
          <w:sz w:val="20"/>
          <w:szCs w:val="20"/>
        </w:rPr>
        <w:t>art. 15 RODO</w:t>
      </w:r>
      <w:r>
        <w:rPr>
          <w:rFonts w:cstheme="minorHAnsi"/>
          <w:b/>
          <w:sz w:val="20"/>
          <w:szCs w:val="20"/>
        </w:rPr>
        <w:t>;</w:t>
      </w:r>
    </w:p>
    <w:p w:rsidR="0078639D" w:rsidRDefault="004945CF">
      <w:pPr>
        <w:numPr>
          <w:ilvl w:val="0"/>
          <w:numId w:val="58"/>
        </w:numPr>
        <w:tabs>
          <w:tab w:val="left" w:pos="284"/>
        </w:tabs>
        <w:spacing w:after="0" w:line="240" w:lineRule="auto"/>
        <w:ind w:left="709" w:hanging="425"/>
        <w:jc w:val="both"/>
        <w:rPr>
          <w:rFonts w:cstheme="minorHAnsi"/>
          <w:sz w:val="20"/>
          <w:szCs w:val="20"/>
        </w:rPr>
      </w:pPr>
      <w:r>
        <w:rPr>
          <w:rFonts w:cstheme="minorHAnsi"/>
          <w:bCs/>
          <w:sz w:val="20"/>
          <w:szCs w:val="20"/>
        </w:rPr>
        <w:t>prawo</w:t>
      </w:r>
      <w:r>
        <w:rPr>
          <w:rFonts w:cstheme="minorHAnsi"/>
          <w:b/>
          <w:sz w:val="20"/>
          <w:szCs w:val="20"/>
        </w:rPr>
        <w:t xml:space="preserve"> do sprostowania danych osobowych – </w:t>
      </w:r>
      <w:r>
        <w:rPr>
          <w:rFonts w:cstheme="minorHAnsi"/>
          <w:bCs/>
          <w:sz w:val="20"/>
          <w:szCs w:val="20"/>
        </w:rPr>
        <w:t>art. 16 RODO</w:t>
      </w:r>
      <w:r>
        <w:rPr>
          <w:rFonts w:cstheme="minorHAnsi"/>
          <w:b/>
          <w:sz w:val="20"/>
          <w:szCs w:val="20"/>
        </w:rPr>
        <w:t>;</w:t>
      </w:r>
    </w:p>
    <w:p w:rsidR="0078639D" w:rsidRDefault="004945CF">
      <w:pPr>
        <w:numPr>
          <w:ilvl w:val="0"/>
          <w:numId w:val="58"/>
        </w:numPr>
        <w:tabs>
          <w:tab w:val="left" w:pos="284"/>
        </w:tabs>
        <w:spacing w:after="0" w:line="240" w:lineRule="auto"/>
        <w:ind w:left="709" w:hanging="425"/>
        <w:jc w:val="both"/>
        <w:rPr>
          <w:rFonts w:cstheme="minorHAnsi"/>
          <w:sz w:val="20"/>
          <w:szCs w:val="20"/>
        </w:rPr>
      </w:pPr>
      <w:r>
        <w:rPr>
          <w:rFonts w:cstheme="minorHAnsi"/>
          <w:sz w:val="20"/>
          <w:szCs w:val="20"/>
        </w:rPr>
        <w:t xml:space="preserve">prawo żądania </w:t>
      </w:r>
      <w:r>
        <w:rPr>
          <w:rFonts w:cstheme="minorHAnsi"/>
          <w:b/>
          <w:sz w:val="20"/>
          <w:szCs w:val="20"/>
        </w:rPr>
        <w:t xml:space="preserve">ograniczenia przetwarzania - </w:t>
      </w:r>
      <w:r>
        <w:rPr>
          <w:rFonts w:cstheme="minorHAnsi"/>
          <w:sz w:val="20"/>
          <w:szCs w:val="20"/>
        </w:rPr>
        <w:t>jeżeli spełnione są przesłanki określone w art. 18 RODO;</w:t>
      </w:r>
    </w:p>
    <w:p w:rsidR="0078639D" w:rsidRDefault="004945CF">
      <w:pPr>
        <w:numPr>
          <w:ilvl w:val="0"/>
          <w:numId w:val="58"/>
        </w:numPr>
        <w:tabs>
          <w:tab w:val="left" w:pos="284"/>
        </w:tabs>
        <w:spacing w:after="0" w:line="240" w:lineRule="auto"/>
        <w:ind w:left="709" w:hanging="425"/>
        <w:jc w:val="both"/>
        <w:rPr>
          <w:rFonts w:cstheme="minorHAnsi"/>
          <w:sz w:val="20"/>
          <w:szCs w:val="20"/>
        </w:rPr>
      </w:pPr>
      <w:r>
        <w:rPr>
          <w:rFonts w:cstheme="minorHAnsi"/>
          <w:sz w:val="20"/>
          <w:szCs w:val="20"/>
        </w:rPr>
        <w:t xml:space="preserve">prawo </w:t>
      </w:r>
      <w:r>
        <w:rPr>
          <w:rFonts w:cstheme="minorHAnsi"/>
          <w:b/>
          <w:sz w:val="20"/>
          <w:szCs w:val="20"/>
        </w:rPr>
        <w:t>wniesienia sprzeciwu wobec przetwarzania danych osobowych</w:t>
      </w:r>
      <w:r>
        <w:rPr>
          <w:rFonts w:cstheme="minorHAnsi"/>
          <w:sz w:val="20"/>
          <w:szCs w:val="20"/>
        </w:rPr>
        <w:t xml:space="preserve"> - art. 21 RODO; </w:t>
      </w:r>
    </w:p>
    <w:p w:rsidR="0078639D" w:rsidRDefault="004945CF">
      <w:pPr>
        <w:numPr>
          <w:ilvl w:val="0"/>
          <w:numId w:val="58"/>
        </w:numPr>
        <w:tabs>
          <w:tab w:val="left" w:pos="284"/>
        </w:tabs>
        <w:spacing w:after="0" w:line="240" w:lineRule="auto"/>
        <w:ind w:left="709" w:hanging="425"/>
        <w:jc w:val="both"/>
        <w:rPr>
          <w:rFonts w:cstheme="minorHAnsi"/>
          <w:sz w:val="20"/>
          <w:szCs w:val="20"/>
        </w:rPr>
      </w:pPr>
      <w:r>
        <w:rPr>
          <w:rFonts w:cstheme="minorHAnsi"/>
          <w:sz w:val="20"/>
          <w:szCs w:val="20"/>
        </w:rPr>
        <w:t xml:space="preserve">prawo </w:t>
      </w:r>
      <w:r>
        <w:rPr>
          <w:rFonts w:cstheme="minorHAnsi"/>
          <w:b/>
          <w:sz w:val="20"/>
          <w:szCs w:val="20"/>
        </w:rPr>
        <w:t xml:space="preserve">wniesienia skargi do Prezesa Urzędu Ochrony Danych Osobowych – </w:t>
      </w:r>
      <w:r>
        <w:rPr>
          <w:rFonts w:cstheme="minorHAnsi"/>
          <w:bCs/>
          <w:sz w:val="20"/>
          <w:szCs w:val="20"/>
        </w:rPr>
        <w:t>art. 77 RODO</w:t>
      </w:r>
      <w:r>
        <w:rPr>
          <w:rFonts w:cstheme="minorHAnsi"/>
          <w:sz w:val="20"/>
          <w:szCs w:val="20"/>
        </w:rPr>
        <w:t>.</w:t>
      </w:r>
    </w:p>
    <w:p w:rsidR="0078639D" w:rsidRDefault="004945CF">
      <w:pPr>
        <w:numPr>
          <w:ilvl w:val="0"/>
          <w:numId w:val="60"/>
        </w:numPr>
        <w:tabs>
          <w:tab w:val="left" w:pos="284"/>
        </w:tabs>
        <w:spacing w:after="0" w:line="240" w:lineRule="auto"/>
        <w:jc w:val="both"/>
        <w:rPr>
          <w:rFonts w:cstheme="minorHAnsi"/>
          <w:b/>
          <w:sz w:val="20"/>
          <w:szCs w:val="20"/>
        </w:rPr>
      </w:pPr>
      <w:r>
        <w:rPr>
          <w:rFonts w:cstheme="minorHAnsi"/>
          <w:b/>
          <w:sz w:val="20"/>
          <w:szCs w:val="20"/>
        </w:rPr>
        <w:t>Źródło pochodzenia danych osobowych</w:t>
      </w:r>
    </w:p>
    <w:p w:rsidR="0078639D" w:rsidRDefault="004945CF">
      <w:pPr>
        <w:tabs>
          <w:tab w:val="left" w:pos="284"/>
        </w:tabs>
        <w:spacing w:after="0" w:line="240" w:lineRule="auto"/>
        <w:ind w:left="284"/>
        <w:jc w:val="both"/>
        <w:rPr>
          <w:rFonts w:cstheme="minorHAnsi"/>
          <w:bCs/>
          <w:sz w:val="20"/>
          <w:szCs w:val="20"/>
        </w:rPr>
      </w:pPr>
      <w:r>
        <w:rPr>
          <w:rFonts w:cstheme="minorHAnsi"/>
          <w:bCs/>
          <w:sz w:val="20"/>
          <w:szCs w:val="20"/>
        </w:rPr>
        <w:t xml:space="preserve">Instytucja Odpowiedzialna za realizację Inwestycji otrzymała dane osobowe Ostatecznego odbiorcy wsparcia za pomocą systemu teleinformatycznego CST 2021 a także dokumentów dostarczonych przez Wnioskodawców. </w:t>
      </w:r>
    </w:p>
    <w:p w:rsidR="0078639D" w:rsidRDefault="004945CF">
      <w:pPr>
        <w:numPr>
          <w:ilvl w:val="0"/>
          <w:numId w:val="60"/>
        </w:numPr>
        <w:tabs>
          <w:tab w:val="left" w:pos="284"/>
        </w:tabs>
        <w:spacing w:after="0" w:line="240" w:lineRule="auto"/>
        <w:jc w:val="both"/>
        <w:rPr>
          <w:rFonts w:cstheme="minorHAnsi"/>
          <w:b/>
          <w:sz w:val="20"/>
          <w:szCs w:val="20"/>
        </w:rPr>
      </w:pPr>
      <w:r>
        <w:rPr>
          <w:rFonts w:cstheme="minorHAnsi"/>
          <w:b/>
          <w:sz w:val="20"/>
          <w:szCs w:val="20"/>
        </w:rPr>
        <w:t xml:space="preserve">Zautomatyzowane podejmowanie decyzji </w:t>
      </w:r>
    </w:p>
    <w:p w:rsidR="0078639D" w:rsidRDefault="004945CF">
      <w:pPr>
        <w:tabs>
          <w:tab w:val="left" w:pos="284"/>
        </w:tabs>
        <w:spacing w:after="0" w:line="240" w:lineRule="auto"/>
        <w:jc w:val="both"/>
        <w:rPr>
          <w:rFonts w:cstheme="minorHAnsi"/>
          <w:sz w:val="20"/>
          <w:szCs w:val="20"/>
        </w:rPr>
      </w:pPr>
      <w:r>
        <w:rPr>
          <w:rFonts w:cstheme="minorHAnsi"/>
          <w:sz w:val="20"/>
          <w:szCs w:val="20"/>
        </w:rPr>
        <w:tab/>
        <w:t>Dane osobowe nie będą podlegały zautomatyzowanemu podejmowaniu decyzji, w tym profilowaniu.</w:t>
      </w:r>
    </w:p>
    <w:p w:rsidR="0078639D" w:rsidRDefault="004945CF">
      <w:pPr>
        <w:numPr>
          <w:ilvl w:val="0"/>
          <w:numId w:val="60"/>
        </w:numPr>
        <w:tabs>
          <w:tab w:val="left" w:pos="284"/>
        </w:tabs>
        <w:spacing w:after="0" w:line="240" w:lineRule="auto"/>
        <w:jc w:val="both"/>
        <w:rPr>
          <w:rFonts w:cstheme="minorHAnsi"/>
          <w:b/>
          <w:sz w:val="20"/>
          <w:szCs w:val="20"/>
        </w:rPr>
      </w:pPr>
      <w:r>
        <w:rPr>
          <w:rFonts w:cstheme="minorHAnsi"/>
          <w:b/>
          <w:sz w:val="20"/>
          <w:szCs w:val="20"/>
        </w:rPr>
        <w:t>Przekazywanie danych do państwa trzeciego.</w:t>
      </w:r>
    </w:p>
    <w:p w:rsidR="0078639D" w:rsidRDefault="004945CF">
      <w:pPr>
        <w:tabs>
          <w:tab w:val="left" w:pos="284"/>
        </w:tabs>
        <w:spacing w:after="0" w:line="240" w:lineRule="auto"/>
        <w:ind w:left="284" w:hanging="284"/>
        <w:jc w:val="both"/>
        <w:rPr>
          <w:rFonts w:cstheme="minorHAnsi"/>
          <w:b/>
          <w:sz w:val="20"/>
          <w:szCs w:val="20"/>
        </w:rPr>
      </w:pPr>
      <w:r>
        <w:rPr>
          <w:rFonts w:cstheme="minorHAnsi"/>
          <w:sz w:val="20"/>
          <w:szCs w:val="20"/>
        </w:rPr>
        <w:tab/>
        <w:t>Dane osobowe nie będą przekazywane do państwa trzeciego lub organizacji międzynarodowej innej niż Unia Europejska.</w:t>
      </w:r>
    </w:p>
    <w:p w:rsidR="0078639D" w:rsidRDefault="004945CF">
      <w:pPr>
        <w:spacing w:after="0" w:line="240" w:lineRule="auto"/>
        <w:rPr>
          <w:rFonts w:cstheme="minorHAnsi"/>
        </w:rPr>
      </w:pPr>
      <w:r>
        <w:br w:type="page"/>
      </w:r>
    </w:p>
    <w:p w:rsidR="0078639D" w:rsidRDefault="0078639D">
      <w:pPr>
        <w:keepNext/>
        <w:spacing w:after="0" w:line="360" w:lineRule="auto"/>
        <w:jc w:val="right"/>
        <w:outlineLvl w:val="2"/>
        <w:rPr>
          <w:rFonts w:eastAsia="Times New Roman" w:cstheme="minorHAnsi"/>
          <w:b/>
          <w:color w:val="7030A0"/>
          <w:sz w:val="20"/>
          <w:szCs w:val="20"/>
          <w:lang w:eastAsia="pl-PL"/>
        </w:rPr>
      </w:pPr>
    </w:p>
    <w:p w:rsidR="0078639D" w:rsidRDefault="004945CF">
      <w:pPr>
        <w:keepNext/>
        <w:spacing w:after="0" w:line="360" w:lineRule="auto"/>
        <w:jc w:val="right"/>
        <w:outlineLvl w:val="2"/>
        <w:rPr>
          <w:rFonts w:eastAsia="Times New Roman" w:cstheme="minorHAnsi"/>
          <w:b/>
          <w:color w:val="7030A0"/>
          <w:sz w:val="20"/>
          <w:szCs w:val="20"/>
          <w:lang w:eastAsia="pl-PL"/>
        </w:rPr>
      </w:pPr>
      <w:r>
        <w:rPr>
          <w:noProof/>
          <w:lang w:val="en-US"/>
        </w:rPr>
        <w:drawing>
          <wp:inline distT="0" distB="0" distL="0" distR="0">
            <wp:extent cx="6457950" cy="646430"/>
            <wp:effectExtent l="0" t="0" r="0" b="0"/>
            <wp:docPr id="20" name="Obraz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14"/>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keepNext/>
        <w:spacing w:after="0" w:line="360" w:lineRule="auto"/>
        <w:jc w:val="right"/>
        <w:outlineLvl w:val="2"/>
        <w:rPr>
          <w:rFonts w:eastAsia="Times New Roman" w:cstheme="minorHAnsi"/>
          <w:b/>
          <w:color w:val="7030A0"/>
          <w:sz w:val="20"/>
          <w:szCs w:val="20"/>
          <w:lang w:eastAsia="pl-PL"/>
        </w:rPr>
      </w:pPr>
      <w:r>
        <w:rPr>
          <w:rFonts w:eastAsia="Times New Roman" w:cstheme="minorHAnsi"/>
          <w:b/>
          <w:color w:val="7030A0"/>
          <w:sz w:val="20"/>
          <w:szCs w:val="20"/>
          <w:lang w:eastAsia="pl-PL"/>
        </w:rPr>
        <w:t>Załącznik nr 7 do SWZ</w:t>
      </w:r>
    </w:p>
    <w:p w:rsidR="0078639D" w:rsidRDefault="0078639D">
      <w:pPr>
        <w:spacing w:before="120" w:after="120" w:line="240" w:lineRule="auto"/>
        <w:jc w:val="center"/>
        <w:rPr>
          <w:rFonts w:cstheme="minorHAnsi"/>
          <w:b/>
          <w:bCs/>
          <w:sz w:val="20"/>
          <w:szCs w:val="20"/>
        </w:rPr>
      </w:pPr>
    </w:p>
    <w:p w:rsidR="0078639D" w:rsidRDefault="0078639D">
      <w:pPr>
        <w:spacing w:before="120" w:after="120" w:line="240" w:lineRule="auto"/>
        <w:jc w:val="center"/>
        <w:rPr>
          <w:rFonts w:cstheme="minorHAnsi"/>
          <w:b/>
          <w:bCs/>
          <w:sz w:val="20"/>
          <w:szCs w:val="20"/>
        </w:rPr>
      </w:pPr>
    </w:p>
    <w:p w:rsidR="0078639D" w:rsidRDefault="004945CF">
      <w:pPr>
        <w:spacing w:before="120" w:after="120" w:line="240" w:lineRule="auto"/>
        <w:jc w:val="center"/>
        <w:rPr>
          <w:rFonts w:cstheme="minorHAnsi"/>
          <w:b/>
          <w:bCs/>
          <w:sz w:val="20"/>
          <w:szCs w:val="20"/>
        </w:rPr>
      </w:pPr>
      <w:r>
        <w:rPr>
          <w:rFonts w:cstheme="minorHAnsi"/>
          <w:b/>
          <w:bCs/>
          <w:sz w:val="20"/>
          <w:szCs w:val="20"/>
        </w:rPr>
        <w:t>OŚWIADCZENIE DOTYCZĄCE SPEŁNIANIA NORMY ISO 14001 LUB NORMY RÓWNOWAŻNEJ</w:t>
      </w:r>
    </w:p>
    <w:p w:rsidR="0078639D" w:rsidRDefault="0078639D">
      <w:pPr>
        <w:spacing w:before="120" w:after="120" w:line="240" w:lineRule="auto"/>
        <w:jc w:val="center"/>
        <w:rPr>
          <w:rFonts w:cstheme="minorHAnsi"/>
          <w:b/>
          <w:bCs/>
          <w:sz w:val="20"/>
          <w:szCs w:val="20"/>
        </w:rPr>
      </w:pPr>
    </w:p>
    <w:p w:rsidR="0078639D" w:rsidRDefault="004945CF">
      <w:pPr>
        <w:spacing w:after="0"/>
        <w:contextualSpacing/>
        <w:jc w:val="both"/>
        <w:rPr>
          <w:rFonts w:cstheme="minorHAnsi"/>
          <w:sz w:val="20"/>
          <w:szCs w:val="20"/>
        </w:rPr>
      </w:pPr>
      <w:r>
        <w:rPr>
          <w:rFonts w:cstheme="minorHAnsi"/>
          <w:sz w:val="20"/>
          <w:szCs w:val="20"/>
        </w:rPr>
        <w:t xml:space="preserve">Wykonawca oświadcza, że producent*/Wykonawca* przedmiotu zamówienia spełnia/nie spełnia* normę ISO 14001 lub normę równoważną …………………………… (wskazać jaką normę) </w:t>
      </w:r>
    </w:p>
    <w:p w:rsidR="0078639D" w:rsidRDefault="004945CF">
      <w:pPr>
        <w:spacing w:after="0"/>
        <w:contextualSpacing/>
        <w:jc w:val="both"/>
        <w:rPr>
          <w:rFonts w:cstheme="minorHAnsi"/>
          <w:i/>
          <w:sz w:val="20"/>
          <w:szCs w:val="20"/>
        </w:rPr>
      </w:pPr>
      <w:r>
        <w:rPr>
          <w:rFonts w:cstheme="minorHAnsi"/>
          <w:sz w:val="20"/>
          <w:szCs w:val="20"/>
        </w:rPr>
        <w:t>*</w:t>
      </w:r>
      <w:r>
        <w:rPr>
          <w:rFonts w:cstheme="minorHAnsi"/>
          <w:i/>
          <w:sz w:val="20"/>
          <w:szCs w:val="20"/>
        </w:rPr>
        <w:t>dostosować</w:t>
      </w:r>
    </w:p>
    <w:p w:rsidR="0078639D" w:rsidRDefault="004945CF">
      <w:pPr>
        <w:tabs>
          <w:tab w:val="left" w:pos="284"/>
        </w:tabs>
        <w:spacing w:before="120" w:after="120" w:line="240" w:lineRule="auto"/>
        <w:jc w:val="right"/>
        <w:rPr>
          <w:rFonts w:cstheme="minorHAnsi"/>
          <w:b/>
          <w:sz w:val="20"/>
          <w:szCs w:val="20"/>
        </w:rPr>
      </w:pPr>
      <w:r>
        <w:rPr>
          <w:rFonts w:cstheme="minorHAnsi"/>
          <w:b/>
          <w:sz w:val="20"/>
          <w:szCs w:val="20"/>
        </w:rPr>
        <w:t>………………………………………………………………..</w:t>
      </w:r>
    </w:p>
    <w:p w:rsidR="0078639D" w:rsidRDefault="004945CF">
      <w:pPr>
        <w:tabs>
          <w:tab w:val="left" w:pos="284"/>
        </w:tabs>
        <w:spacing w:before="120" w:after="120" w:line="240" w:lineRule="auto"/>
        <w:jc w:val="right"/>
        <w:rPr>
          <w:rFonts w:cstheme="minorHAnsi"/>
          <w:b/>
          <w:sz w:val="20"/>
          <w:szCs w:val="20"/>
        </w:rPr>
      </w:pPr>
      <w:r>
        <w:rPr>
          <w:rFonts w:cstheme="minorHAnsi"/>
          <w:b/>
          <w:sz w:val="20"/>
          <w:szCs w:val="20"/>
        </w:rPr>
        <w:t>Data, podpis</w:t>
      </w:r>
    </w:p>
    <w:p w:rsidR="0078639D" w:rsidRDefault="0078639D">
      <w:pPr>
        <w:spacing w:after="0" w:line="240" w:lineRule="auto"/>
        <w:rPr>
          <w:rFonts w:cstheme="minorHAnsi"/>
        </w:rPr>
      </w:pPr>
    </w:p>
    <w:p w:rsidR="0078639D" w:rsidRDefault="0078639D">
      <w:pPr>
        <w:spacing w:after="0" w:line="276" w:lineRule="auto"/>
        <w:rPr>
          <w:rFonts w:asciiTheme="majorHAnsi" w:hAnsiTheme="majorHAnsi"/>
          <w:i/>
          <w:sz w:val="20"/>
          <w:szCs w:val="20"/>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pPr>
    </w:p>
    <w:p w:rsidR="0078639D" w:rsidRDefault="0078639D">
      <w:pPr>
        <w:spacing w:after="0" w:line="240" w:lineRule="auto"/>
        <w:rPr>
          <w:rFonts w:cstheme="minorHAnsi"/>
        </w:rPr>
        <w:sectPr w:rsidR="0078639D">
          <w:footerReference w:type="default" r:id="rId34"/>
          <w:footerReference w:type="first" r:id="rId35"/>
          <w:pgSz w:w="11906" w:h="16838"/>
          <w:pgMar w:top="720" w:right="1016" w:bottom="766" w:left="720" w:header="0" w:footer="709" w:gutter="0"/>
          <w:cols w:space="720"/>
          <w:formProt w:val="0"/>
          <w:titlePg/>
          <w:docGrid w:linePitch="360"/>
        </w:sectPr>
      </w:pPr>
    </w:p>
    <w:p w:rsidR="0078639D" w:rsidRDefault="0078639D">
      <w:pPr>
        <w:spacing w:after="0" w:line="240" w:lineRule="auto"/>
        <w:rPr>
          <w:rFonts w:eastAsiaTheme="majorEastAsia" w:cstheme="minorHAnsi"/>
          <w:b/>
        </w:rPr>
      </w:pPr>
    </w:p>
    <w:p w:rsidR="0078639D" w:rsidRDefault="004945CF">
      <w:pPr>
        <w:pStyle w:val="Nagwek1"/>
        <w:spacing w:line="276" w:lineRule="auto"/>
        <w:rPr>
          <w:rFonts w:asciiTheme="minorHAnsi" w:hAnsiTheme="minorHAnsi" w:cstheme="minorHAnsi"/>
          <w:szCs w:val="22"/>
          <w:u w:val="none"/>
        </w:rPr>
      </w:pPr>
      <w:r>
        <w:rPr>
          <w:noProof/>
          <w:lang w:val="en-US"/>
        </w:rPr>
        <w:drawing>
          <wp:inline distT="0" distB="0" distL="0" distR="0">
            <wp:extent cx="6457950" cy="646430"/>
            <wp:effectExtent l="0" t="0" r="0" b="0"/>
            <wp:docPr id="22" name="Obraz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braz15"/>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4945CF">
      <w:pPr>
        <w:pStyle w:val="Nagwek1"/>
        <w:spacing w:line="276" w:lineRule="auto"/>
        <w:rPr>
          <w:rFonts w:asciiTheme="minorHAnsi" w:hAnsiTheme="minorHAnsi" w:cstheme="minorHAnsi"/>
          <w:szCs w:val="22"/>
          <w:u w:val="none"/>
        </w:rPr>
      </w:pPr>
      <w:bookmarkStart w:id="73" w:name="_Toc95987092"/>
      <w:bookmarkStart w:id="74" w:name="_Toc114403778"/>
      <w:r>
        <w:rPr>
          <w:rFonts w:asciiTheme="minorHAnsi" w:hAnsiTheme="minorHAnsi" w:cstheme="minorHAnsi"/>
          <w:szCs w:val="22"/>
          <w:u w:val="none"/>
        </w:rPr>
        <w:t>TOM II WZÓR UMOWY</w:t>
      </w:r>
      <w:bookmarkEnd w:id="73"/>
      <w:bookmarkEnd w:id="74"/>
    </w:p>
    <w:p w:rsidR="0078639D" w:rsidRDefault="004945CF">
      <w:pPr>
        <w:jc w:val="center"/>
        <w:rPr>
          <w:b/>
          <w:bCs/>
        </w:rPr>
      </w:pPr>
      <w:r>
        <w:rPr>
          <w:b/>
          <w:bCs/>
        </w:rPr>
        <w:t>[Uwaga! odrębny plik]</w:t>
      </w: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78639D">
      <w:pPr>
        <w:spacing w:after="0" w:line="240" w:lineRule="auto"/>
        <w:rPr>
          <w:rFonts w:asciiTheme="majorHAnsi" w:eastAsiaTheme="majorEastAsia" w:hAnsiTheme="majorHAnsi" w:cstheme="majorBidi"/>
          <w:b/>
          <w:color w:val="00000A"/>
          <w:sz w:val="28"/>
          <w:szCs w:val="32"/>
          <w:highlight w:val="yellow"/>
        </w:rPr>
        <w:sectPr w:rsidR="0078639D">
          <w:footerReference w:type="default" r:id="rId36"/>
          <w:footerReference w:type="first" r:id="rId37"/>
          <w:pgSz w:w="11906" w:h="16838"/>
          <w:pgMar w:top="720" w:right="1016" w:bottom="766" w:left="720" w:header="0" w:footer="709" w:gutter="0"/>
          <w:cols w:space="720"/>
          <w:formProt w:val="0"/>
          <w:titlePg/>
          <w:docGrid w:linePitch="360"/>
        </w:sectPr>
      </w:pPr>
    </w:p>
    <w:p w:rsidR="0078639D" w:rsidRDefault="0078639D">
      <w:pPr>
        <w:spacing w:after="0" w:line="240" w:lineRule="auto"/>
        <w:rPr>
          <w:rFonts w:asciiTheme="majorHAnsi" w:eastAsiaTheme="majorEastAsia" w:hAnsiTheme="majorHAnsi" w:cstheme="majorBidi"/>
          <w:b/>
          <w:color w:val="00000A"/>
          <w:sz w:val="28"/>
          <w:szCs w:val="32"/>
          <w:highlight w:val="yellow"/>
        </w:rPr>
      </w:pPr>
    </w:p>
    <w:p w:rsidR="0078639D" w:rsidRDefault="004945CF">
      <w:pPr>
        <w:pStyle w:val="Nagwek11"/>
        <w:spacing w:before="0"/>
        <w:rPr>
          <w:rFonts w:asciiTheme="majorHAnsi" w:hAnsiTheme="majorHAnsi"/>
          <w:sz w:val="28"/>
          <w:highlight w:val="yellow"/>
          <w:u w:val="none"/>
        </w:rPr>
      </w:pPr>
      <w:r>
        <w:rPr>
          <w:noProof/>
          <w:lang w:val="en-US"/>
        </w:rPr>
        <w:drawing>
          <wp:inline distT="0" distB="0" distL="0" distR="0">
            <wp:extent cx="6457950" cy="646430"/>
            <wp:effectExtent l="0" t="0" r="0" b="0"/>
            <wp:docPr id="24" name="Obraz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az16"/>
                    <pic:cNvPicPr>
                      <a:picLocks noChangeAspect="1" noChangeArrowheads="1"/>
                    </pic:cNvPicPr>
                  </pic:nvPicPr>
                  <pic:blipFill>
                    <a:blip r:embed="rId28" cstate="print"/>
                    <a:stretch>
                      <a:fillRect/>
                    </a:stretch>
                  </pic:blipFill>
                  <pic:spPr bwMode="auto">
                    <a:xfrm>
                      <a:off x="0" y="0"/>
                      <a:ext cx="6457950" cy="646430"/>
                    </a:xfrm>
                    <a:prstGeom prst="rect">
                      <a:avLst/>
                    </a:prstGeom>
                    <a:noFill/>
                  </pic:spPr>
                </pic:pic>
              </a:graphicData>
            </a:graphic>
          </wp:inline>
        </w:drawing>
      </w:r>
    </w:p>
    <w:p w:rsidR="0078639D" w:rsidRDefault="0078639D">
      <w:pPr>
        <w:pStyle w:val="Nagwek11"/>
        <w:spacing w:before="0"/>
        <w:jc w:val="left"/>
        <w:rPr>
          <w:rFonts w:asciiTheme="majorHAnsi" w:hAnsiTheme="majorHAnsi"/>
          <w:sz w:val="28"/>
          <w:highlight w:val="yellow"/>
          <w:u w:val="none"/>
        </w:rPr>
      </w:pPr>
    </w:p>
    <w:p w:rsidR="0078639D" w:rsidRDefault="004945CF">
      <w:pPr>
        <w:pStyle w:val="Nagwek11"/>
        <w:spacing w:before="0"/>
        <w:rPr>
          <w:rFonts w:asciiTheme="minorHAnsi" w:hAnsiTheme="minorHAnsi" w:cstheme="minorHAnsi"/>
          <w:sz w:val="28"/>
          <w:u w:val="none"/>
        </w:rPr>
      </w:pPr>
      <w:r>
        <w:rPr>
          <w:rFonts w:asciiTheme="minorHAnsi" w:hAnsiTheme="minorHAnsi" w:cstheme="minorHAnsi"/>
          <w:sz w:val="28"/>
          <w:u w:val="none"/>
        </w:rPr>
        <w:t>TOM III - SZCZEGÓŁOWY OPIS PRZEDMIOTU ZAMÓWIENIA</w:t>
      </w:r>
    </w:p>
    <w:p w:rsidR="0078639D" w:rsidRDefault="004945CF">
      <w:pPr>
        <w:widowControl w:val="0"/>
        <w:spacing w:line="276" w:lineRule="auto"/>
        <w:jc w:val="center"/>
        <w:rPr>
          <w:rFonts w:cstheme="minorHAnsi"/>
          <w:b/>
        </w:rPr>
      </w:pPr>
      <w:r>
        <w:rPr>
          <w:rFonts w:cstheme="minorHAnsi"/>
          <w:b/>
        </w:rPr>
        <w:t>ZESTAWIENIE WYMAGANYCH PARAMETRÓW TECHNICZNYCH PRZEDMIOTU ZAMÓWIENIA</w:t>
      </w:r>
    </w:p>
    <w:p w:rsidR="0078639D" w:rsidRDefault="004945CF">
      <w:pPr>
        <w:spacing w:after="0"/>
        <w:outlineLvl w:val="0"/>
        <w:rPr>
          <w:b/>
        </w:rPr>
      </w:pPr>
      <w:r>
        <w:rPr>
          <w:b/>
        </w:rPr>
        <w:t>Pakiet 1 Aparat EKG</w:t>
      </w:r>
    </w:p>
    <w:tbl>
      <w:tblPr>
        <w:tblStyle w:val="Tabela-Siatka"/>
        <w:tblW w:w="10386" w:type="dxa"/>
        <w:tblInd w:w="113" w:type="dxa"/>
        <w:tblLayout w:type="fixed"/>
        <w:tblLook w:val="04A0"/>
      </w:tblPr>
      <w:tblGrid>
        <w:gridCol w:w="533"/>
        <w:gridCol w:w="356"/>
        <w:gridCol w:w="9497"/>
      </w:tblGrid>
      <w:tr w:rsidR="0078639D">
        <w:trPr>
          <w:trHeight w:val="8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Aparat fabrycznie nowy, rok produkcji nie starszy niż 2025</w:t>
            </w:r>
          </w:p>
        </w:tc>
      </w:tr>
      <w:tr w:rsidR="0078639D">
        <w:trPr>
          <w:trHeight w:val="18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Odprowadzenia: 12 standardowych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Odrzucanie sygnałów powszechnych &gt;100 dB</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24 bitowa akwizycja sygnału EKG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częstotliwości od 0,04 do 150Hz</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pracy w trybie Auto, Manual</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uruchomienia mniej niż 15 sek.</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Rozpoczęcie akwizycji sygnału poprzez jeden przycisk</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regulacja linii izoelektrycznej, Cyfrowa filtracja zakłóceń sieciowych i mięśniowych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akcji serca w zakresie minimum 30 – 300/min</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uaktualniania oprogramowania w razie konieczności, za pośrednictwem nośników danych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Analiza i interpretacja wyników EKG.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Część aplikacyjna typu CF odporna na defibrylację. Ochrona przed defibrylacją: Zgodnie z normą IEC 60601-2-25:2011</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2"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dynamiczny napięcie przemienne ± 5 mV, przesunięcie napięcia stałego ±300 mV</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Próbkowanie sygnału EKG minimum 2000 Hz</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Filtr adaptacyjny AC 47 Hz do 53 Hz przy ustawieniu na 50 Hz, 57 Hz do 63 Hz przy ustawieniu na 60 Hz</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Dolna wartość odcięcia 0,01 Hz, 0,02 Hz, 0,16 Hz lub 0,32 Hz (limit -3 dB)</w:t>
            </w: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Filtry dolnoprzepustowe 20/40/100/150 Hz</w:t>
            </w:r>
          </w:p>
        </w:tc>
      </w:tr>
      <w:tr w:rsidR="0078639D">
        <w:trPr>
          <w:trHeight w:val="9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lang w:val="en-US"/>
              </w:rPr>
              <w:t>Korekcja QTc</w:t>
            </w:r>
          </w:p>
        </w:tc>
      </w:tr>
      <w:tr w:rsidR="0078639D">
        <w:trPr>
          <w:trHeight w:val="16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Możliwość ustawienia standardu odprowadzeni: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Standard</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Cabrera</w:t>
            </w:r>
          </w:p>
        </w:tc>
      </w:tr>
      <w:tr w:rsidR="0078639D">
        <w:trPr>
          <w:trHeight w:val="10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Wykrywanie odłączonych odprowadzeni. z wykrywanie odwrócenia odprowadzenia kończynowego i piersiowego.</w:t>
            </w:r>
          </w:p>
        </w:tc>
      </w:tr>
      <w:tr w:rsidR="0078639D">
        <w:trPr>
          <w:trHeight w:val="180"/>
        </w:trPr>
        <w:tc>
          <w:tcPr>
            <w:tcW w:w="10385" w:type="dxa"/>
            <w:gridSpan w:val="3"/>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t>DRUKARKA TERMICZNA</w:t>
            </w:r>
          </w:p>
        </w:tc>
      </w:tr>
      <w:tr w:rsidR="0078639D">
        <w:trPr>
          <w:trHeight w:val="12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zapisu 5, 12,5, 25, 50 mm/s</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przeglądu zapisu EKG przed wydrukiem w celu wizualnej inspekcji jakości zapisu</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trwałego odłączenia w systemie opcji wydruku i automatycznego zapisu badań tylko do pamięci aparatu</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Drukarka termiczna. Papier perforowany typu Z, szerokość min. 80 mm</w:t>
            </w:r>
          </w:p>
        </w:tc>
      </w:tr>
      <w:tr w:rsidR="0078639D">
        <w:trPr>
          <w:trHeight w:val="144"/>
        </w:trPr>
        <w:tc>
          <w:tcPr>
            <w:tcW w:w="889"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t>EKRAN</w:t>
            </w:r>
          </w:p>
        </w:tc>
        <w:tc>
          <w:tcPr>
            <w:tcW w:w="9496" w:type="dxa"/>
            <w:vAlign w:val="center"/>
          </w:tcPr>
          <w:p w:rsidR="0078639D" w:rsidRDefault="0078639D">
            <w:pPr>
              <w:spacing w:after="0" w:line="276" w:lineRule="auto"/>
              <w:rPr>
                <w:rFonts w:ascii="Calibri" w:hAnsi="Calibri" w:cs="Calibri"/>
                <w:sz w:val="20"/>
                <w:szCs w:val="20"/>
              </w:rPr>
            </w:pPr>
          </w:p>
        </w:tc>
      </w:tr>
      <w:tr w:rsidR="0078639D">
        <w:trPr>
          <w:trHeight w:val="113"/>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Wyświetlacz graficzny o przekątnej 5,0 cali (12,7 cm) z podświetleniem LED</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Pojemnościowy (Projected Capacitative, PCAP), wielopunktowy ekran dotyko wy działający po założeniu rękawiczek diagnostycznych.</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Wyświetlane tętno, identyfikator pacjenta, data i godzina, wskaźnik poziomu naładowania baterii, przewijane krzywe, etykiety przewodów, prędkość, ustawienia wzmocnienia i filtra, komunikaty ostrzegawcze, komunikaty informacyjne, monity. Wyświetlacz standardowy 12-odprowadzeniowy.</w:t>
            </w: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minimum 720 X 1280 pikseli</w:t>
            </w:r>
          </w:p>
        </w:tc>
      </w:tr>
      <w:tr w:rsidR="0078639D">
        <w:trPr>
          <w:trHeight w:val="36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Informacja na ekranie o stanie naładowania akumulatora oraz o podłączeniu do sieci</w:t>
            </w:r>
          </w:p>
        </w:tc>
      </w:tr>
      <w:tr w:rsidR="0078639D">
        <w:trPr>
          <w:trHeight w:val="89"/>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Sygnalizacja braku kontaktu elektrod z pacjentem lub złej jakości sygnału za pomocą wizualnych sygnałów na ekranie (min 3 stopniowa)</w:t>
            </w:r>
          </w:p>
        </w:tc>
      </w:tr>
      <w:tr w:rsidR="0078639D">
        <w:trPr>
          <w:trHeight w:val="8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Podczas pomiaru EKG na ekranie widoczna wartość częstości serca (w uderzeniach na minutę)</w:t>
            </w:r>
          </w:p>
        </w:tc>
      </w:tr>
      <w:tr w:rsidR="0078639D">
        <w:trPr>
          <w:trHeight w:val="18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33.</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Podczas pomiaru EKG na ekranie widoczny komunikat tekstowy o awarii odprowadzenia</w:t>
            </w:r>
          </w:p>
        </w:tc>
      </w:tr>
      <w:tr w:rsidR="0078639D">
        <w:trPr>
          <w:trHeight w:val="132"/>
        </w:trPr>
        <w:tc>
          <w:tcPr>
            <w:tcW w:w="10385" w:type="dxa"/>
            <w:gridSpan w:val="3"/>
            <w:vAlign w:val="center"/>
          </w:tcPr>
          <w:p w:rsidR="0078639D" w:rsidRDefault="004945CF">
            <w:pPr>
              <w:spacing w:after="0" w:line="276" w:lineRule="auto"/>
              <w:rPr>
                <w:rFonts w:ascii="Calibri" w:hAnsi="Calibri" w:cs="Calibri"/>
                <w:sz w:val="20"/>
                <w:szCs w:val="20"/>
              </w:rPr>
            </w:pPr>
            <w:r>
              <w:rPr>
                <w:rFonts w:ascii="Calibri" w:eastAsia="Times New Roman" w:hAnsi="Calibri" w:cs="Calibri"/>
                <w:b/>
                <w:sz w:val="20"/>
                <w:szCs w:val="20"/>
              </w:rPr>
              <w:t>WYPOSAŻENIE TECHNICZNE</w:t>
            </w:r>
          </w:p>
        </w:tc>
      </w:tr>
      <w:tr w:rsidR="0078639D">
        <w:trPr>
          <w:trHeight w:val="39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sieciowe i akumulatorowe. Zasilanie akumulatorowe, pozwalające na wydruk 120ekg lub min 5 godzin monitorowania bez wydruku</w:t>
            </w:r>
          </w:p>
        </w:tc>
      </w:tr>
      <w:tr w:rsidR="0078639D">
        <w:trPr>
          <w:trHeight w:val="89"/>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Ładowanie do max 350 minut od całkowitego rozładowania, kiedy urządzenie jest wyłączone.</w:t>
            </w:r>
          </w:p>
        </w:tc>
      </w:tr>
      <w:tr w:rsidR="0078639D">
        <w:trPr>
          <w:trHeight w:val="16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Bateria litowo-jonowa</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minimum 200 pomiarów</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Export danych do poprzez SFTP/HTTPS/USB/PDF</w:t>
            </w:r>
          </w:p>
        </w:tc>
      </w:tr>
      <w:tr w:rsidR="0078639D">
        <w:trPr>
          <w:trHeight w:val="101"/>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Interfejs LAN</w:t>
            </w:r>
          </w:p>
        </w:tc>
      </w:tr>
      <w:tr w:rsidR="0078639D" w:rsidRPr="00E256B8">
        <w:trPr>
          <w:trHeight w:val="143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Interfejs WiFi:</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Pasma częstotliwości przesyłania 2,401–2,461 GHz 5,180–5,825 GHz</w:t>
            </w:r>
          </w:p>
          <w:p w:rsidR="0078639D" w:rsidRDefault="004945CF">
            <w:pPr>
              <w:pStyle w:val="Akapitzlist"/>
              <w:numPr>
                <w:ilvl w:val="0"/>
                <w:numId w:val="65"/>
              </w:numPr>
              <w:spacing w:line="276" w:lineRule="auto"/>
              <w:contextualSpacing/>
              <w:rPr>
                <w:rFonts w:ascii="Calibri" w:hAnsi="Calibri" w:cs="Calibri"/>
                <w:lang w:val="en-US"/>
              </w:rPr>
            </w:pPr>
            <w:r>
              <w:rPr>
                <w:rFonts w:ascii="Calibri" w:hAnsi="Calibri" w:cs="Calibri"/>
                <w:lang w:val="en-US"/>
              </w:rPr>
              <w:t xml:space="preserve">Interfejsy WLAN 802.11a/b/g/n </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Konfigurowane ręcznie lub za pomocą DHCP</w:t>
            </w:r>
          </w:p>
          <w:p w:rsidR="0078639D" w:rsidRDefault="004945CF">
            <w:pPr>
              <w:pStyle w:val="Akapitzlist"/>
              <w:numPr>
                <w:ilvl w:val="0"/>
                <w:numId w:val="65"/>
              </w:numPr>
              <w:spacing w:line="276" w:lineRule="auto"/>
              <w:contextualSpacing/>
              <w:rPr>
                <w:rFonts w:ascii="Calibri" w:hAnsi="Calibri" w:cs="Calibri"/>
              </w:rPr>
            </w:pPr>
            <w:r>
              <w:rPr>
                <w:rFonts w:ascii="Calibri" w:hAnsi="Calibri" w:cs="Calibri"/>
              </w:rPr>
              <w:t>Otwarty, WPA ,WPA2</w:t>
            </w:r>
          </w:p>
          <w:p w:rsidR="0078639D" w:rsidRDefault="004945CF">
            <w:pPr>
              <w:pStyle w:val="Akapitzlist"/>
              <w:numPr>
                <w:ilvl w:val="0"/>
                <w:numId w:val="65"/>
              </w:numPr>
              <w:spacing w:line="276" w:lineRule="auto"/>
              <w:contextualSpacing/>
              <w:rPr>
                <w:rFonts w:ascii="Calibri" w:hAnsi="Calibri" w:cs="Calibri"/>
                <w:lang w:val="en-US"/>
              </w:rPr>
            </w:pPr>
            <w:r>
              <w:rPr>
                <w:rFonts w:ascii="Calibri" w:hAnsi="Calibri" w:cs="Calibri"/>
                <w:lang w:val="en-US"/>
              </w:rPr>
              <w:t xml:space="preserve"> PSK, PEAP-MSCHAPV2, TTLS-MSCHAPV2</w:t>
            </w:r>
          </w:p>
        </w:tc>
      </w:tr>
      <w:tr w:rsidR="0078639D">
        <w:trPr>
          <w:trHeight w:val="2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Moduł LTE:</w:t>
            </w:r>
          </w:p>
          <w:p w:rsidR="0078639D" w:rsidRDefault="004945CF">
            <w:pPr>
              <w:pStyle w:val="Akapitzlist"/>
              <w:numPr>
                <w:ilvl w:val="0"/>
                <w:numId w:val="66"/>
              </w:numPr>
              <w:spacing w:line="276" w:lineRule="auto"/>
              <w:contextualSpacing/>
              <w:rPr>
                <w:rFonts w:ascii="Calibri" w:hAnsi="Calibri" w:cs="Calibri"/>
              </w:rPr>
            </w:pPr>
            <w:r>
              <w:rPr>
                <w:rFonts w:ascii="Calibri" w:hAnsi="Calibri" w:cs="Calibri"/>
              </w:rPr>
              <w:t>Obsługa 2G/3G/4G</w:t>
            </w:r>
          </w:p>
          <w:p w:rsidR="0078639D" w:rsidRDefault="004945CF">
            <w:pPr>
              <w:pStyle w:val="Akapitzlist"/>
              <w:numPr>
                <w:ilvl w:val="0"/>
                <w:numId w:val="66"/>
              </w:numPr>
              <w:spacing w:line="276" w:lineRule="auto"/>
              <w:contextualSpacing/>
              <w:rPr>
                <w:rFonts w:ascii="Calibri" w:hAnsi="Calibri" w:cs="Calibri"/>
              </w:rPr>
            </w:pPr>
            <w:r>
              <w:rPr>
                <w:rFonts w:ascii="Calibri" w:hAnsi="Calibri" w:cs="Calibri"/>
              </w:rPr>
              <w:t>Pasma: LTE-FDD:B1/B2/B3/B4/B5/B7/B8/B12/B13/B18/B19/B20/B25/B26/B28,  LTE - TDD: B38/B39/B40/B41, WCDMA: B1/B2/B4/B5/B6/B8/B19, GSM: B2/B3/B5/B8</w:t>
            </w:r>
          </w:p>
        </w:tc>
      </w:tr>
      <w:tr w:rsidR="0078639D">
        <w:trPr>
          <w:trHeight w:val="113"/>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podłączenia kabla pacjenta z wymiennymi przewodami elektrod na wypadek uszkodzenia jednego przewodu</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Masa urządzenia ok. 1,5 kg</w:t>
            </w:r>
          </w:p>
        </w:tc>
      </w:tr>
      <w:tr w:rsidR="0078639D">
        <w:trPr>
          <w:trHeight w:val="125"/>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Wymiary max wysokość 65 mm długość 175 mm, szerokość 300 mm</w:t>
            </w:r>
          </w:p>
        </w:tc>
      </w:tr>
      <w:tr w:rsidR="0078639D">
        <w:trPr>
          <w:trHeight w:val="18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wyposażone w minimum 1 port USB 2.0 dostarczający prąd o natężeniu 0,5 A</w:t>
            </w:r>
          </w:p>
        </w:tc>
      </w:tr>
      <w:tr w:rsidR="0078639D">
        <w:trPr>
          <w:trHeight w:val="101"/>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o zapytań ADT standardzie HL7</w:t>
            </w:r>
          </w:p>
        </w:tc>
      </w:tr>
      <w:tr w:rsidR="0078639D">
        <w:trPr>
          <w:trHeight w:val="18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podłączenia czytnika kodów kreskowych do skanowania danych pacjentów</w:t>
            </w:r>
          </w:p>
        </w:tc>
      </w:tr>
      <w:tr w:rsidR="0078639D">
        <w:trPr>
          <w:trHeight w:val="64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8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52"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r>
    </w:tbl>
    <w:p w:rsidR="0078639D" w:rsidRDefault="0078639D">
      <w:pPr>
        <w:spacing w:after="0"/>
        <w:outlineLvl w:val="0"/>
      </w:pPr>
    </w:p>
    <w:p w:rsidR="0078639D" w:rsidRDefault="004945CF">
      <w:pPr>
        <w:spacing w:after="0"/>
        <w:outlineLvl w:val="0"/>
        <w:rPr>
          <w:b/>
        </w:rPr>
      </w:pPr>
      <w:r>
        <w:rPr>
          <w:b/>
        </w:rPr>
        <w:t xml:space="preserve">Pakiet 2 Pompa infuzyjna </w:t>
      </w:r>
    </w:p>
    <w:tbl>
      <w:tblPr>
        <w:tblStyle w:val="Tabela-Siatka"/>
        <w:tblW w:w="10368" w:type="dxa"/>
        <w:tblInd w:w="113" w:type="dxa"/>
        <w:tblLayout w:type="fixed"/>
        <w:tblLook w:val="04A0"/>
      </w:tblPr>
      <w:tblGrid>
        <w:gridCol w:w="533"/>
        <w:gridCol w:w="9835"/>
      </w:tblGrid>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Urządzenie fabrycznie nowe, rok produkcji nie starszy niż 2025 rok</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Pompa strzykawkowa sterowana elektronicznie przeznaczona do stosowania u dorosłych, dzieci i noworodków do tymczasowego lub ciągłego podawania roztworów pozajelitowych i dojelitowych za pośrednictwem standardowych, medycznych dróg dostępu. Do tych dróg należą m.in.: droga dożylna, dotętnicza, podskórna, zewnątrzoponowa i dojelitowa.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Zasilanie 230V 50 Hz, bezpośrednio z sieci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Waga pompy gotowej do użycia 2,3 kg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Stopień ochrony min. IP34</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Kolorowy wyświetlacz czytelny pod kątem 80 stopni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Wbudowany uchwyt do mocowania pompy do stojaków infuzyjnych, oraz szyn poziomych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uchwyt do przenoszenia pompy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łączenia pomp w moduły bez użycia stacji dokującej</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Strzykawka mocowana od przodu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Pełne programowanie pompy za pomocą fizycznej klawiatury nawigacyjnej (symbolicznej)</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Menu pompy w języku polskim</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Napęd strzykawki półautomatyczny z zabezpieczeniem przed niekontrolowaną podażą</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14.</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zatrzaskowego mocowania i współpracy ze stacją dokującą</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pomiędzy pompą a stacja dokującą za pośrednictwem IrDA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Pompa skalibrowana do pracy ze strzykawkami o objętości min. 5, 10, 20, 30 i 50/60 ml różnych typów oraz różnych producentów, w tym minimum jednego polskiego</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Praca ze strzykawkami 2/3 ml</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Automatyczne rozpoznawanie objętości strzykawki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Dostępne strzykawki i akcesoria do żywienia dojelitowego ze złączem ENFit</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infuzji min. 0,1 do 999,9 ml/h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infuzji w zakresie od 0,01 - 999,99ml/h programowana, co 0,01ml/godz.</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kalkulacja prędkości podaży po wprowadzeniu objętości i czasu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parametrów infuzji min. w jednostkach: mg, mcg, ng, IE, mmol,z uwzględnieniem lub nie masy ciała w odniesieniu do czasu ( np. mg/kg/min; mg/kg/h; mg/kg/24h)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Zmiana prędkości podaży bez przerywania infuzji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automatycznej redukcji bolusa po alarmie ciśnienia okluzji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Wstępnie wybierana objętość w zakresie 0,10 - 9999 ml programowana co 0,01 ml</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Wstępnie wybierany czas w zakresie 00h01min - 99h59min</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Prędkość bolusa 1-1800 ml/h programowana co 0,01 ml/h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Bolus na żądanie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Bolus programowany z automatyczną kalkulacją prędkości po wprowadzeniu objętości i czasu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podaży bolusa w jednostkach mg, mcg, mmol, mEq oraz jednostkach wagowych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stand-by w zakresie od 1 min do 24 godzin z programowaniem co 1 minutę</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nocny z redukcją intensywności podświetlenia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nocny z możliwość włączenia ręcznego lub zaprogramowania automatycznego przełączania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wprowadzenia do pompy biblioteki leków bezpośrednio z komputera, lub zdalnie poprzez sieć szpitalną z centralnego serwera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Biblioteka zawiera min. 3000 leków, z możliwością podzielenia na 30 kategorii i 15 profili pacjentów</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Każdy lek może występować w 10 stężeniach, oraz być powiązany z limitami miękkimi, z limitami twardymi, jednym z 8 kolorów oraz ciśnieniem okluzji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Ciśnienie okluzji możliwe do ustawienia na min. 9 poziomach w zakresie od 75mmHg do 900mmHg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Wskaźnik ciśnienia okluzji stale widoczny na wyświetlaczu pompy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akumulator litowo – jonowy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z wbudowanego akumulatora ok. 10 godz. przy przepływie 5 ml/h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ponownego ładowania ok. 3 godz.</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 wyświetlaczu widoczna informacja o pozostałym czasie pracy akumulatora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Automatyczne ładowanie akumulatora w pompie podłączonej do zasilania sieciowego</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Pobór mocy w warunkach normalnego użytkowania &lt;2W</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alarmów wizualnych i dźwiękowych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Nazwa leku stale widoczna na wyświetlaczu pompy, również po wystąpieniu alarmu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Natężenie akustycznych sygnałów alarmowych regulowane na 9 poziomach w zakresie od 45 do 75 dB</w:t>
            </w:r>
          </w:p>
        </w:tc>
      </w:tr>
      <w:tr w:rsidR="0078639D">
        <w:trPr>
          <w:trHeight w:val="19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Historia pracy dostępna z menu pompy, z możliwością zapisania do 1000 zdarzeń</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25"/>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32"/>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r>
    </w:tbl>
    <w:p w:rsidR="0078639D" w:rsidRDefault="0078639D">
      <w:pPr>
        <w:spacing w:after="0"/>
        <w:outlineLvl w:val="0"/>
      </w:pPr>
    </w:p>
    <w:p w:rsidR="0078639D" w:rsidRDefault="004945CF">
      <w:pPr>
        <w:spacing w:after="0"/>
        <w:outlineLvl w:val="0"/>
        <w:rPr>
          <w:b/>
        </w:rPr>
      </w:pPr>
      <w:r>
        <w:rPr>
          <w:b/>
        </w:rPr>
        <w:t xml:space="preserve">Pakiet 3 </w:t>
      </w:r>
    </w:p>
    <w:p w:rsidR="0078639D" w:rsidRDefault="004945CF">
      <w:pPr>
        <w:spacing w:after="0"/>
        <w:outlineLvl w:val="0"/>
        <w:rPr>
          <w:b/>
        </w:rPr>
      </w:pPr>
      <w:r>
        <w:rPr>
          <w:b/>
        </w:rPr>
        <w:t>1. Holter EKG</w:t>
      </w:r>
    </w:p>
    <w:tbl>
      <w:tblPr>
        <w:tblStyle w:val="Tabela-Siatka"/>
        <w:tblW w:w="10368" w:type="dxa"/>
        <w:tblInd w:w="113" w:type="dxa"/>
        <w:tblLayout w:type="fixed"/>
        <w:tblLook w:val="04A0"/>
      </w:tblPr>
      <w:tblGrid>
        <w:gridCol w:w="534"/>
        <w:gridCol w:w="4770"/>
        <w:gridCol w:w="5064"/>
      </w:tblGrid>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34" w:type="dxa"/>
            <w:gridSpan w:val="2"/>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Aparat fabrycznie nowy, rok produkcji nie starszy niż 2025.</w:t>
            </w:r>
          </w:p>
        </w:tc>
      </w:tr>
      <w:tr w:rsidR="0078639D">
        <w:trPr>
          <w:trHeight w:val="120"/>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2.</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Rejestracja z 3 kanałów ekg z 3 odprowadzeń</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Zapis min 7 dni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Detekcja stymulatorów serca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Wbudowana dioda sygnalizacyjna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Wbudowany interfejs USB 2.0</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Wbudowana nieulotna pamięć flash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poprzez Bluetooth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Podgląd zapisu EKG bezpośrednio na ekranie komputera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z jednej baterii AAA lub AA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rejestratora max 60 gram</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zapisu 12bit</w:t>
            </w: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34" w:type="dxa"/>
            <w:gridSpan w:val="2"/>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Rejestrator w standardzie IP43</w:t>
            </w:r>
          </w:p>
        </w:tc>
      </w:tr>
      <w:tr w:rsidR="0078639D">
        <w:trPr>
          <w:trHeight w:val="8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5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r>
      <w:tr w:rsidR="0078639D">
        <w:trPr>
          <w:trHeight w:val="7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r>
      <w:tr w:rsidR="0078639D">
        <w:trPr>
          <w:trHeight w:val="120"/>
        </w:trPr>
        <w:tc>
          <w:tcPr>
            <w:tcW w:w="5303" w:type="dxa"/>
            <w:gridSpan w:val="2"/>
            <w:tcBorders>
              <w:top w:val="nil"/>
              <w:left w:val="nil"/>
              <w:right w:val="nil"/>
            </w:tcBorders>
            <w:vAlign w:val="center"/>
          </w:tcPr>
          <w:p w:rsidR="0078639D" w:rsidRDefault="0078639D">
            <w:pPr>
              <w:spacing w:after="0" w:line="276" w:lineRule="auto"/>
              <w:rPr>
                <w:rFonts w:ascii="Calibri" w:hAnsi="Calibri" w:cs="Calibri"/>
                <w:b/>
                <w:sz w:val="20"/>
                <w:szCs w:val="20"/>
              </w:rPr>
            </w:pPr>
          </w:p>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2. Oprogramowanie do holtera EKG</w:t>
            </w:r>
          </w:p>
        </w:tc>
        <w:tc>
          <w:tcPr>
            <w:tcW w:w="5064" w:type="dxa"/>
            <w:tcBorders>
              <w:top w:val="nil"/>
              <w:left w:val="nil"/>
              <w:bottom w:val="nil"/>
              <w:right w:val="nil"/>
            </w:tcBorders>
          </w:tcPr>
          <w:p w:rsidR="0078639D" w:rsidRDefault="0078639D">
            <w:pPr>
              <w:rPr>
                <w:rFonts w:ascii="Times New Roman" w:eastAsia="Times New Roman" w:hAnsi="Times New Roman" w:cs="Times New Roman"/>
                <w:sz w:val="20"/>
              </w:rPr>
            </w:pPr>
          </w:p>
        </w:tc>
      </w:tr>
      <w:tr w:rsidR="0078639D">
        <w:trPr>
          <w:trHeight w:val="9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Oprogramowanie analizatora EKG w języku polskim.</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Zgodność oprogramowania z systemem Windows 10/11 PL.</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Wielostanowiskowa praca systemu na min. 3 stanowiskach równocześnie.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analiza i klasyfikacja form QRS.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Karta danych pacjenta posiadająca minimum: imię i nazwisko pacjenta, id pacjenta, nr Tel. Nr ubezpieczenia, adres, płeć, rodzaj stymulatora serca, skierowanie, wskazania, uwagi, data urodzenia. </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(analizator) zabezpieczony hasłem oraz możliwością tworzenia kont użytkowników oraz nadawania praw i roli pracy w systemie.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Konfigurowalne ustawienia algorytmu analizy dla granice tachykardii  SV, granice tachykardio V, granica wykrywania bradykardii, granica wykrywania Pauzy, % przedwczesności dla SV, procent przedwczesności dla V, czas refrakcji.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Automatyczna analiz jakości sygnału wraz z proponowanym przez system wyborem kanału do analizy.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Wstępna analiza zapisy z automatycznym wyświetleniem części zapisu i proponowanymi ustawieniami parametrów algorytmu do danego zapisu z możliwością korekty czasu analizy wstępnej.</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System rozpoznawania artefaktów z automatycznym wyłączaniem ich z analizy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minimum trzech trybów czułości algorytmu (większa czułość – więcej klas).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rytmu z podziałem na 2 niezależne wykresy wartości, rytm średni, rytm najszybszy krótki, rytm najwolniejszy krótki.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wielokrotnego powiększenia trendu rytmu w celu znalezienie największych wychyleń wartości szczytowych.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oznaczenia artefaktów z wizualizacją na wykresie np. kołowym z podaniem wartości o zakresie czasu trwania artefaktów w zapisie oraz ich % udziale.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super impozycji, do szybkiej oceny spójności klas, możliwość podziału klas bezpośrednio w trybie super impozycji z wizualnym zaznaczeniem wydzielanej klasy.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Trendy średniego odstępu RR, bezwzględnej różnicy RR, różnic RR &gt;50ms.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Wielobarwny trend rytmu serca z jednoczesnym zsynchronizowanym podglądem aktualnego zapisu EKG oraz możliwością zmiany amplitudy oraz widokiem znaczników pacjenta poprzez nałożenie markerów.</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Przyporządkowane klawisze funkcyjne na klawiaturze komputera do obsługi analizy arytmii .</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powiększenia dla ekranu kontekstu EKG pomiędzy wartościami 6,25 mm/s, 12,5 mm/s, 25 mm/s, 50 mm/s i 100 mm/s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Skalowanie amplitudy sygnału na ekranie kontekstu </w:t>
            </w:r>
            <w:r w:rsidR="000522D8">
              <w:rPr>
                <w:rFonts w:ascii="Calibri" w:eastAsia="Times New Roman" w:hAnsi="Calibri" w:cs="Calibri"/>
                <w:sz w:val="20"/>
                <w:szCs w:val="20"/>
              </w:rPr>
              <w:t>EKG z</w:t>
            </w:r>
            <w:r>
              <w:rPr>
                <w:rFonts w:ascii="Calibri" w:eastAsia="Times New Roman" w:hAnsi="Calibri" w:cs="Calibri"/>
                <w:sz w:val="20"/>
                <w:szCs w:val="20"/>
              </w:rPr>
              <w:t xml:space="preserve"> możliwością przełączania pomiędzy wartościami 0,5 mv/cm </w:t>
            </w:r>
            <w:r>
              <w:rPr>
                <w:rFonts w:ascii="Calibri" w:eastAsia="Times New Roman" w:hAnsi="Calibri" w:cs="Calibri"/>
                <w:sz w:val="20"/>
                <w:szCs w:val="20"/>
              </w:rPr>
              <w:lastRenderedPageBreak/>
              <w:t>i 1 mv/cm.</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21.</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edycji poszczególnych uderzeń lub całych klas.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Informacja o każdej klasie pobudzeń zawierająca min. cechę klasy, udział zespołów Udział zespołów QRS przypisanych do tej klasy w całkowitej liczbie, Liczba zespołów QRS w tej klasie, numer klasy.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zmierzenia czasu trwania odcinków EKG oraz amplitud interesujących pobudzeń poprzez nałożenie markera pomiarowego bezpośrednio na zapis EKG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inwertowania dowolnego kanału.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Ekran </w:t>
            </w:r>
            <w:r w:rsidR="000522D8">
              <w:rPr>
                <w:rFonts w:ascii="Calibri" w:eastAsia="Times New Roman" w:hAnsi="Calibri" w:cs="Calibri"/>
                <w:sz w:val="20"/>
                <w:szCs w:val="20"/>
              </w:rPr>
              <w:t>zdarzeń,</w:t>
            </w:r>
            <w:r>
              <w:rPr>
                <w:rFonts w:ascii="Calibri" w:eastAsia="Times New Roman" w:hAnsi="Calibri" w:cs="Calibri"/>
                <w:sz w:val="20"/>
                <w:szCs w:val="20"/>
              </w:rPr>
              <w:t xml:space="preserve"> gdzie operator ma bezpośredni podgląd zapisu EKG wraz z informacjami: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Numer zdarzenia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Wielkość prezentacji osi czasowej</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Wielkość prezentacji osi napięcia wzmocnienia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Wskazanie, czy aktualne zdarzenie zostało zaznaczone do druku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Aktualna średnia częstość akcji serca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Oznaczenie aktualnego zdarzenia</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Długość epizodu VTach lub SVTach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Okno pokazujące najbliższe otoczenie analizowanego zespołu QRS.</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Maksymalne i minimalne odchylenia ST z możliwością korekty punktów pomiarowych.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zmierzenia czasu trwania odcinków EKG oraz amplitud interesujących uderzeń.</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Klasyfikacja zdarzeń (m.in. R na T, tachykardia komorowa, tachykardia nadkomorowa, bradykardia, bigeminia, salwa, triplet, para, pauza, arytmia, dodatkowy skurcz nadkomorowy).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oznaczenia wybranych zdarzeń do druku.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Przegląd przebiegu czasowego częstości akcji serca ze wskazaniem wartości minimalnej i maksymalnej.</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powiększania i pomniejszania wykresu częstości rytmu serc.</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wstawienia często stosowanych wyrażeń w raporcie jako modułów tekstu.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Przegląd EKG (cały zapis) z kolorystycznym wyróżnieniem zdarzeń komorowych i nadkomorowych.</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usunięcia zapisów EKG przed dokonaniem analizy (np. artefakty).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Generowanie raportów.</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Drukowanie z możliwością podania przedziału czasowego do wydruku.</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Drukowanie z możliwością zaznaczenia/odznaczenia danych:</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Raport</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Przegląd analizy</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Oznaczone zdarzenia</w:t>
            </w:r>
          </w:p>
          <w:p w:rsidR="0078639D" w:rsidRDefault="004945CF">
            <w:pPr>
              <w:numPr>
                <w:ilvl w:val="0"/>
                <w:numId w:val="67"/>
              </w:numPr>
              <w:spacing w:after="0" w:line="276" w:lineRule="auto"/>
              <w:rPr>
                <w:rFonts w:ascii="Calibri" w:hAnsi="Calibri" w:cs="Calibri"/>
                <w:sz w:val="20"/>
                <w:szCs w:val="20"/>
              </w:rPr>
            </w:pPr>
            <w:r>
              <w:rPr>
                <w:rFonts w:ascii="Calibri" w:eastAsia="Times New Roman" w:hAnsi="Calibri" w:cs="Calibri"/>
                <w:sz w:val="20"/>
                <w:szCs w:val="20"/>
              </w:rPr>
              <w:t xml:space="preserve">Dane statystyczne: tabela cogodzinnych </w:t>
            </w:r>
            <w:r w:rsidR="000522D8">
              <w:rPr>
                <w:rFonts w:ascii="Calibri" w:eastAsia="Times New Roman" w:hAnsi="Calibri" w:cs="Calibri"/>
                <w:sz w:val="20"/>
                <w:szCs w:val="20"/>
              </w:rPr>
              <w:t>zdarzeń, histogram</w:t>
            </w:r>
            <w:r>
              <w:rPr>
                <w:rFonts w:ascii="Calibri" w:eastAsia="Times New Roman" w:hAnsi="Calibri" w:cs="Calibri"/>
                <w:sz w:val="20"/>
                <w:szCs w:val="20"/>
              </w:rPr>
              <w:t xml:space="preserve"> zdarzeń, wykresy częstości rytmu serca i odcinki ST, minimalna/maksymalna częstość rytmu serca, analiza funkcji stymulatora.</w:t>
            </w:r>
          </w:p>
        </w:tc>
      </w:tr>
      <w:tr w:rsidR="0078639D">
        <w:trPr>
          <w:trHeight w:val="182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rozbudowy o dodatkowe funkcje:</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oddychania (wykrywanie i klasyfikacja nocnych przerw w oddychaniu na podstawie zmian impedancji transtorakalnej, informacja na temat obecności lub stopnia ciężkości zaburzeń oddychania podczas snu),</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Alternans załamka T,</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Późne potencjały,</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HRT,</w:t>
            </w:r>
          </w:p>
          <w:p w:rsidR="0078639D" w:rsidRDefault="004945CF">
            <w:pPr>
              <w:numPr>
                <w:ilvl w:val="0"/>
                <w:numId w:val="68"/>
              </w:numPr>
              <w:spacing w:after="0" w:line="276" w:lineRule="auto"/>
              <w:rPr>
                <w:rFonts w:ascii="Calibri" w:hAnsi="Calibri" w:cs="Calibri"/>
                <w:sz w:val="20"/>
                <w:szCs w:val="20"/>
              </w:rPr>
            </w:pPr>
            <w:r>
              <w:rPr>
                <w:rFonts w:ascii="Calibri" w:eastAsia="Times New Roman" w:hAnsi="Calibri" w:cs="Calibri"/>
                <w:sz w:val="20"/>
                <w:szCs w:val="20"/>
              </w:rPr>
              <w:t>Analiza PQ.</w:t>
            </w:r>
          </w:p>
        </w:tc>
      </w:tr>
      <w:tr w:rsidR="0078639D">
        <w:trPr>
          <w:trHeight w:val="576"/>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4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25"/>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r>
      <w:tr w:rsidR="0078639D">
        <w:trPr>
          <w:trHeight w:val="113"/>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34" w:type="dxa"/>
            <w:gridSpan w:val="2"/>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Gwarancja minimum 24 miesiące.</w:t>
            </w:r>
          </w:p>
        </w:tc>
      </w:tr>
    </w:tbl>
    <w:p w:rsidR="0078639D" w:rsidRDefault="0078639D">
      <w:pPr>
        <w:spacing w:after="0"/>
        <w:outlineLvl w:val="0"/>
        <w:rPr>
          <w:b/>
        </w:rPr>
      </w:pPr>
    </w:p>
    <w:p w:rsidR="0078639D" w:rsidRDefault="004945CF">
      <w:pPr>
        <w:spacing w:after="0"/>
        <w:outlineLvl w:val="0"/>
        <w:rPr>
          <w:b/>
        </w:rPr>
      </w:pPr>
      <w:r>
        <w:rPr>
          <w:b/>
        </w:rPr>
        <w:t>3. Holter RR CPV</w:t>
      </w:r>
    </w:p>
    <w:tbl>
      <w:tblPr>
        <w:tblStyle w:val="Tabela-Siatka"/>
        <w:tblW w:w="10386" w:type="dxa"/>
        <w:tblInd w:w="113" w:type="dxa"/>
        <w:tblLayout w:type="fixed"/>
        <w:tblLook w:val="04A0"/>
      </w:tblPr>
      <w:tblGrid>
        <w:gridCol w:w="531"/>
        <w:gridCol w:w="9855"/>
      </w:tblGrid>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w:t>
            </w:r>
          </w:p>
        </w:tc>
        <w:tc>
          <w:tcPr>
            <w:tcW w:w="9854" w:type="dxa"/>
          </w:tcPr>
          <w:p w:rsidR="0078639D" w:rsidRDefault="004945CF">
            <w:pPr>
              <w:spacing w:after="0"/>
              <w:rPr>
                <w:rFonts w:ascii="Calibri" w:hAnsi="Calibri" w:cs="Calibri"/>
                <w:sz w:val="20"/>
                <w:szCs w:val="20"/>
              </w:rPr>
            </w:pPr>
            <w:r>
              <w:rPr>
                <w:rFonts w:ascii="Calibri" w:eastAsia="GulimChe" w:hAnsi="Calibri" w:cs="Calibri"/>
                <w:sz w:val="20"/>
                <w:szCs w:val="20"/>
              </w:rPr>
              <w:t>Aparat fabrycznie nowy, rok produkcji nie starszy niż 2025.</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lastRenderedPageBreak/>
              <w:t>2.</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Zakres mierzonego ciśnienia minimum:</w:t>
            </w:r>
            <w:r>
              <w:rPr>
                <w:rFonts w:ascii="Calibri" w:eastAsia="Times New Roman" w:hAnsi="Calibri" w:cs="Calibri"/>
                <w:sz w:val="20"/>
                <w:szCs w:val="20"/>
              </w:rPr>
              <w:br/>
              <w:t>- skurczowe 60 - 260 mmHg</w:t>
            </w:r>
          </w:p>
          <w:p w:rsidR="0078639D" w:rsidRDefault="004945CF">
            <w:pPr>
              <w:spacing w:after="0"/>
              <w:rPr>
                <w:rFonts w:ascii="Calibri" w:hAnsi="Calibri" w:cs="Calibri"/>
                <w:sz w:val="20"/>
                <w:szCs w:val="20"/>
              </w:rPr>
            </w:pPr>
            <w:r>
              <w:rPr>
                <w:rFonts w:ascii="Calibri" w:eastAsia="Times New Roman" w:hAnsi="Calibri" w:cs="Calibri"/>
                <w:sz w:val="20"/>
                <w:szCs w:val="20"/>
              </w:rPr>
              <w:t xml:space="preserve">- rozkurczowe 40 – 220 mmHg </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Zakres mierzonego rytmu serca minimum 35-240/min</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Okres pomiaru minimum 30 godzin lub 200 pomiarów.</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Wyposażony w kabel połączeniowy z komputerem PC, możliwość transmisji między komputerem a rejestratorem za pomocą dwóch interfejsów, RS232 oraz USB (dwa interfejsy wbudowane w rejestrator).</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Zasilanie: max. 2 baterie typu AA lub max. 2 akumulatory typu AA.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czyszczenia pamięci rejestratora bez używania oprogramowania.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Do wyboru min. 3 protokoły pomiaru z uwzględnieniem fazy doby (dzień, noc) programowane bez używania oprogramowania.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zaprogramowania protokołu pomiaru z podziałem na min. 4 etapy godzinowe z użyciem oprogramowania.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zaprogramowania protokołu bez użycia oprogramowania. Wybór min. 3 protokołów:</w:t>
            </w:r>
          </w:p>
          <w:p w:rsidR="0078639D" w:rsidRDefault="004945CF">
            <w:pPr>
              <w:numPr>
                <w:ilvl w:val="0"/>
                <w:numId w:val="69"/>
              </w:numPr>
              <w:spacing w:after="0" w:line="240" w:lineRule="auto"/>
              <w:rPr>
                <w:rFonts w:ascii="Calibri" w:hAnsi="Calibri" w:cs="Calibri"/>
                <w:sz w:val="20"/>
                <w:szCs w:val="20"/>
              </w:rPr>
            </w:pPr>
            <w:r>
              <w:rPr>
                <w:rFonts w:ascii="Calibri" w:eastAsia="Times New Roman" w:hAnsi="Calibri" w:cs="Calibri"/>
                <w:sz w:val="20"/>
                <w:szCs w:val="20"/>
              </w:rPr>
              <w:t>Faza dzienna co 15 minut, faza nocna co 30 minut</w:t>
            </w:r>
          </w:p>
          <w:p w:rsidR="0078639D" w:rsidRDefault="004945CF">
            <w:pPr>
              <w:numPr>
                <w:ilvl w:val="0"/>
                <w:numId w:val="69"/>
              </w:numPr>
              <w:spacing w:after="0" w:line="240" w:lineRule="auto"/>
              <w:rPr>
                <w:rFonts w:ascii="Calibri" w:hAnsi="Calibri" w:cs="Calibri"/>
                <w:sz w:val="20"/>
                <w:szCs w:val="20"/>
              </w:rPr>
            </w:pPr>
            <w:r>
              <w:rPr>
                <w:rFonts w:ascii="Calibri" w:eastAsia="Times New Roman" w:hAnsi="Calibri" w:cs="Calibri"/>
                <w:sz w:val="20"/>
                <w:szCs w:val="20"/>
              </w:rPr>
              <w:t>Faza dzienna co 20 minut, faza nocna co 40 minut</w:t>
            </w:r>
          </w:p>
          <w:p w:rsidR="0078639D" w:rsidRDefault="004945CF">
            <w:pPr>
              <w:numPr>
                <w:ilvl w:val="0"/>
                <w:numId w:val="69"/>
              </w:numPr>
              <w:spacing w:after="0" w:line="240" w:lineRule="auto"/>
              <w:rPr>
                <w:rFonts w:ascii="Calibri" w:hAnsi="Calibri" w:cs="Calibri"/>
                <w:sz w:val="20"/>
                <w:szCs w:val="20"/>
              </w:rPr>
            </w:pPr>
            <w:r>
              <w:rPr>
                <w:rFonts w:ascii="Calibri" w:eastAsia="Times New Roman" w:hAnsi="Calibri" w:cs="Calibri"/>
                <w:sz w:val="20"/>
                <w:szCs w:val="20"/>
              </w:rPr>
              <w:t>Faza dzienna co 30 minut, faza nocna co 60 minut</w:t>
            </w:r>
          </w:p>
          <w:p w:rsidR="0078639D" w:rsidRDefault="004945CF">
            <w:pPr>
              <w:spacing w:after="0"/>
              <w:rPr>
                <w:rFonts w:ascii="Calibri" w:hAnsi="Calibri" w:cs="Calibri"/>
                <w:sz w:val="20"/>
                <w:szCs w:val="20"/>
              </w:rPr>
            </w:pPr>
            <w:r>
              <w:rPr>
                <w:rFonts w:ascii="Calibri" w:eastAsia="Times New Roman" w:hAnsi="Calibri" w:cs="Calibri"/>
                <w:sz w:val="20"/>
                <w:szCs w:val="20"/>
              </w:rPr>
              <w:t>Gdzie faza dzienna to godziny 7:00-22:00, a faza nocna 22:00-7:00.</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Wymiary urządzenia max: (wys. x szer. x gł.) 100 x 85 x 30mm</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Waga urządzenia z akumulatorami max 200g</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Ukryty włącznik/wyłącznik rejestratora pod klapką baterii w celu wyeliminowania przypadkowego wyłączenia podczas rejestracji.</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Obsługa maksymalnie dwuprzyciskowa.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Wyświetlacz pokazujący godzinę w trakcie trwania rejestracji, z możliwością podglądu ostatnio wykonanego pomiaru (ciśnienie skurczowe, rozkurczowe, częstość pracy serca).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ręcznego uruchomienia dodatkowego pomiaru przez pacjenta, poza automatycznie zaprogramowaną sekwencją.</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natychmiastowego wypompowania mankietu w sytuacji awaryjnej.</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 xml:space="preserve">Wyświetlanie informacji o zaprogramowanym protokole. </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Wyświetlanie informacji na wyświetlaczu o istniejącym w pamięci rejestratora pomiarze.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20.</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Sygnał dźwiękowy umożliwiający poinformowanie pacjenta o rozpoczęciu pomiaru.</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21.</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 xml:space="preserve">Na wyposażeniu: </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mankiet dla dorosłych (</w:t>
            </w:r>
            <w:r>
              <w:rPr>
                <w:rFonts w:ascii="Calibri" w:eastAsia="Times New Roman" w:hAnsi="Calibri" w:cs="Calibri"/>
                <w:bCs/>
                <w:sz w:val="20"/>
                <w:szCs w:val="20"/>
              </w:rPr>
              <w:t xml:space="preserve">dla osób o obwodzie ramienia 24-32cm, </w:t>
            </w:r>
            <w:r>
              <w:rPr>
                <w:rFonts w:ascii="Calibri" w:eastAsia="Times New Roman" w:hAnsi="Calibri" w:cs="Calibri"/>
                <w:sz w:val="20"/>
                <w:szCs w:val="20"/>
              </w:rPr>
              <w:t xml:space="preserve">14cm szerokości), </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 xml:space="preserve">ładowarka do akumulatorów, </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 xml:space="preserve">akumulatory AA, </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 xml:space="preserve">etui z pasem, </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walizka transportowa,</w:t>
            </w:r>
          </w:p>
          <w:p w:rsidR="0078639D" w:rsidRDefault="004945CF">
            <w:pPr>
              <w:numPr>
                <w:ilvl w:val="0"/>
                <w:numId w:val="70"/>
              </w:numPr>
              <w:spacing w:after="0" w:line="240" w:lineRule="auto"/>
              <w:rPr>
                <w:rFonts w:ascii="Calibri" w:hAnsi="Calibri" w:cs="Calibri"/>
                <w:sz w:val="20"/>
                <w:szCs w:val="20"/>
              </w:rPr>
            </w:pPr>
            <w:r>
              <w:rPr>
                <w:rFonts w:ascii="Calibri" w:eastAsia="Times New Roman" w:hAnsi="Calibri" w:cs="Calibri"/>
                <w:sz w:val="20"/>
                <w:szCs w:val="20"/>
              </w:rPr>
              <w:t>instrukcja obsługi w języku polskim</w:t>
            </w:r>
          </w:p>
        </w:tc>
      </w:tr>
      <w:tr w:rsidR="0078639D">
        <w:tc>
          <w:tcPr>
            <w:tcW w:w="10385" w:type="dxa"/>
            <w:gridSpan w:val="2"/>
            <w:vAlign w:val="center"/>
          </w:tcPr>
          <w:p w:rsidR="0078639D" w:rsidRDefault="004945CF">
            <w:pPr>
              <w:spacing w:after="0"/>
              <w:rPr>
                <w:rFonts w:ascii="Calibri" w:hAnsi="Calibri" w:cs="Calibri"/>
                <w:b/>
                <w:sz w:val="20"/>
                <w:szCs w:val="20"/>
              </w:rPr>
            </w:pPr>
            <w:r>
              <w:rPr>
                <w:rFonts w:ascii="Calibri" w:eastAsia="Times New Roman" w:hAnsi="Calibri" w:cs="Calibri"/>
                <w:b/>
                <w:sz w:val="20"/>
                <w:szCs w:val="20"/>
              </w:rPr>
              <w:t>OPROGRAMOWANIE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22.</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Po podłączeniu rejestratora do komputera możliwość podglądu zaprogramowanego protokołu oraz podglądu czy w rejestratorze znajdują się dane pomiarowe.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23.</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opracowania indywidualnego protokołu z podziałem na min. 4 fazy (wybierane przez użytkownika) w przeciągu doby.</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24.</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określenia/zmian przedziałów godzinowych:</w:t>
            </w:r>
          </w:p>
          <w:p w:rsidR="0078639D" w:rsidRDefault="004945CF">
            <w:pPr>
              <w:numPr>
                <w:ilvl w:val="0"/>
                <w:numId w:val="71"/>
              </w:numPr>
              <w:spacing w:after="0" w:line="240" w:lineRule="auto"/>
              <w:rPr>
                <w:rFonts w:ascii="Calibri" w:hAnsi="Calibri" w:cs="Calibri"/>
                <w:sz w:val="20"/>
                <w:szCs w:val="20"/>
              </w:rPr>
            </w:pPr>
            <w:r>
              <w:rPr>
                <w:rFonts w:ascii="Calibri" w:eastAsia="Times New Roman" w:hAnsi="Calibri" w:cs="Calibri"/>
                <w:sz w:val="20"/>
                <w:szCs w:val="20"/>
              </w:rPr>
              <w:t>Dzienne,</w:t>
            </w:r>
          </w:p>
          <w:p w:rsidR="0078639D" w:rsidRDefault="004945CF">
            <w:pPr>
              <w:numPr>
                <w:ilvl w:val="0"/>
                <w:numId w:val="71"/>
              </w:numPr>
              <w:spacing w:after="0" w:line="240" w:lineRule="auto"/>
              <w:rPr>
                <w:rFonts w:ascii="Calibri" w:hAnsi="Calibri" w:cs="Calibri"/>
                <w:sz w:val="20"/>
                <w:szCs w:val="20"/>
              </w:rPr>
            </w:pPr>
            <w:r>
              <w:rPr>
                <w:rFonts w:ascii="Calibri" w:eastAsia="Times New Roman" w:hAnsi="Calibri" w:cs="Calibri"/>
                <w:sz w:val="20"/>
                <w:szCs w:val="20"/>
              </w:rPr>
              <w:t>Nocne,</w:t>
            </w:r>
          </w:p>
          <w:p w:rsidR="0078639D" w:rsidRDefault="004945CF">
            <w:pPr>
              <w:numPr>
                <w:ilvl w:val="0"/>
                <w:numId w:val="71"/>
              </w:numPr>
              <w:spacing w:after="0" w:line="240" w:lineRule="auto"/>
              <w:rPr>
                <w:rFonts w:ascii="Calibri" w:hAnsi="Calibri" w:cs="Calibri"/>
                <w:sz w:val="20"/>
                <w:szCs w:val="20"/>
              </w:rPr>
            </w:pPr>
            <w:r>
              <w:rPr>
                <w:rFonts w:ascii="Calibri" w:eastAsia="Times New Roman" w:hAnsi="Calibri" w:cs="Calibri"/>
                <w:sz w:val="20"/>
                <w:szCs w:val="20"/>
              </w:rPr>
              <w:t>Przebudzenia.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25.</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Osobne statystyki dotyczące godzin dziennych, nocnych i przebudzenia.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26.</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Oprogramowanie umożliwiające analizę danych: trendy godzinowe, średnie.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27.</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ręcznego wykluczenia błędnych pomiarów z analizy.</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28.</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wpisywania komentarzy do poszczególnych pomiarów.</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29.</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Zestawienia graficzne i tabelaryczne.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30.</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Wyraźne oznakowanie pomiarów wykonywanych automatycznie wg zaprogramowanego protokołu oraz pomiarów wykonywanych ręcznie.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31.</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edycji danych o pacjencie.</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32.</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Wpisywanie danych o personelu medycznym.</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lastRenderedPageBreak/>
              <w:t>33.</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Wpisywanie danych o lekach pobieranych przez pacjenta (min. 5 pozycji).</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34.</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generowania i edytowania opisu badania.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35.</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rozbudowy bazy danych standardowych opisów diagnostycznych, np. prawidłowy profil ciśnienia, neuropatia cukrzycowa itp.</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36.</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Drukowanie raportów z możliwość dołączenia/wykluczenia z raportu następujących danych:</w:t>
            </w:r>
          </w:p>
          <w:p w:rsidR="0078639D" w:rsidRDefault="004945CF">
            <w:pPr>
              <w:numPr>
                <w:ilvl w:val="0"/>
                <w:numId w:val="72"/>
              </w:numPr>
              <w:spacing w:after="0" w:line="240" w:lineRule="auto"/>
              <w:rPr>
                <w:rFonts w:ascii="Calibri" w:hAnsi="Calibri" w:cs="Calibri"/>
                <w:sz w:val="20"/>
                <w:szCs w:val="20"/>
              </w:rPr>
            </w:pPr>
            <w:r>
              <w:rPr>
                <w:rFonts w:ascii="Calibri" w:eastAsia="Times New Roman" w:hAnsi="Calibri" w:cs="Calibri"/>
                <w:sz w:val="20"/>
                <w:szCs w:val="20"/>
              </w:rPr>
              <w:t>Prezentacja tabelaryczna,</w:t>
            </w:r>
          </w:p>
          <w:p w:rsidR="0078639D" w:rsidRDefault="004945CF">
            <w:pPr>
              <w:numPr>
                <w:ilvl w:val="0"/>
                <w:numId w:val="72"/>
              </w:numPr>
              <w:spacing w:after="0" w:line="240" w:lineRule="auto"/>
              <w:rPr>
                <w:rFonts w:ascii="Calibri" w:hAnsi="Calibri" w:cs="Calibri"/>
                <w:sz w:val="20"/>
                <w:szCs w:val="20"/>
              </w:rPr>
            </w:pPr>
            <w:r>
              <w:rPr>
                <w:rFonts w:ascii="Calibri" w:eastAsia="Times New Roman" w:hAnsi="Calibri" w:cs="Calibri"/>
                <w:sz w:val="20"/>
                <w:szCs w:val="20"/>
              </w:rPr>
              <w:t>Średnie godzinowe,</w:t>
            </w:r>
          </w:p>
          <w:p w:rsidR="0078639D" w:rsidRDefault="004945CF">
            <w:pPr>
              <w:numPr>
                <w:ilvl w:val="0"/>
                <w:numId w:val="72"/>
              </w:numPr>
              <w:spacing w:after="0" w:line="240" w:lineRule="auto"/>
              <w:rPr>
                <w:rFonts w:ascii="Calibri" w:hAnsi="Calibri" w:cs="Calibri"/>
                <w:sz w:val="20"/>
                <w:szCs w:val="20"/>
              </w:rPr>
            </w:pPr>
            <w:r>
              <w:rPr>
                <w:rFonts w:ascii="Calibri" w:eastAsia="Times New Roman" w:hAnsi="Calibri" w:cs="Calibri"/>
                <w:sz w:val="20"/>
                <w:szCs w:val="20"/>
              </w:rPr>
              <w:t>Podsumowanie statystyk,</w:t>
            </w:r>
          </w:p>
          <w:p w:rsidR="0078639D" w:rsidRDefault="004945CF">
            <w:pPr>
              <w:numPr>
                <w:ilvl w:val="0"/>
                <w:numId w:val="72"/>
              </w:numPr>
              <w:spacing w:after="0" w:line="240" w:lineRule="auto"/>
              <w:rPr>
                <w:rFonts w:ascii="Calibri" w:hAnsi="Calibri" w:cs="Calibri"/>
                <w:sz w:val="20"/>
                <w:szCs w:val="20"/>
              </w:rPr>
            </w:pPr>
            <w:r>
              <w:rPr>
                <w:rFonts w:ascii="Calibri" w:eastAsia="Times New Roman" w:hAnsi="Calibri" w:cs="Calibri"/>
                <w:sz w:val="20"/>
                <w:szCs w:val="20"/>
              </w:rPr>
              <w:t>Fazy.</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37.</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Raport końcowy zawierający następujące informacje:</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Łączny czas rejestracji,</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Średnia ciśnienia z 24 godzin,</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Średnia ciśnienia z godzin dziennych/nocnych,</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Różnica ciśnień pomiędzy godzinami dziennymi i nocnymi,</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Ilość ważnych pomiarów,</w:t>
            </w:r>
          </w:p>
          <w:p w:rsidR="0078639D" w:rsidRDefault="004945CF">
            <w:pPr>
              <w:numPr>
                <w:ilvl w:val="0"/>
                <w:numId w:val="73"/>
              </w:numPr>
              <w:spacing w:after="0" w:line="240" w:lineRule="auto"/>
              <w:rPr>
                <w:rFonts w:ascii="Calibri" w:hAnsi="Calibri" w:cs="Calibri"/>
                <w:sz w:val="20"/>
                <w:szCs w:val="20"/>
              </w:rPr>
            </w:pPr>
            <w:r>
              <w:rPr>
                <w:rFonts w:ascii="Calibri" w:eastAsia="Times New Roman" w:hAnsi="Calibri" w:cs="Calibri"/>
                <w:sz w:val="20"/>
                <w:szCs w:val="20"/>
              </w:rPr>
              <w:t>Procentowa ilość pomiarów przekraczających ustalone normy ciśnienia.</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38.</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Baza danych pacjentów.</w:t>
            </w:r>
          </w:p>
        </w:tc>
      </w:tr>
      <w:tr w:rsidR="0078639D">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39.</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zobaczenia wyników poprzedniego badania pacjenta.</w:t>
            </w:r>
          </w:p>
        </w:tc>
      </w:tr>
      <w:tr w:rsidR="0078639D">
        <w:trPr>
          <w:trHeight w:val="384"/>
        </w:trPr>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40.</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Możliwość rozbudowy oprogramowania o wykonywanie prób wysiłkowych i badań spoczynkowych EKG.</w:t>
            </w:r>
          </w:p>
        </w:tc>
      </w:tr>
      <w:tr w:rsidR="0078639D">
        <w:trPr>
          <w:trHeight w:val="576"/>
        </w:trPr>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41.</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44"/>
        </w:trPr>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42.</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01"/>
        </w:trPr>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43.</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Deklaracja zgodności/oznaczenie CE.</w:t>
            </w:r>
          </w:p>
        </w:tc>
      </w:tr>
      <w:tr w:rsidR="0078639D">
        <w:trPr>
          <w:trHeight w:val="168"/>
        </w:trPr>
        <w:tc>
          <w:tcPr>
            <w:tcW w:w="531" w:type="dxa"/>
            <w:vAlign w:val="center"/>
          </w:tcPr>
          <w:p w:rsidR="0078639D" w:rsidRDefault="004945CF">
            <w:pPr>
              <w:spacing w:after="0"/>
              <w:jc w:val="center"/>
              <w:rPr>
                <w:rFonts w:ascii="Calibri" w:hAnsi="Calibri" w:cs="Calibri"/>
                <w:b/>
                <w:sz w:val="20"/>
                <w:szCs w:val="20"/>
              </w:rPr>
            </w:pPr>
            <w:r>
              <w:rPr>
                <w:rFonts w:ascii="Calibri" w:eastAsia="Times New Roman" w:hAnsi="Calibri" w:cs="Calibri"/>
                <w:b/>
                <w:sz w:val="20"/>
                <w:szCs w:val="20"/>
              </w:rPr>
              <w:t>44.</w:t>
            </w:r>
          </w:p>
        </w:tc>
        <w:tc>
          <w:tcPr>
            <w:tcW w:w="9854" w:type="dxa"/>
            <w:vAlign w:val="center"/>
          </w:tcPr>
          <w:p w:rsidR="0078639D" w:rsidRDefault="004945CF">
            <w:pPr>
              <w:spacing w:after="0"/>
              <w:rPr>
                <w:rFonts w:ascii="Calibri" w:hAnsi="Calibri" w:cs="Calibri"/>
                <w:sz w:val="20"/>
                <w:szCs w:val="20"/>
              </w:rPr>
            </w:pPr>
            <w:r>
              <w:rPr>
                <w:rFonts w:ascii="Calibri" w:eastAsia="Times New Roman" w:hAnsi="Calibri" w:cs="Calibri"/>
                <w:sz w:val="20"/>
                <w:szCs w:val="20"/>
              </w:rPr>
              <w:t>Gwarancja minimum 24 miesiące.</w:t>
            </w:r>
          </w:p>
        </w:tc>
      </w:tr>
    </w:tbl>
    <w:p w:rsidR="0078639D" w:rsidRDefault="0078639D">
      <w:pPr>
        <w:spacing w:after="0"/>
        <w:rPr>
          <w:b/>
        </w:rPr>
      </w:pPr>
    </w:p>
    <w:p w:rsidR="0078639D" w:rsidRDefault="004945CF">
      <w:pPr>
        <w:spacing w:after="0"/>
        <w:rPr>
          <w:b/>
        </w:rPr>
      </w:pPr>
      <w:r>
        <w:rPr>
          <w:b/>
        </w:rPr>
        <w:t>Pakiet 4 Ultrasonograf</w:t>
      </w:r>
    </w:p>
    <w:tbl>
      <w:tblPr>
        <w:tblStyle w:val="Tabela-Siatka"/>
        <w:tblW w:w="10386" w:type="dxa"/>
        <w:tblInd w:w="113" w:type="dxa"/>
        <w:tblLayout w:type="fixed"/>
        <w:tblLook w:val="04A0"/>
      </w:tblPr>
      <w:tblGrid>
        <w:gridCol w:w="531"/>
        <w:gridCol w:w="9855"/>
      </w:tblGrid>
      <w:tr w:rsidR="0078639D">
        <w:trPr>
          <w:trHeight w:val="14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color w:val="363437"/>
                <w:sz w:val="20"/>
                <w:szCs w:val="20"/>
              </w:rPr>
            </w:pPr>
            <w:r>
              <w:rPr>
                <w:rFonts w:ascii="Calibri" w:eastAsia="GulimChe" w:hAnsi="Calibri" w:cs="Calibri"/>
                <w:sz w:val="20"/>
                <w:szCs w:val="20"/>
              </w:rPr>
              <w:t>Aparat fabrycznie nowy, rok produkcji nie starszy niż 2025.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 xml:space="preserve">Nowoczesny stacjonarny aparat ultrasonograficzny o wysokiej ergonomii z układem jezdnym umożliwiającym łatwe przemieszczanie - Ilość skrętnych kół z blokadą: </w:t>
            </w:r>
            <w:r w:rsidR="005A67F1">
              <w:rPr>
                <w:rFonts w:ascii="Calibri" w:eastAsia="GulimChe" w:hAnsi="Calibri" w:cs="Calibri"/>
                <w:sz w:val="20"/>
                <w:szCs w:val="20"/>
              </w:rPr>
              <w:t>4, oraz</w:t>
            </w:r>
            <w:r>
              <w:rPr>
                <w:rFonts w:ascii="Calibri" w:eastAsia="GulimChe" w:hAnsi="Calibri" w:cs="Calibri"/>
                <w:sz w:val="20"/>
                <w:szCs w:val="20"/>
              </w:rPr>
              <w:t xml:space="preserve"> zintegrowanym systemem archiwizacji danych wyposażony w dysk SSD.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Autoryzacja producenta ultrasonografu dla dostawcy na dystrybucję oraz serwis dostarczonego ultrasonografu min. 5 lat.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Panel sterowania z możliwością obrotu oraz motorową regulacją wysokości i fizyczną klawiaturą alfanumeryczną:</w:t>
            </w:r>
          </w:p>
          <w:p w:rsidR="0078639D" w:rsidRDefault="004945CF">
            <w:pPr>
              <w:pStyle w:val="Akapitzlist"/>
              <w:numPr>
                <w:ilvl w:val="0"/>
                <w:numId w:val="74"/>
              </w:numPr>
              <w:spacing w:line="276" w:lineRule="auto"/>
              <w:contextualSpacing/>
              <w:rPr>
                <w:rFonts w:ascii="Calibri" w:eastAsia="GulimChe" w:hAnsi="Calibri" w:cs="Calibri"/>
              </w:rPr>
            </w:pPr>
            <w:r>
              <w:rPr>
                <w:rFonts w:ascii="Calibri" w:eastAsia="GulimChe" w:hAnsi="Calibri" w:cs="Calibri"/>
              </w:rPr>
              <w:t>Obrót o kąt: min. 60º (+/- 30 stopni)</w:t>
            </w:r>
          </w:p>
          <w:p w:rsidR="0078639D" w:rsidRDefault="004945CF">
            <w:pPr>
              <w:pStyle w:val="Akapitzlist"/>
              <w:numPr>
                <w:ilvl w:val="0"/>
                <w:numId w:val="74"/>
              </w:numPr>
              <w:spacing w:line="276" w:lineRule="auto"/>
              <w:contextualSpacing/>
              <w:rPr>
                <w:rFonts w:ascii="Calibri" w:hAnsi="Calibri" w:cs="Calibri"/>
                <w:b/>
              </w:rPr>
            </w:pPr>
            <w:r>
              <w:rPr>
                <w:rFonts w:ascii="Calibri" w:eastAsia="GulimChe" w:hAnsi="Calibri" w:cs="Calibri"/>
              </w:rPr>
              <w:t>Regulacja wysokości pulpitu w zakresie min.: 160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Tradycyjne (nie cyfrowe na ekranie dotykowym) suwaki TGC do regulacji wzmocnienia w zależności od głębokości obrazowania.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Czas uruchamiania aparatu do stanu gotowości do badania max. 80 sekund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Monitor IPS LED, wysokiej rozdzielczości, kolorowy:</w:t>
            </w:r>
          </w:p>
          <w:p w:rsidR="0078639D" w:rsidRDefault="004945CF">
            <w:pPr>
              <w:pStyle w:val="Akapitzlist"/>
              <w:numPr>
                <w:ilvl w:val="0"/>
                <w:numId w:val="75"/>
              </w:numPr>
              <w:spacing w:line="276" w:lineRule="auto"/>
              <w:contextualSpacing/>
              <w:rPr>
                <w:rFonts w:ascii="Calibri" w:eastAsia="GulimChe" w:hAnsi="Calibri" w:cs="Calibri"/>
              </w:rPr>
            </w:pPr>
            <w:r>
              <w:rPr>
                <w:rFonts w:ascii="Calibri" w:eastAsia="GulimChe" w:hAnsi="Calibri" w:cs="Calibri"/>
              </w:rPr>
              <w:t>Przekątna min.  23,5”</w:t>
            </w:r>
          </w:p>
          <w:p w:rsidR="0078639D" w:rsidRDefault="004945CF">
            <w:pPr>
              <w:pStyle w:val="Akapitzlist"/>
              <w:numPr>
                <w:ilvl w:val="0"/>
                <w:numId w:val="75"/>
              </w:numPr>
              <w:spacing w:line="276" w:lineRule="auto"/>
              <w:contextualSpacing/>
              <w:rPr>
                <w:rFonts w:ascii="Calibri" w:hAnsi="Calibri" w:cs="Calibri"/>
                <w:b/>
              </w:rPr>
            </w:pPr>
            <w:r>
              <w:rPr>
                <w:rFonts w:ascii="Calibri" w:eastAsia="GulimChe" w:hAnsi="Calibri" w:cs="Calibri"/>
              </w:rPr>
              <w:t>rozdzielczość min. 1920 x 1080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Możliwość regulacji wielkości okna diagnostycznego.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Tryb StandBy (SLEEP) umożliwiający szybkie uruchomienie (wybudzenie) </w:t>
            </w:r>
            <w:r w:rsidR="005A67F1">
              <w:rPr>
                <w:rFonts w:ascii="Calibri" w:eastAsia="GulimChe" w:hAnsi="Calibri" w:cs="Calibri"/>
                <w:sz w:val="20"/>
                <w:szCs w:val="20"/>
              </w:rPr>
              <w:t>aparatu: Czas</w:t>
            </w:r>
            <w:r>
              <w:rPr>
                <w:rFonts w:ascii="Calibri" w:eastAsia="GulimChe" w:hAnsi="Calibri" w:cs="Calibri"/>
                <w:sz w:val="20"/>
                <w:szCs w:val="20"/>
              </w:rPr>
              <w:t xml:space="preserve"> wybudzenia: max 10 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Dotykowy panel LED do obsługi ultrasonografu z regulacją pochylenia:</w:t>
            </w:r>
          </w:p>
          <w:p w:rsidR="0078639D" w:rsidRDefault="004945CF">
            <w:pPr>
              <w:pStyle w:val="Akapitzlist"/>
              <w:numPr>
                <w:ilvl w:val="0"/>
                <w:numId w:val="76"/>
              </w:numPr>
              <w:spacing w:line="276" w:lineRule="auto"/>
              <w:contextualSpacing/>
              <w:rPr>
                <w:rFonts w:ascii="Calibri" w:eastAsia="GulimChe" w:hAnsi="Calibri" w:cs="Calibri"/>
              </w:rPr>
            </w:pPr>
            <w:r>
              <w:rPr>
                <w:rFonts w:ascii="Calibri" w:eastAsia="GulimChe" w:hAnsi="Calibri" w:cs="Calibri"/>
              </w:rPr>
              <w:t>Przekątna min. 12’’</w:t>
            </w:r>
          </w:p>
          <w:p w:rsidR="0078639D" w:rsidRDefault="004945CF">
            <w:pPr>
              <w:pStyle w:val="Akapitzlist"/>
              <w:numPr>
                <w:ilvl w:val="0"/>
                <w:numId w:val="76"/>
              </w:numPr>
              <w:spacing w:line="276" w:lineRule="auto"/>
              <w:contextualSpacing/>
              <w:rPr>
                <w:rFonts w:ascii="Calibri" w:eastAsia="GulimChe" w:hAnsi="Calibri" w:cs="Calibri"/>
              </w:rPr>
            </w:pPr>
            <w:r>
              <w:rPr>
                <w:rFonts w:ascii="Calibri" w:eastAsia="GulimChe" w:hAnsi="Calibri" w:cs="Calibri"/>
              </w:rPr>
              <w:t>rozdzielczość min. 1280 x 800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Ilość niezależnych aktywnych kanałów przetwarzania: min. 50 000 000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Fizyczna ilość niezależnych aktywnych kanałów nadawczych TX: min. 192</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funkcji przypisanych do klawiszy funkcyjnych aparatu: min. 10 programowalnych klawiszy.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Zintegrowany – wbudowany, podgrzewacz żelu z możliwością regulacji temperatury.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System z cyfrowym układem formowania wiązki ultradźwiękowej: min. 14 bit ADC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częstotliwości pracy głowic możliwych do podłączenie: min. 1-25 MHz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wartość dynamiki w trybie B – mode: min. 310 dB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Bezpinowe złącza głowic.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Ilość niezależnych aktywnych gniazd do jednoczesnego podłączenia głowic obrazowych: min. 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 xml:space="preserve">Maksymalna częstotliwość odświeżania obrazu „frame rate” dla trybu B (obrazów/sekundę): </w:t>
            </w:r>
            <w:r>
              <w:rPr>
                <w:rFonts w:ascii="Calibri" w:eastAsia="GulimChe" w:hAnsi="Calibri" w:cs="Calibri"/>
                <w:sz w:val="20"/>
                <w:szCs w:val="20"/>
              </w:rPr>
              <w:t>min. 2800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CD (obrazów/sekundę): </w:t>
            </w:r>
            <w:r>
              <w:rPr>
                <w:rFonts w:ascii="Calibri" w:eastAsia="GulimChe" w:hAnsi="Calibri" w:cs="Calibri"/>
                <w:sz w:val="20"/>
                <w:szCs w:val="20"/>
              </w:rPr>
              <w:t>min. 500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Maksymalna częstotliwość odświeżania obrazu „frame rate” dla trybu PW (obrazów/sekundę): m</w:t>
            </w:r>
            <w:r>
              <w:rPr>
                <w:rFonts w:ascii="Calibri" w:eastAsia="GulimChe" w:hAnsi="Calibri" w:cs="Calibri"/>
                <w:sz w:val="20"/>
                <w:szCs w:val="20"/>
              </w:rPr>
              <w:t>in. 280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Color Doppler (CD): min. 4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Pulsacyjny (PWD): min. 7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Ciągły (CW): min. 30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Maks. wartość częstotliwości PRF dla Dopplera Kolorowego (CD): min. 18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Pulsacyjnego (PWD): min. 30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Ciągłego (CW): min. 75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regulacji kąta korekcji w trybie Dopplera Spektralnego (PWD): min. +/- 89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wielkości bramki Dopplerowskiej w trybie Dopplera pulsacyjnego (PWD): min. 0,2 - 25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głębokość obrazowania aparatu: min. 41 cm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Liczba obrazów pamięci dynamicznej (CINE MEMORY): min. 60000 obrazów w trybie 2D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Tryby pracy aparatu:</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2D (B-mode),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Anatomiczny 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Color Doppler (CD),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Power Doppler (PD),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 xml:space="preserve">Tkankowy Doppler (TDI), </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Kierunkowy Power Doppler (DPD),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Spektralny Doppler Pulsacyjny (PWD),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Ciągły Doppler (CW),</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TRIPLEX,</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DUPLEX.</w:t>
            </w:r>
          </w:p>
          <w:p w:rsidR="0078639D" w:rsidRDefault="004945CF">
            <w:pPr>
              <w:pStyle w:val="Akapitzlist"/>
              <w:numPr>
                <w:ilvl w:val="0"/>
                <w:numId w:val="49"/>
              </w:numPr>
              <w:spacing w:line="276" w:lineRule="auto"/>
              <w:contextualSpacing/>
              <w:rPr>
                <w:rFonts w:ascii="Calibri" w:eastAsia="GulimChe" w:hAnsi="Calibri" w:cs="Calibri"/>
              </w:rPr>
            </w:pPr>
            <w:r>
              <w:rPr>
                <w:rFonts w:ascii="Calibri" w:eastAsia="GulimChe" w:hAnsi="Calibri" w:cs="Calibri"/>
              </w:rPr>
              <w:t>Tryb Fullscreen umożliwiający wyświetlanie obrazu na pełnym ekranie zarówno w czasie rzeczywistym jak i po zamrożeniu.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8 częstotliwości bazowych dla trybu B - Mode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4 częstotliwości bazowe dla trybu CD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w:t>
            </w:r>
            <w:r>
              <w:rPr>
                <w:rFonts w:ascii="Calibri" w:eastAsia="Calibri" w:hAnsi="Calibri" w:cs="Calibri"/>
                <w:sz w:val="20"/>
                <w:szCs w:val="20"/>
              </w:rPr>
              <w:t>utomatyczny pomiar frakcji wyrzutowej EF.</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z ultrasonografem moduł EKG.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Specjalny tryb obrazowania dedykowany do mikroprzepływów tzw. Mikrowaskularyzacja inny niż tryb Color i Power Doppler.</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Specjalny tryb obrazowania dedykowany do mikroprzepływów tzw. Mikrowaskularyzacja inny niż tryb Color i Power Doppler.</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Calibri" w:hAnsi="Calibri" w:cs="Calibri"/>
                <w:sz w:val="20"/>
                <w:szCs w:val="20"/>
              </w:rPr>
              <w:t>Obrazowanie 3D przepływów w Color lub Power Dopplerze do wyboru.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GulimChe" w:hAnsi="Calibri" w:cs="Calibri"/>
                <w:sz w:val="20"/>
                <w:szCs w:val="20"/>
              </w:rPr>
              <w:t>Funkcja automatycznej optymalizacji obrazu oraz trybów Dopplerowskich przy użyciu jednego przycisku.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krzyżowe Spatial Compound/Cross Beam na głowicach: convex, liniowa, endowaginalna, Microconvex działające w trybie 2D oraz trybach dopplerowskich. Ustawienia indeksu.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typu MR wygładzające obraz tzw. SonoMR lub jego ekwiwalent o analogicznej funkcjonalności. Możliwość regulacji stopnia udziału algorytmu: min. 5 stopni ustawień.</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ilość ognisk głowicy pracujących jednocześnie: min. 3</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Zoom dla obrazów na żywo: </w:t>
            </w:r>
            <w:r>
              <w:rPr>
                <w:rFonts w:ascii="Calibri" w:eastAsia="Times New Roman" w:hAnsi="Calibri" w:cs="Calibri"/>
                <w:sz w:val="20"/>
                <w:szCs w:val="20"/>
              </w:rPr>
              <w:t>min. 40 krotny.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Oprogramowanie pomiarowe wraz z raportami z badań (dla każdego pakietu, z możliwością edycji):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Piersi,</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Naczyniowe,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Kardiologiczne,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lastRenderedPageBreak/>
              <w:t xml:space="preserve">Ortopedyczne,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Tarczycy, </w:t>
            </w:r>
          </w:p>
          <w:p w:rsidR="0078639D" w:rsidRDefault="004945CF">
            <w:pPr>
              <w:numPr>
                <w:ilvl w:val="0"/>
                <w:numId w:val="27"/>
              </w:numPr>
              <w:tabs>
                <w:tab w:val="left" w:pos="0"/>
              </w:tabs>
              <w:spacing w:after="0" w:line="276" w:lineRule="auto"/>
              <w:ind w:left="720"/>
              <w:rPr>
                <w:rFonts w:ascii="Calibri" w:hAnsi="Calibri" w:cs="Calibri"/>
                <w:sz w:val="20"/>
                <w:szCs w:val="20"/>
              </w:rPr>
            </w:pPr>
            <w:r>
              <w:rPr>
                <w:rFonts w:ascii="Calibri" w:eastAsia="GulimChe" w:hAnsi="Calibri" w:cs="Calibri"/>
                <w:sz w:val="20"/>
                <w:szCs w:val="20"/>
              </w:rPr>
              <w:t>Jąder</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Położniczych,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Ginekologicznych,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Urologicznych,</w:t>
            </w:r>
          </w:p>
          <w:p w:rsidR="0078639D" w:rsidRDefault="004945CF">
            <w:pPr>
              <w:pStyle w:val="Akapitzlist"/>
              <w:numPr>
                <w:ilvl w:val="0"/>
                <w:numId w:val="27"/>
              </w:numPr>
              <w:tabs>
                <w:tab w:val="left" w:pos="0"/>
              </w:tabs>
              <w:spacing w:line="276" w:lineRule="auto"/>
              <w:ind w:left="720"/>
              <w:contextualSpacing/>
              <w:rPr>
                <w:rFonts w:ascii="Calibri" w:eastAsia="GulimChe" w:hAnsi="Calibri" w:cs="Calibri"/>
              </w:rPr>
            </w:pPr>
            <w:r>
              <w:rPr>
                <w:rFonts w:ascii="Calibri" w:eastAsia="GulimChe" w:hAnsi="Calibri" w:cs="Calibri"/>
              </w:rPr>
              <w:t>Jamy brzusznej.</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45.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Automatyczne pomiary prędkości przepływów.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Pomiary odległości, pola powierzchni, objętości, obrysu.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(wbudowany w aparat) system archiwizacji pacjentów i obrazów z portami USB na przedniej ścianie aparatu. Możliwość nagrywania badań na żywo na PENDRIVE (pamięć USB).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ultrasonograficzny umożliwiający zapis badań na nośnikach typu PENDRIVE w trybie Real-Time Recording.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Wbudowany dysk twardy typu SSD: min. 1TB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zapisu obrazów oraz sekwencji filmowych na dysk twardy oraz płyty CD, DVD, pamięci PEN w formatach BMP, JPG, TIFF, MPEG, AVI.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Wyjście (output) sygnałów: HDMI, VGA.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Wbudowana karta sieciowa Ethernet 10/100 Mbps.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Porty USB w standardzie 3.0: min. 4</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Głowica liniowa do badań naczyniowych, małych narządów wykonaną w technologii monokryształu tzw. Pure Wave lub Single Crystal:</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min. Ilość elementów: 192</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 xml:space="preserve">min. zakres częstotliwości: 3 – 19 MHz </w:t>
            </w:r>
          </w:p>
          <w:p w:rsidR="0078639D" w:rsidRDefault="004945CF">
            <w:pPr>
              <w:pStyle w:val="Akapitzlist"/>
              <w:numPr>
                <w:ilvl w:val="0"/>
                <w:numId w:val="77"/>
              </w:numPr>
              <w:spacing w:line="276" w:lineRule="auto"/>
              <w:contextualSpacing/>
              <w:rPr>
                <w:rFonts w:ascii="Calibri" w:eastAsia="GulimChe" w:hAnsi="Calibri" w:cs="Calibri"/>
              </w:rPr>
            </w:pPr>
            <w:r>
              <w:rPr>
                <w:rFonts w:ascii="Calibri" w:hAnsi="Calibri" w:cs="Calibri"/>
              </w:rPr>
              <w:t>max. szerokość czoła głowicy 45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głowice liniową wysokoczęstotliwościowa dedykowana do powierzchownej diagnostyki:</w:t>
            </w:r>
          </w:p>
          <w:p w:rsidR="0078639D" w:rsidRDefault="004945CF">
            <w:pPr>
              <w:numPr>
                <w:ilvl w:val="0"/>
                <w:numId w:val="78"/>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78"/>
              </w:numPr>
              <w:spacing w:after="0" w:line="276" w:lineRule="auto"/>
              <w:rPr>
                <w:rFonts w:ascii="Calibri" w:hAnsi="Calibri" w:cs="Calibri"/>
                <w:sz w:val="20"/>
                <w:szCs w:val="20"/>
              </w:rPr>
            </w:pPr>
            <w:r>
              <w:rPr>
                <w:rFonts w:ascii="Calibri" w:eastAsia="GulimChe" w:hAnsi="Calibri" w:cs="Calibri"/>
                <w:sz w:val="20"/>
                <w:szCs w:val="20"/>
              </w:rPr>
              <w:t xml:space="preserve">min. zakres częstotliwości: 10 – 25 MHz </w:t>
            </w:r>
          </w:p>
          <w:p w:rsidR="0078639D" w:rsidRDefault="004945CF">
            <w:pPr>
              <w:pStyle w:val="Akapitzlist"/>
              <w:numPr>
                <w:ilvl w:val="0"/>
                <w:numId w:val="78"/>
              </w:numPr>
              <w:spacing w:line="276" w:lineRule="auto"/>
              <w:contextualSpacing/>
              <w:rPr>
                <w:rFonts w:ascii="Calibri" w:eastAsia="GulimChe" w:hAnsi="Calibri" w:cs="Calibri"/>
              </w:rPr>
            </w:pPr>
            <w:r>
              <w:rPr>
                <w:rFonts w:ascii="Calibri" w:hAnsi="Calibri" w:cs="Calibri"/>
              </w:rPr>
              <w:t>max. szerokość czoła głowicy: 35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Głowica sektorowa do diagnostyki kardiologicznej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80</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1 – 5 MHz </w:t>
            </w:r>
          </w:p>
          <w:p w:rsidR="0078639D" w:rsidRDefault="004945CF">
            <w:pPr>
              <w:pStyle w:val="Akapitzlist"/>
              <w:numPr>
                <w:ilvl w:val="0"/>
                <w:numId w:val="79"/>
              </w:numPr>
              <w:spacing w:line="276" w:lineRule="auto"/>
              <w:contextualSpacing/>
              <w:rPr>
                <w:rFonts w:ascii="Calibri" w:eastAsia="GulimChe" w:hAnsi="Calibri" w:cs="Calibri"/>
              </w:rPr>
            </w:pPr>
            <w:r>
              <w:rPr>
                <w:rFonts w:ascii="Calibri" w:hAnsi="Calibri" w:cs="Calibri"/>
              </w:rPr>
              <w:t>min. pole widzenia głowicy: 90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głowicę sektorowa do diagnostyki pediatrycznej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64</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3 – 8 MHz </w:t>
            </w:r>
          </w:p>
          <w:p w:rsidR="0078639D" w:rsidRDefault="004945CF">
            <w:pPr>
              <w:pStyle w:val="Akapitzlist"/>
              <w:numPr>
                <w:ilvl w:val="0"/>
                <w:numId w:val="53"/>
              </w:numPr>
              <w:spacing w:line="276" w:lineRule="auto"/>
              <w:contextualSpacing/>
              <w:rPr>
                <w:rFonts w:ascii="Calibri" w:eastAsia="GulimChe" w:hAnsi="Calibri" w:cs="Calibri"/>
              </w:rPr>
            </w:pPr>
            <w:r>
              <w:rPr>
                <w:rFonts w:ascii="Calibri" w:hAnsi="Calibri" w:cs="Calibri"/>
              </w:rPr>
              <w:t>min. pole widzenia głowicy: 90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głowice convex do badań jamy brzusznej wykonaną w technologii monokryształu tzw. Pure Wave lub Single Crystal:</w:t>
            </w:r>
          </w:p>
          <w:p w:rsidR="0078639D" w:rsidRDefault="004945CF">
            <w:pPr>
              <w:pStyle w:val="Akapitzlist"/>
              <w:numPr>
                <w:ilvl w:val="0"/>
                <w:numId w:val="52"/>
              </w:numPr>
              <w:tabs>
                <w:tab w:val="left" w:pos="816"/>
              </w:tabs>
              <w:spacing w:line="276" w:lineRule="auto"/>
              <w:contextualSpacing/>
              <w:rPr>
                <w:rFonts w:ascii="Calibri" w:eastAsia="GulimChe" w:hAnsi="Calibri" w:cs="Calibri"/>
              </w:rPr>
            </w:pPr>
            <w:r>
              <w:rPr>
                <w:rFonts w:ascii="Calibri" w:eastAsia="GulimChe" w:hAnsi="Calibri" w:cs="Calibri"/>
              </w:rPr>
              <w:t>min. Ilość elementów: 192</w:t>
            </w:r>
          </w:p>
          <w:p w:rsidR="0078639D" w:rsidRDefault="004945CF">
            <w:pPr>
              <w:pStyle w:val="Akapitzlist"/>
              <w:numPr>
                <w:ilvl w:val="0"/>
                <w:numId w:val="52"/>
              </w:numPr>
              <w:spacing w:line="276" w:lineRule="auto"/>
              <w:contextualSpacing/>
              <w:rPr>
                <w:rFonts w:ascii="Calibri" w:eastAsia="GulimChe" w:hAnsi="Calibri" w:cs="Calibri"/>
              </w:rPr>
            </w:pPr>
            <w:r>
              <w:rPr>
                <w:rFonts w:ascii="Calibri" w:eastAsia="GulimChe" w:hAnsi="Calibri" w:cs="Calibri"/>
              </w:rPr>
              <w:t>min. Zakres częstotliwości: 1 – 7 MHz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głowicę microconvex dedykowana do badań pediatrycznych i neonatologicznych wykonaną w technologii monokryształu tzw. Pure Wave lub Single Crystal:</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 xml:space="preserve">min. zakres częstotliwości: </w:t>
            </w:r>
            <w:r>
              <w:rPr>
                <w:rFonts w:ascii="Calibri" w:eastAsia="Times New Roman" w:hAnsi="Calibri" w:cs="Calibri"/>
                <w:sz w:val="20"/>
                <w:szCs w:val="20"/>
              </w:rPr>
              <w:t xml:space="preserve">2 </w:t>
            </w:r>
            <w:r>
              <w:rPr>
                <w:rFonts w:ascii="Calibri" w:eastAsia="GulimChe" w:hAnsi="Calibri" w:cs="Calibri"/>
                <w:sz w:val="20"/>
                <w:szCs w:val="20"/>
              </w:rPr>
              <w:t xml:space="preserve">– 11 MHz </w:t>
            </w:r>
          </w:p>
          <w:p w:rsidR="0078639D" w:rsidRDefault="004945CF">
            <w:pPr>
              <w:numPr>
                <w:ilvl w:val="0"/>
                <w:numId w:val="53"/>
              </w:numPr>
              <w:spacing w:after="0" w:line="276" w:lineRule="auto"/>
              <w:rPr>
                <w:rFonts w:ascii="Calibri" w:eastAsia="GulimChe" w:hAnsi="Calibri" w:cs="Calibri"/>
                <w:sz w:val="20"/>
                <w:szCs w:val="20"/>
              </w:rPr>
            </w:pPr>
            <w:r>
              <w:rPr>
                <w:rFonts w:ascii="Calibri" w:eastAsia="GulimChe" w:hAnsi="Calibri" w:cs="Calibri"/>
                <w:sz w:val="20"/>
                <w:szCs w:val="20"/>
              </w:rPr>
              <w:t>min. kąt patrzenia głowicy: 100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obrazowanie panoramiczne</w:t>
            </w:r>
            <w:r>
              <w:rPr>
                <w:rFonts w:ascii="Calibri" w:eastAsia="GulimChe" w:hAnsi="Calibri" w:cs="Calibri"/>
                <w:spacing w:val="1"/>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obrazowanie z użyciem środka kontrastującego.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analizy ultradźwięków wzmocnionych kontrastem.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wzmacniające wizualizację igły biopsyjnej</w:t>
            </w:r>
            <w:r>
              <w:rPr>
                <w:rFonts w:ascii="Calibri" w:eastAsia="GulimChe" w:hAnsi="Calibri" w:cs="Calibri"/>
                <w:spacing w:val="1"/>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automatycznego pomiaru kompleksu IMT.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do automatycznej oceny żyły głównej dolnej.</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podłużnej z pomiarami Strain Ratio.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poprzecznej Shear Wave punktową.</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elastografii fali poprzecznej Shear Wave mapowaną kolorem.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automatycznego pomiaru stopnia stłuszczenia wątroby.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funkcję obrazowania 3D z tzw. „wolnej ręki”.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w:t>
            </w:r>
            <w:r>
              <w:rPr>
                <w:rFonts w:ascii="Calibri" w:eastAsia="GulimChe" w:hAnsi="Calibri" w:cs="Calibri"/>
                <w:spacing w:val="1"/>
                <w:sz w:val="20"/>
                <w:szCs w:val="20"/>
              </w:rPr>
              <w:t xml:space="preserve"> pakiet obrazowania trójwymiarowego 3D/4D. w tym funkcję zmiany położenia sztucznego źródła światła tzw. HD View, Fetus Realistic View.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oprogramowanie 3D/4D, które tworzy unikalny i przezroczysty obraz, uwidaczniający jednocześnie wewnętrzne i zewnętrzne struktury anatomiczne.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zaawansowane oprogramowanie 3D/4D do analizy i edycji uzyskanych projekcji.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automatyczne pomiary biometrii płodu: min. BPD, HC, AC, FL, HL, NT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automatyczne pomiary pęcherzyków w jajnikach.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Calibri" w:hAnsi="Calibri" w:cs="Calibri"/>
                <w:sz w:val="20"/>
                <w:szCs w:val="20"/>
              </w:rPr>
              <w:t>Możliwość rozbudowy o obrazowanie objętościowe serca płodu tzw. STIC.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Calibri" w:hAnsi="Calibri" w:cs="Calibri"/>
                <w:sz w:val="20"/>
                <w:szCs w:val="20"/>
              </w:rPr>
              <w:t>Możliwość rozbudowy o oprogramowanie do wydruku 3D.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GulimChe" w:hAnsi="Calibri" w:cs="Calibri"/>
                <w:sz w:val="20"/>
                <w:szCs w:val="20"/>
              </w:rPr>
              <w:t>Możliwość rozbudowy o Pakiet DICOM 3.0 (Storage, Worklista, Print, Send).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protokoły BIRADS.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protokoły TIRADS.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Stress Echo.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Strain Echo.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rozbudowy o wewnętrzne zintegrowane zasilanie bateryjne.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Drukarka termiczna (video) czarno-biała: Cyfrowy printer</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Zasilanie:</w:t>
            </w:r>
          </w:p>
          <w:p w:rsidR="0078639D" w:rsidRDefault="004945CF">
            <w:pPr>
              <w:pStyle w:val="Akapitzlist"/>
              <w:numPr>
                <w:ilvl w:val="0"/>
                <w:numId w:val="80"/>
              </w:numPr>
              <w:spacing w:line="276" w:lineRule="auto"/>
              <w:contextualSpacing/>
              <w:rPr>
                <w:rFonts w:ascii="Calibri" w:eastAsia="GulimChe" w:hAnsi="Calibri" w:cs="Calibri"/>
              </w:rPr>
            </w:pPr>
            <w:r>
              <w:rPr>
                <w:rFonts w:ascii="Calibri" w:eastAsia="GulimChe" w:hAnsi="Calibri" w:cs="Calibri"/>
              </w:rPr>
              <w:t>200 - 240V</w:t>
            </w:r>
          </w:p>
          <w:p w:rsidR="0078639D" w:rsidRDefault="004945CF">
            <w:pPr>
              <w:pStyle w:val="Akapitzlist"/>
              <w:numPr>
                <w:ilvl w:val="0"/>
                <w:numId w:val="80"/>
              </w:numPr>
              <w:spacing w:line="276" w:lineRule="auto"/>
              <w:contextualSpacing/>
              <w:rPr>
                <w:rFonts w:ascii="Calibri" w:eastAsia="GulimChe" w:hAnsi="Calibri" w:cs="Calibri"/>
              </w:rPr>
            </w:pPr>
            <w:r>
              <w:rPr>
                <w:rFonts w:ascii="Calibri" w:eastAsia="GulimChe" w:hAnsi="Calibri" w:cs="Calibri"/>
              </w:rPr>
              <w:t>50 – 60Hz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Pobór energii: max. 850 VA</w:t>
            </w:r>
          </w:p>
        </w:tc>
      </w:tr>
      <w:tr w:rsidR="0078639D">
        <w:trPr>
          <w:trHeight w:val="67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2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Gwarancja minimum 24 miesiące.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Oznaczenie sprzętu znakiem CE</w:t>
            </w:r>
          </w:p>
        </w:tc>
      </w:tr>
      <w:tr w:rsidR="0078639D">
        <w:trPr>
          <w:trHeight w:val="16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Montaż sprzętu.</w:t>
            </w:r>
          </w:p>
        </w:tc>
      </w:tr>
    </w:tbl>
    <w:p w:rsidR="0078639D" w:rsidRDefault="0078639D">
      <w:pPr>
        <w:spacing w:after="0"/>
        <w:outlineLvl w:val="0"/>
        <w:rPr>
          <w:b/>
        </w:rPr>
      </w:pPr>
    </w:p>
    <w:p w:rsidR="0078639D" w:rsidRDefault="004945CF">
      <w:pPr>
        <w:spacing w:after="0"/>
        <w:outlineLvl w:val="0"/>
        <w:rPr>
          <w:b/>
        </w:rPr>
      </w:pPr>
      <w:r>
        <w:rPr>
          <w:b/>
        </w:rPr>
        <w:t xml:space="preserve">Pakiet 5 Ultrasonograf przyłóżkowy </w:t>
      </w:r>
    </w:p>
    <w:tbl>
      <w:tblPr>
        <w:tblStyle w:val="Tabela-Siatka"/>
        <w:tblW w:w="10386" w:type="dxa"/>
        <w:tblInd w:w="113" w:type="dxa"/>
        <w:tblLayout w:type="fixed"/>
        <w:tblLook w:val="04A0"/>
      </w:tblPr>
      <w:tblGrid>
        <w:gridCol w:w="531"/>
        <w:gridCol w:w="9855"/>
      </w:tblGrid>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Aparat fabrycznie nowy, rok produkcji nie starszy niż 2025.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Nowoczesny przenośny aparat ultrasonograficzny wykonany z aluminium o wysokiej ergonomii ze zintegrowanym systemem archiwizacji i dyskiem SSD wyposażony w zasilanie bateryjne.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Autoryzacja producenta ultrasonografu dla dostawcy na dystrybucję oraz serwis dostarczonego ultrasonografu: min. 5 lat.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Wózek jezdny dedykowany dla aparatu umożliwiający łatwe przemieszczanie wyposażony w cztery koła skrętne z możliwością blokady, z uchwytami na głowice, żel ultrasonograficzny, miejscem </w:t>
            </w:r>
            <w:r w:rsidR="005A67F1">
              <w:rPr>
                <w:rFonts w:ascii="Calibri" w:eastAsia="GulimChe" w:hAnsi="Calibri" w:cs="Calibri"/>
                <w:sz w:val="20"/>
                <w:szCs w:val="20"/>
              </w:rPr>
              <w:t>montażu videoprintera</w:t>
            </w:r>
            <w:r>
              <w:rPr>
                <w:rFonts w:ascii="Calibri" w:eastAsia="GulimChe" w:hAnsi="Calibri" w:cs="Calibri"/>
                <w:sz w:val="20"/>
                <w:szCs w:val="20"/>
              </w:rPr>
              <w:t>: regulacja wysokości: min. 10 cm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Tradycyjne (nie cyfrowe na ekranie dotykowym) suwaki TGC do regulacji wzmocnienia w zależności od głębokości obrazowania.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GulimChe" w:hAnsi="Calibri" w:cs="Calibri"/>
                <w:sz w:val="20"/>
                <w:szCs w:val="20"/>
              </w:rPr>
              <w:t>Czas uruchamiania aparatu do stanu gotowości do badania: max. 90 sekund.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Monitor IPS LED, wysokiej rozdzielczości, kolorowy:</w:t>
            </w:r>
          </w:p>
          <w:p w:rsidR="0078639D" w:rsidRDefault="004945CF">
            <w:pPr>
              <w:pStyle w:val="Akapitzlist"/>
              <w:numPr>
                <w:ilvl w:val="0"/>
                <w:numId w:val="81"/>
              </w:numPr>
              <w:spacing w:line="276" w:lineRule="auto"/>
              <w:contextualSpacing/>
              <w:rPr>
                <w:rFonts w:ascii="Calibri" w:eastAsia="GulimChe" w:hAnsi="Calibri" w:cs="Calibri"/>
              </w:rPr>
            </w:pPr>
            <w:r>
              <w:rPr>
                <w:rFonts w:ascii="Calibri" w:eastAsia="GulimChe" w:hAnsi="Calibri" w:cs="Calibri"/>
              </w:rPr>
              <w:t>przekątna min. 15,6”</w:t>
            </w:r>
          </w:p>
          <w:p w:rsidR="0078639D" w:rsidRDefault="004945CF">
            <w:pPr>
              <w:pStyle w:val="Akapitzlist"/>
              <w:numPr>
                <w:ilvl w:val="0"/>
                <w:numId w:val="81"/>
              </w:numPr>
              <w:spacing w:line="276" w:lineRule="auto"/>
              <w:contextualSpacing/>
              <w:rPr>
                <w:rFonts w:ascii="Calibri" w:hAnsi="Calibri" w:cs="Calibri"/>
                <w:b/>
              </w:rPr>
            </w:pPr>
            <w:r>
              <w:rPr>
                <w:rFonts w:ascii="Calibri" w:eastAsia="GulimChe" w:hAnsi="Calibri" w:cs="Calibri"/>
              </w:rPr>
              <w:t>rozdzielczość min. 1920 x 1080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regulacji wielkości okna diagnostycznego.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 StandBy (SLEEP) umożliwiający szybkie uruchomienie (wybudzenie) aparatu: Czas wybudzenia max. 15 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Ilość niezależnych aktywnych kanałów przetwarzania: min. 3 500 000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programowania funkcji przypisanych do klawiszy funkcyjnych aparatu: min. 4 programowalne klawisze.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System z cyfrowym układem formowania wiązki ultradźwiękowej: min. 14 bit ADC.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częstotliwości pracy głowic możliwych do podłączenie: min. 1-25 MHz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wartość dynamiki w trybie B – mode: min. 310 dB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Bezpinowe złącza głowic.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Ilość niezależnych aktywnych gniazd do jednoczesnego podłączenia głowic obrazowych: min. 2</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 xml:space="preserve">Maksymalna częstotliwość odświeżania obrazu „frame rate” dla trybu B (obrazów/sekundę): </w:t>
            </w:r>
            <w:r>
              <w:rPr>
                <w:rFonts w:ascii="Calibri" w:eastAsia="GulimChe" w:hAnsi="Calibri" w:cs="Calibri"/>
                <w:sz w:val="20"/>
                <w:szCs w:val="20"/>
              </w:rPr>
              <w:t>min. 2700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CD (obrazów/sekundę): </w:t>
            </w:r>
            <w:r>
              <w:rPr>
                <w:rFonts w:ascii="Calibri" w:eastAsia="GulimChe" w:hAnsi="Calibri" w:cs="Calibri"/>
                <w:sz w:val="20"/>
                <w:szCs w:val="20"/>
              </w:rPr>
              <w:t>min. 500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Maksymalna częstotliwość odświeżania obrazu „frame rate” dla trybu PW (obrazów/sekundę): </w:t>
            </w:r>
            <w:r>
              <w:rPr>
                <w:rFonts w:ascii="Calibri" w:eastAsia="GulimChe" w:hAnsi="Calibri" w:cs="Calibri"/>
                <w:sz w:val="20"/>
                <w:szCs w:val="20"/>
              </w:rPr>
              <w:t>min. 280 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Color Doppler (CD): min. 4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Pulsacyjny (PWD): min. 7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prędkości Doppler Ciągły (CW): min. 30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GulimChe" w:hAnsi="Calibri" w:cs="Calibri"/>
                <w:sz w:val="20"/>
                <w:szCs w:val="20"/>
              </w:rPr>
              <w:t>Maks. wartość częstotliwości PRF dla Dopplera Kolorowego (CD): min. 18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Pulsacyjnego (PWD): min. 30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 wartość częstotliwości PRF dla Dopplera Ciągłego (CW) min. 75 kHz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regulacji kąta korekcji w trybie Dopplera Spektralnego (PWD) min. +/- 89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Zakres wielkości bramki Dopplerowskiej w trybie Dopplera pulsacyjnego (PWD) min. 0,2 - 25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głębokość obrazowania aparatu min. 41 cm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Liczba obrazów pamięci dynamicznej (CINE MEMORY) min. 60000 obrazów w trybie 2D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Tryby pracy aparatu:</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2D (B-mode),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Anatomiczny M-Mode,</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Color Doppler (CD),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Power Doppler (PD),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 xml:space="preserve">Tkankowy Doppler (TDI), </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Kierunkowy Power Doppler (DPD),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Spektralny Doppler Pulsacyjny (PWD),</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Ciągły Doppler (CW)</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TRIPLEX,</w:t>
            </w:r>
          </w:p>
          <w:p w:rsidR="0078639D" w:rsidRDefault="004945CF">
            <w:pPr>
              <w:numPr>
                <w:ilvl w:val="0"/>
                <w:numId w:val="49"/>
              </w:numPr>
              <w:spacing w:after="0" w:line="276" w:lineRule="auto"/>
              <w:rPr>
                <w:rFonts w:ascii="Calibri" w:eastAsia="GulimChe" w:hAnsi="Calibri" w:cs="Calibri"/>
                <w:sz w:val="20"/>
                <w:szCs w:val="20"/>
              </w:rPr>
            </w:pPr>
            <w:r>
              <w:rPr>
                <w:rFonts w:ascii="Calibri" w:eastAsia="GulimChe" w:hAnsi="Calibri" w:cs="Calibri"/>
                <w:sz w:val="20"/>
                <w:szCs w:val="20"/>
              </w:rPr>
              <w:t>DUPLEX.</w:t>
            </w:r>
          </w:p>
          <w:p w:rsidR="0078639D" w:rsidRDefault="004945CF">
            <w:pPr>
              <w:pStyle w:val="Akapitzlist"/>
              <w:numPr>
                <w:ilvl w:val="0"/>
                <w:numId w:val="49"/>
              </w:numPr>
              <w:spacing w:line="276" w:lineRule="auto"/>
              <w:contextualSpacing/>
              <w:rPr>
                <w:rFonts w:ascii="Calibri" w:eastAsia="GulimChe" w:hAnsi="Calibri" w:cs="Calibri"/>
              </w:rPr>
            </w:pPr>
            <w:r>
              <w:rPr>
                <w:rFonts w:ascii="Calibri" w:eastAsia="GulimChe" w:hAnsi="Calibri" w:cs="Calibri"/>
              </w:rPr>
              <w:t>Tryb Fullscreen umożliwiający wyświetlanie obrazu na pełnym ekranie zarówno w czasie rzeczywistym jak i po zamrożeniu.</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8 częstotliwości bazowych dla trybu B-Mode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4 częstotliwości bazowe dla trybu CD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Funkcja automatycznej optymalizacji obrazu oraz trybów Dopplerowskich przy użyciu jednego przycisku.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krzyżowe Spatial Compound/Cross Beam na głowicach: convex, liniowa, endowaginalna, Microconvex działające w trybie 2D oraz trybach dopplerowskich. Ustawienia indeksu min. 3 stopni ustawień.</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Obrazowanie typu MR wygładzające obraz tzw. SonoMR lub jego ekwiwalent o analogicznej funkcjonalności.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regulacji stopnia udziału algorytmu SonoMR. Ustawienia indeksu min. 5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Maksymalna ilość ognisk głowicy pracujących jednocześnie min. 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Zoom dla obrazów na żywo </w:t>
            </w:r>
            <w:r>
              <w:rPr>
                <w:rFonts w:ascii="Calibri" w:eastAsia="Times New Roman" w:hAnsi="Calibri" w:cs="Calibri"/>
                <w:sz w:val="20"/>
                <w:szCs w:val="20"/>
              </w:rPr>
              <w:t>min. 20 krotny.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Oprogramowanie pomiarowe wraz z raportami z badań (dla każdego pakietu, z możliwością edycji):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Piersi,</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Naczyniowe,</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Kardiologiczne,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Ortopedyczne, </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 xml:space="preserve">Tarczycy, </w:t>
            </w:r>
          </w:p>
          <w:p w:rsidR="0078639D" w:rsidRDefault="004945CF">
            <w:pPr>
              <w:numPr>
                <w:ilvl w:val="0"/>
                <w:numId w:val="27"/>
              </w:numPr>
              <w:tabs>
                <w:tab w:val="left" w:pos="0"/>
              </w:tabs>
              <w:spacing w:after="0" w:line="276" w:lineRule="auto"/>
              <w:ind w:left="720"/>
              <w:rPr>
                <w:rFonts w:ascii="Calibri" w:hAnsi="Calibri" w:cs="Calibri"/>
                <w:sz w:val="20"/>
                <w:szCs w:val="20"/>
              </w:rPr>
            </w:pPr>
            <w:r>
              <w:rPr>
                <w:rFonts w:ascii="Calibri" w:eastAsia="GulimChe" w:hAnsi="Calibri" w:cs="Calibri"/>
                <w:sz w:val="20"/>
                <w:szCs w:val="20"/>
              </w:rPr>
              <w:lastRenderedPageBreak/>
              <w:t>Jąder</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Położniczych,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Ginekologicznych,</w:t>
            </w:r>
          </w:p>
          <w:p w:rsidR="0078639D" w:rsidRDefault="004945CF">
            <w:pPr>
              <w:numPr>
                <w:ilvl w:val="0"/>
                <w:numId w:val="27"/>
              </w:numPr>
              <w:tabs>
                <w:tab w:val="left" w:pos="0"/>
              </w:tabs>
              <w:spacing w:after="0" w:line="276" w:lineRule="auto"/>
              <w:ind w:left="720"/>
              <w:rPr>
                <w:rFonts w:ascii="Calibri" w:eastAsia="GulimChe" w:hAnsi="Calibri" w:cs="Calibri"/>
                <w:sz w:val="20"/>
                <w:szCs w:val="20"/>
              </w:rPr>
            </w:pPr>
            <w:r>
              <w:rPr>
                <w:rFonts w:ascii="Calibri" w:eastAsia="GulimChe" w:hAnsi="Calibri" w:cs="Calibri"/>
                <w:sz w:val="20"/>
                <w:szCs w:val="20"/>
              </w:rPr>
              <w:t>Urologicznych,</w:t>
            </w:r>
          </w:p>
          <w:p w:rsidR="0078639D" w:rsidRDefault="004945CF">
            <w:pPr>
              <w:pStyle w:val="Akapitzlist"/>
              <w:numPr>
                <w:ilvl w:val="0"/>
                <w:numId w:val="27"/>
              </w:numPr>
              <w:tabs>
                <w:tab w:val="left" w:pos="0"/>
              </w:tabs>
              <w:spacing w:line="276" w:lineRule="auto"/>
              <w:ind w:left="720"/>
              <w:contextualSpacing/>
              <w:rPr>
                <w:rFonts w:ascii="Calibri" w:eastAsia="GulimChe" w:hAnsi="Calibri" w:cs="Calibri"/>
              </w:rPr>
            </w:pPr>
            <w:r>
              <w:rPr>
                <w:rFonts w:ascii="Calibri" w:eastAsia="GulimChe" w:hAnsi="Calibri" w:cs="Calibri"/>
              </w:rPr>
              <w:t>Jamy brzusznej.</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Automatyczne pomiary prędkości przepływów.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Pomiary odległości, pola powierzchni, objętości, obrysu.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Zintegrowany (wbudowany w aparat) system archiwizacji pacjentów i obrazów z portami USB na przedniej lub bocznej ścianie aparatu. Możliwość nagrywania badań na żywo na PENDRIVE (pamięć USB).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Aparat ultrasonograficzny umożliwiający zapis badań na nośnikach typu PENDRIVE w trybie Real-Time Recording.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Wbudowany dysk twardy typu SSD min. 500 GB</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Możliwość zapisu obrazów oraz sekwencji filmowych na dysk twardy oraz płyty CD, DVD, pamięci PEN w formatach BMP, JPG, TIFF, MPEG, AVI.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Wyjście (output) sygnałów: HDMI.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Porty USB w standardzie 3.0 min. 2</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54" w:type="dxa"/>
            <w:vAlign w:val="center"/>
          </w:tcPr>
          <w:p w:rsidR="0078639D" w:rsidRDefault="004945CF">
            <w:pPr>
              <w:spacing w:after="0" w:line="276" w:lineRule="auto"/>
              <w:rPr>
                <w:rFonts w:ascii="Calibri" w:eastAsia="GulimChe" w:hAnsi="Calibri" w:cs="Calibri"/>
                <w:sz w:val="20"/>
                <w:szCs w:val="20"/>
                <w:lang w:val="en-US"/>
              </w:rPr>
            </w:pPr>
            <w:r>
              <w:rPr>
                <w:rFonts w:ascii="Calibri" w:eastAsia="GulimChe" w:hAnsi="Calibri" w:cs="Calibri"/>
                <w:sz w:val="20"/>
                <w:szCs w:val="20"/>
              </w:rPr>
              <w:t xml:space="preserve">Głowica liniowa wykonana w technologii monokryształu tzw. </w:t>
            </w:r>
            <w:r>
              <w:rPr>
                <w:rFonts w:ascii="Calibri" w:eastAsia="GulimChe" w:hAnsi="Calibri" w:cs="Calibri"/>
                <w:sz w:val="20"/>
                <w:szCs w:val="20"/>
                <w:lang w:val="en-US"/>
              </w:rPr>
              <w:t xml:space="preserve">Pure Wave lub Single Crystal: </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min. Ilość elementów: 192</w:t>
            </w:r>
          </w:p>
          <w:p w:rsidR="0078639D" w:rsidRDefault="004945CF">
            <w:pPr>
              <w:numPr>
                <w:ilvl w:val="0"/>
                <w:numId w:val="50"/>
              </w:numPr>
              <w:tabs>
                <w:tab w:val="clear" w:pos="720"/>
                <w:tab w:val="left" w:pos="0"/>
              </w:tabs>
              <w:spacing w:after="0" w:line="276" w:lineRule="auto"/>
              <w:rPr>
                <w:rFonts w:ascii="Calibri" w:hAnsi="Calibri" w:cs="Calibri"/>
                <w:sz w:val="20"/>
                <w:szCs w:val="20"/>
              </w:rPr>
            </w:pPr>
            <w:r>
              <w:rPr>
                <w:rFonts w:ascii="Calibri" w:eastAsia="GulimChe" w:hAnsi="Calibri" w:cs="Calibri"/>
                <w:sz w:val="20"/>
                <w:szCs w:val="20"/>
              </w:rPr>
              <w:t xml:space="preserve">min. zakres częstotliwości: 3 – 19 MHz </w:t>
            </w:r>
          </w:p>
          <w:p w:rsidR="0078639D" w:rsidRDefault="004945CF">
            <w:pPr>
              <w:pStyle w:val="Akapitzlist"/>
              <w:numPr>
                <w:ilvl w:val="0"/>
                <w:numId w:val="50"/>
              </w:numPr>
              <w:tabs>
                <w:tab w:val="clear" w:pos="720"/>
                <w:tab w:val="left" w:pos="0"/>
              </w:tabs>
              <w:spacing w:line="276" w:lineRule="auto"/>
              <w:contextualSpacing/>
              <w:rPr>
                <w:rFonts w:ascii="Calibri" w:eastAsia="GulimChe" w:hAnsi="Calibri" w:cs="Calibri"/>
              </w:rPr>
            </w:pPr>
            <w:r>
              <w:rPr>
                <w:rFonts w:ascii="Calibri" w:hAnsi="Calibri" w:cs="Calibri"/>
              </w:rPr>
              <w:t>max. szerokość czoła głowicy: 45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GulimChe" w:hAnsi="Calibri" w:cs="Calibri"/>
                <w:sz w:val="20"/>
                <w:szCs w:val="20"/>
              </w:rPr>
              <w:t xml:space="preserve">Możliwość rozbudowy o głowice liniową wysokoczęstotliwościowa dedykowana do powierzchownej diagnostyki: </w:t>
            </w:r>
          </w:p>
          <w:p w:rsidR="0078639D" w:rsidRDefault="004945CF">
            <w:pPr>
              <w:numPr>
                <w:ilvl w:val="0"/>
                <w:numId w:val="78"/>
              </w:numPr>
              <w:spacing w:after="0" w:line="276" w:lineRule="auto"/>
              <w:rPr>
                <w:rFonts w:ascii="Calibri" w:eastAsia="GulimChe" w:hAnsi="Calibri" w:cs="Calibri"/>
                <w:sz w:val="20"/>
                <w:szCs w:val="20"/>
              </w:rPr>
            </w:pPr>
            <w:r>
              <w:rPr>
                <w:rFonts w:ascii="Calibri" w:eastAsia="GulimChe" w:hAnsi="Calibri" w:cs="Calibri"/>
                <w:sz w:val="20"/>
                <w:szCs w:val="20"/>
              </w:rPr>
              <w:t>min. Ilość elementów: 192</w:t>
            </w:r>
          </w:p>
          <w:p w:rsidR="0078639D" w:rsidRDefault="004945CF">
            <w:pPr>
              <w:numPr>
                <w:ilvl w:val="0"/>
                <w:numId w:val="78"/>
              </w:numPr>
              <w:spacing w:after="0" w:line="276" w:lineRule="auto"/>
              <w:rPr>
                <w:rFonts w:ascii="Calibri" w:hAnsi="Calibri" w:cs="Calibri"/>
                <w:sz w:val="20"/>
                <w:szCs w:val="20"/>
              </w:rPr>
            </w:pPr>
            <w:r>
              <w:rPr>
                <w:rFonts w:ascii="Calibri" w:eastAsia="GulimChe" w:hAnsi="Calibri" w:cs="Calibri"/>
                <w:sz w:val="20"/>
                <w:szCs w:val="20"/>
              </w:rPr>
              <w:t xml:space="preserve">min. zakres częstotliwości: 10 – 25 MHz </w:t>
            </w:r>
          </w:p>
          <w:p w:rsidR="0078639D" w:rsidRDefault="004945CF">
            <w:pPr>
              <w:pStyle w:val="Akapitzlist"/>
              <w:numPr>
                <w:ilvl w:val="0"/>
                <w:numId w:val="78"/>
              </w:numPr>
              <w:spacing w:line="276" w:lineRule="auto"/>
              <w:contextualSpacing/>
              <w:rPr>
                <w:rFonts w:ascii="Calibri" w:eastAsia="GulimChe" w:hAnsi="Calibri" w:cs="Calibri"/>
              </w:rPr>
            </w:pPr>
            <w:r>
              <w:rPr>
                <w:rFonts w:ascii="Calibri" w:hAnsi="Calibri" w:cs="Calibri"/>
              </w:rPr>
              <w:t>max. szerokość czoła głowicy: 35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Głowica convex do badań jamy brzusznej wykonana w technologii monokryształu tzw. Pure Wave lub Single Crystal.</w:t>
            </w:r>
          </w:p>
          <w:p w:rsidR="0078639D" w:rsidRDefault="004945CF">
            <w:pPr>
              <w:pStyle w:val="Akapitzlist"/>
              <w:numPr>
                <w:ilvl w:val="0"/>
                <w:numId w:val="52"/>
              </w:numPr>
              <w:tabs>
                <w:tab w:val="left" w:pos="816"/>
              </w:tabs>
              <w:spacing w:line="276" w:lineRule="auto"/>
              <w:contextualSpacing/>
              <w:rPr>
                <w:rFonts w:ascii="Calibri" w:eastAsia="GulimChe" w:hAnsi="Calibri" w:cs="Calibri"/>
              </w:rPr>
            </w:pPr>
            <w:r>
              <w:rPr>
                <w:rFonts w:ascii="Calibri" w:eastAsia="GulimChe" w:hAnsi="Calibri" w:cs="Calibri"/>
              </w:rPr>
              <w:t>min. Ilość elementów: 192</w:t>
            </w:r>
          </w:p>
          <w:p w:rsidR="0078639D" w:rsidRDefault="004945CF">
            <w:pPr>
              <w:pStyle w:val="Akapitzlist"/>
              <w:numPr>
                <w:ilvl w:val="0"/>
                <w:numId w:val="52"/>
              </w:numPr>
              <w:tabs>
                <w:tab w:val="left" w:pos="816"/>
              </w:tabs>
              <w:spacing w:line="276" w:lineRule="auto"/>
              <w:contextualSpacing/>
              <w:rPr>
                <w:rFonts w:ascii="Calibri" w:hAnsi="Calibri" w:cs="Calibri"/>
              </w:rPr>
            </w:pPr>
            <w:r>
              <w:rPr>
                <w:rFonts w:ascii="Calibri" w:eastAsia="GulimChe" w:hAnsi="Calibri" w:cs="Calibri"/>
              </w:rPr>
              <w:t>min. Zakres częstotliwości: 1 – 7 MHz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Głowica sektorowa do diagnostyki kardiologicznej wykonana w technologii monokryształu tzw. Pure Wave lub Single Crystal:</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min. Ilość elementów: 80</w:t>
            </w:r>
          </w:p>
          <w:p w:rsidR="0078639D" w:rsidRDefault="004945CF">
            <w:pPr>
              <w:pStyle w:val="Akapitzlist"/>
              <w:numPr>
                <w:ilvl w:val="0"/>
                <w:numId w:val="53"/>
              </w:numPr>
              <w:spacing w:line="276" w:lineRule="auto"/>
              <w:contextualSpacing/>
              <w:rPr>
                <w:rFonts w:ascii="Calibri" w:hAnsi="Calibri" w:cs="Calibri"/>
              </w:rPr>
            </w:pPr>
            <w:r>
              <w:rPr>
                <w:rFonts w:ascii="Calibri" w:eastAsia="GulimChe" w:hAnsi="Calibri" w:cs="Calibri"/>
              </w:rPr>
              <w:t xml:space="preserve">min. zakres częstotliwości: 1 – 5 MHz </w:t>
            </w:r>
          </w:p>
          <w:p w:rsidR="0078639D" w:rsidRDefault="004945CF">
            <w:pPr>
              <w:pStyle w:val="Akapitzlist"/>
              <w:numPr>
                <w:ilvl w:val="0"/>
                <w:numId w:val="53"/>
              </w:numPr>
              <w:spacing w:line="276" w:lineRule="auto"/>
              <w:contextualSpacing/>
              <w:rPr>
                <w:rFonts w:ascii="Calibri" w:eastAsia="GulimChe" w:hAnsi="Calibri" w:cs="Calibri"/>
              </w:rPr>
            </w:pPr>
            <w:r>
              <w:rPr>
                <w:rFonts w:ascii="Calibri" w:hAnsi="Calibri" w:cs="Calibri"/>
              </w:rPr>
              <w:t>min. pole widzenia głowicy: 90 stopni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Specjalny tryb obrazowania dedykowany do mikroprzepływów tzw. Mikrowaskularyzacja inny niż tryb Color i Power Doppler.</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obrazowanie panoramiczne</w:t>
            </w:r>
            <w:r>
              <w:rPr>
                <w:rFonts w:ascii="Calibri" w:eastAsia="GulimChe" w:hAnsi="Calibri" w:cs="Calibri"/>
                <w:spacing w:val="1"/>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obrazowanie z użyciem środka kontrastującego.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oprogramowanie wzmacniające wizualizację igły biopsyjnej</w:t>
            </w:r>
            <w:r>
              <w:rPr>
                <w:rFonts w:ascii="Calibri" w:eastAsia="GulimChe" w:hAnsi="Calibri" w:cs="Calibri"/>
                <w:spacing w:val="1"/>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oprogramowanie do automatycznego pomiaru kompleksu IMT.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funkcję elastografii fali podłużnej z pomiarami Strain Ratio.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automatyczne pomiary biometrii płodu: Min. BPD, HC, AC, FL, HL, NT.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automatyczne pomiary pęcherzyków w jajnikach.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a</w:t>
            </w:r>
            <w:r>
              <w:rPr>
                <w:rFonts w:ascii="Calibri" w:eastAsia="Calibri" w:hAnsi="Calibri" w:cs="Calibri"/>
                <w:sz w:val="20"/>
                <w:szCs w:val="20"/>
              </w:rPr>
              <w:t>utomatyczny pomiar frakcji wyrzutowej EF.</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Stress Echo.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o</w:t>
            </w:r>
            <w:r>
              <w:rPr>
                <w:rFonts w:ascii="Calibri" w:eastAsia="Calibri" w:hAnsi="Calibri" w:cs="Calibri"/>
                <w:sz w:val="20"/>
                <w:szCs w:val="20"/>
              </w:rPr>
              <w:t>programowanie Strain Echo.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zintegrowany z ultrasonografem moduł EKG.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Pakiet DICOM 3.0 (Storage, Worklista, Print, Send).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protokoły BIRADS.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protokoły TIRADS.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Możliwość rozbudowy o walizkę do transportu dedykowaną dla aparatu z miejscem na głowice oraz zasilacz.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Drukarka termiczna (video) czarno-biała: Cyfrowy printer</w:t>
            </w:r>
          </w:p>
        </w:tc>
      </w:tr>
      <w:tr w:rsidR="0078639D">
        <w:trPr>
          <w:trHeight w:val="88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67.</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Zasilanie:</w:t>
            </w:r>
          </w:p>
          <w:p w:rsidR="0078639D" w:rsidRDefault="004945CF">
            <w:pPr>
              <w:pStyle w:val="Akapitzlist"/>
              <w:numPr>
                <w:ilvl w:val="0"/>
                <w:numId w:val="51"/>
              </w:numPr>
              <w:tabs>
                <w:tab w:val="left" w:pos="0"/>
              </w:tabs>
              <w:spacing w:line="276" w:lineRule="auto"/>
              <w:ind w:left="720"/>
              <w:contextualSpacing/>
              <w:rPr>
                <w:rFonts w:ascii="Calibri" w:eastAsia="GulimChe" w:hAnsi="Calibri" w:cs="Calibri"/>
              </w:rPr>
            </w:pPr>
            <w:r>
              <w:rPr>
                <w:rFonts w:ascii="Calibri" w:eastAsia="GulimChe" w:hAnsi="Calibri" w:cs="Calibri"/>
              </w:rPr>
              <w:t>100 - 240V</w:t>
            </w:r>
          </w:p>
          <w:p w:rsidR="0078639D" w:rsidRDefault="004945CF">
            <w:pPr>
              <w:pStyle w:val="Akapitzlist"/>
              <w:numPr>
                <w:ilvl w:val="0"/>
                <w:numId w:val="51"/>
              </w:numPr>
              <w:tabs>
                <w:tab w:val="left" w:pos="0"/>
              </w:tabs>
              <w:spacing w:line="276" w:lineRule="auto"/>
              <w:ind w:left="720"/>
              <w:contextualSpacing/>
              <w:rPr>
                <w:rFonts w:ascii="Calibri" w:eastAsia="GulimChe" w:hAnsi="Calibri" w:cs="Calibri"/>
              </w:rPr>
            </w:pPr>
            <w:r>
              <w:rPr>
                <w:rFonts w:ascii="Calibri" w:eastAsia="GulimChe" w:hAnsi="Calibri" w:cs="Calibri"/>
              </w:rPr>
              <w:t>50 – 60Hz</w:t>
            </w:r>
          </w:p>
        </w:tc>
      </w:tr>
      <w:tr w:rsidR="0078639D">
        <w:trPr>
          <w:trHeight w:val="55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9854" w:type="dxa"/>
            <w:vAlign w:val="center"/>
          </w:tcPr>
          <w:p w:rsidR="0078639D" w:rsidRDefault="004945CF">
            <w:pPr>
              <w:spacing w:after="0" w:line="276" w:lineRule="auto"/>
              <w:rPr>
                <w:rFonts w:ascii="Calibri" w:eastAsia="GulimChe"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Gwarancja minimum 24 miesiące.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Oznaczenie sprzętu znakiem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9854" w:type="dxa"/>
            <w:vAlign w:val="center"/>
          </w:tcPr>
          <w:p w:rsidR="0078639D" w:rsidRDefault="004945CF">
            <w:pPr>
              <w:numPr>
                <w:ilvl w:val="0"/>
                <w:numId w:val="51"/>
              </w:numPr>
              <w:tabs>
                <w:tab w:val="left" w:pos="0"/>
              </w:tabs>
              <w:spacing w:after="0" w:line="276" w:lineRule="auto"/>
              <w:ind w:left="0"/>
              <w:rPr>
                <w:rFonts w:ascii="Calibri" w:eastAsia="GulimChe" w:hAnsi="Calibri" w:cs="Calibri"/>
                <w:sz w:val="20"/>
                <w:szCs w:val="20"/>
              </w:rPr>
            </w:pPr>
            <w:r>
              <w:rPr>
                <w:rFonts w:ascii="Calibri" w:eastAsia="GulimChe" w:hAnsi="Calibri" w:cs="Calibri"/>
                <w:sz w:val="20"/>
                <w:szCs w:val="20"/>
              </w:rPr>
              <w:t>Montaż sprzętu.</w:t>
            </w:r>
          </w:p>
        </w:tc>
      </w:tr>
    </w:tbl>
    <w:p w:rsidR="0078639D" w:rsidRDefault="0078639D">
      <w:pPr>
        <w:spacing w:after="0"/>
        <w:outlineLvl w:val="0"/>
        <w:rPr>
          <w:b/>
        </w:rPr>
      </w:pPr>
    </w:p>
    <w:p w:rsidR="0078639D" w:rsidRDefault="004945CF">
      <w:pPr>
        <w:spacing w:after="0"/>
        <w:outlineLvl w:val="0"/>
        <w:rPr>
          <w:b/>
        </w:rPr>
      </w:pPr>
      <w:r>
        <w:rPr>
          <w:b/>
        </w:rPr>
        <w:t xml:space="preserve">Pakiet 6 Spirometr </w:t>
      </w:r>
    </w:p>
    <w:tbl>
      <w:tblPr>
        <w:tblStyle w:val="Tabela-Siatka"/>
        <w:tblW w:w="10386" w:type="dxa"/>
        <w:tblInd w:w="113" w:type="dxa"/>
        <w:tblLayout w:type="fixed"/>
        <w:tblLook w:val="04A0"/>
      </w:tblPr>
      <w:tblGrid>
        <w:gridCol w:w="531"/>
        <w:gridCol w:w="9855"/>
      </w:tblGrid>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sz w:val="20"/>
                <w:szCs w:val="20"/>
              </w:rPr>
            </w:pPr>
            <w:r>
              <w:rPr>
                <w:rStyle w:val="t286pc"/>
                <w:rFonts w:ascii="Calibri" w:eastAsia="Times New Roman" w:hAnsi="Calibri" w:cs="Calibri"/>
                <w:sz w:val="20"/>
                <w:szCs w:val="20"/>
              </w:rPr>
              <w:t>Urządzenie przenośne zintegrowane z kolorowym ekranem dotykowym, klawiaturą alfanumeryczną oraz drukarką termiczną.</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Kolorowy wyświetlacz LCD TFT min. 7” o rozdzielczości 800x480 z panelem dotykowym.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Pełna klawiatura alfanumeryczna umożliwiająca opisanie badania i danych pacjenta.</w:t>
            </w:r>
          </w:p>
        </w:tc>
      </w:tr>
      <w:tr w:rsidR="0078639D">
        <w:trPr>
          <w:trHeight w:val="9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Baza danych o pojemności co najmniej </w:t>
            </w:r>
            <w:r>
              <w:rPr>
                <w:rStyle w:val="Pogrubienie"/>
                <w:rFonts w:ascii="Calibri" w:eastAsia="Times New Roman" w:hAnsi="Calibri" w:cs="Calibri"/>
                <w:sz w:val="20"/>
                <w:szCs w:val="20"/>
              </w:rPr>
              <w:t>1000 pacjentów/badań.</w:t>
            </w: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Style w:val="t286pc"/>
                <w:rFonts w:ascii="Calibri" w:hAnsi="Calibri" w:cs="Calibri"/>
                <w:sz w:val="20"/>
                <w:szCs w:val="20"/>
              </w:rPr>
            </w:pPr>
            <w:r>
              <w:rPr>
                <w:rStyle w:val="Pogrubienie"/>
                <w:rFonts w:ascii="Calibri" w:eastAsia="Times New Roman" w:hAnsi="Calibri" w:cs="Calibri"/>
                <w:sz w:val="20"/>
                <w:szCs w:val="20"/>
              </w:rPr>
              <w:t>Wymiary i waga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 258 x 200 x 53 mm; waga ok. 1,3 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Wbudowana drukarka termiczna na papier o szerokości </w:t>
            </w:r>
            <w:r>
              <w:rPr>
                <w:rStyle w:val="Pogrubienie"/>
                <w:rFonts w:ascii="Calibri" w:eastAsia="Times New Roman" w:hAnsi="Calibri" w:cs="Calibri"/>
                <w:sz w:val="20"/>
                <w:szCs w:val="20"/>
              </w:rPr>
              <w:t>112 mm</w:t>
            </w:r>
            <w:r>
              <w:rPr>
                <w:rStyle w:val="t286pc"/>
                <w:rFonts w:ascii="Calibri" w:eastAsia="Times New Roman" w:hAnsi="Calibri" w:cs="Calibri"/>
                <w:sz w:val="20"/>
                <w:szCs w:val="20"/>
              </w:rPr>
              <w:t xml:space="preserve"> </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line="276" w:lineRule="auto"/>
              <w:rPr>
                <w:rStyle w:val="t286pc"/>
                <w:rFonts w:ascii="Calibri" w:hAnsi="Calibri" w:cs="Calibri"/>
                <w:sz w:val="20"/>
                <w:szCs w:val="20"/>
              </w:rPr>
            </w:pPr>
            <w:r>
              <w:rPr>
                <w:rStyle w:val="Pogrubienie"/>
                <w:rFonts w:ascii="Calibri" w:eastAsia="Times New Roman" w:hAnsi="Calibri" w:cs="Calibri"/>
                <w:sz w:val="20"/>
                <w:szCs w:val="20"/>
              </w:rPr>
              <w:t>Zasilanie:</w:t>
            </w:r>
            <w:r>
              <w:rPr>
                <w:rStyle w:val="t286pc"/>
                <w:rFonts w:ascii="Calibri" w:eastAsia="Times New Roman" w:hAnsi="Calibri" w:cs="Calibri"/>
                <w:sz w:val="20"/>
                <w:szCs w:val="20"/>
              </w:rPr>
              <w:t xml:space="preserve"> Sieciowo-akumulatorowe; wbudowany akumulator Li-ION zapewniający wykonanie min. 130 badań bez zasilania zewnętrznego.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t286pc"/>
                <w:rFonts w:ascii="Calibri" w:eastAsia="Times New Roman" w:hAnsi="Calibri" w:cs="Calibri"/>
                <w:sz w:val="20"/>
                <w:szCs w:val="20"/>
              </w:rPr>
              <w:t xml:space="preserve">Wbudowany moduł </w:t>
            </w:r>
            <w:r>
              <w:rPr>
                <w:rStyle w:val="Pogrubienie"/>
                <w:rFonts w:ascii="Calibri" w:eastAsia="Times New Roman" w:hAnsi="Calibri" w:cs="Calibri"/>
                <w:sz w:val="20"/>
                <w:szCs w:val="20"/>
              </w:rPr>
              <w:t>Wi-Fi</w:t>
            </w:r>
            <w:r>
              <w:rPr>
                <w:rStyle w:val="t286pc"/>
                <w:rFonts w:ascii="Calibri" w:eastAsia="Times New Roman" w:hAnsi="Calibri" w:cs="Calibri"/>
                <w:b/>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Gniazdo LAN (Ethernet), min. 1 port USB (obsługa pamięci zewnętrznych/pendrive).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 xml:space="preserve">Bezpośredni zapis do formatu </w:t>
            </w:r>
            <w:r>
              <w:rPr>
                <w:rStyle w:val="Pogrubienie"/>
                <w:rFonts w:ascii="Calibri" w:eastAsia="Times New Roman" w:hAnsi="Calibri" w:cs="Calibri"/>
                <w:sz w:val="20"/>
                <w:szCs w:val="20"/>
              </w:rPr>
              <w:t>PDF</w:t>
            </w:r>
            <w:r>
              <w:rPr>
                <w:rStyle w:val="t286pc"/>
                <w:rFonts w:ascii="Calibri" w:eastAsia="Times New Roman" w:hAnsi="Calibri" w:cs="Calibri"/>
                <w:sz w:val="20"/>
                <w:szCs w:val="20"/>
              </w:rPr>
              <w:t xml:space="preserve"> na zewnętrzny nośnik oraz możliwość wysyłki badania bezpośrednio na e-mail z urządzenia.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Wykonywanie testów VC, FVC (krzywa przepływ-objętość) oraz MVV.</w:t>
            </w:r>
          </w:p>
        </w:tc>
      </w:tr>
      <w:tr w:rsidR="0078639D">
        <w:trPr>
          <w:trHeight w:val="7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Style w:val="t286pc"/>
                <w:rFonts w:ascii="Calibri" w:hAnsi="Calibri" w:cs="Calibri"/>
                <w:sz w:val="20"/>
                <w:szCs w:val="20"/>
              </w:rPr>
            </w:pPr>
            <w:r>
              <w:rPr>
                <w:rFonts w:ascii="Calibri" w:eastAsia="Times New Roman" w:hAnsi="Calibri" w:cs="Calibri"/>
                <w:sz w:val="20"/>
                <w:szCs w:val="20"/>
              </w:rPr>
              <w:t>Automatyczna korekcja BTPS za pomocą wbudowanych czujników temperatury, ciśnienia i wilgotności.</w:t>
            </w:r>
          </w:p>
        </w:tc>
      </w:tr>
      <w:tr w:rsidR="0078639D">
        <w:trPr>
          <w:trHeight w:val="4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Style w:val="t286pc"/>
                <w:rFonts w:ascii="Calibri" w:hAnsi="Calibri" w:cs="Calibri"/>
                <w:sz w:val="20"/>
                <w:szCs w:val="20"/>
              </w:rPr>
            </w:pPr>
            <w:r>
              <w:rPr>
                <w:rStyle w:val="t286pc"/>
                <w:rFonts w:ascii="Calibri" w:eastAsia="Times New Roman" w:hAnsi="Calibri" w:cs="Calibri"/>
                <w:sz w:val="20"/>
                <w:szCs w:val="20"/>
              </w:rPr>
              <w:t>Strzykawka kalibracyjna o pojemności około 3 l. wyposażona w dedykowany adapter/złącze do głowic pneumotachometrycznych.</w:t>
            </w:r>
          </w:p>
        </w:tc>
      </w:tr>
      <w:tr w:rsidR="0078639D">
        <w:trPr>
          <w:trHeight w:val="34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Style w:val="t286pc"/>
                <w:rFonts w:ascii="Calibri" w:hAnsi="Calibri" w:cs="Calibri"/>
                <w:sz w:val="20"/>
                <w:szCs w:val="20"/>
              </w:rPr>
            </w:pPr>
            <w:r>
              <w:rPr>
                <w:rFonts w:ascii="Calibri" w:eastAsia="Times New Roman" w:hAnsi="Calibri" w:cs="Calibri"/>
                <w:sz w:val="20"/>
                <w:szCs w:val="20"/>
              </w:rPr>
              <w:t>W celu potwierdzenia, iż oferowany produkt spełnia parametry techniczne potwierdzone w niniejszej tabeli, Wykonawca dołączy do oferty karty katalogowe/ materiały handlowe potwierdzające spełnienie wymaganych parametrów.</w:t>
            </w:r>
          </w:p>
        </w:tc>
      </w:tr>
      <w:tr w:rsidR="0078639D">
        <w:trPr>
          <w:trHeight w:val="13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r>
    </w:tbl>
    <w:p w:rsidR="0078639D" w:rsidRDefault="0078639D">
      <w:pPr>
        <w:spacing w:after="0"/>
        <w:outlineLvl w:val="0"/>
      </w:pPr>
    </w:p>
    <w:p w:rsidR="0078639D" w:rsidRDefault="004945CF">
      <w:pPr>
        <w:spacing w:after="0"/>
        <w:outlineLvl w:val="0"/>
        <w:rPr>
          <w:b/>
        </w:rPr>
      </w:pPr>
      <w:r>
        <w:rPr>
          <w:b/>
        </w:rPr>
        <w:t>Pakiet 7 Defibrylator</w:t>
      </w:r>
    </w:p>
    <w:tbl>
      <w:tblPr>
        <w:tblStyle w:val="Tabela-Siatka"/>
        <w:tblW w:w="10386" w:type="dxa"/>
        <w:tblInd w:w="113" w:type="dxa"/>
        <w:tblLayout w:type="fixed"/>
        <w:tblLook w:val="04A0"/>
      </w:tblPr>
      <w:tblGrid>
        <w:gridCol w:w="531"/>
        <w:gridCol w:w="9855"/>
      </w:tblGrid>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r>
      <w:tr w:rsidR="0078639D">
        <w:trPr>
          <w:trHeight w:val="12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transportowy, wyposażony w uchwyt do przenoszenia.</w:t>
            </w:r>
          </w:p>
        </w:tc>
      </w:tr>
      <w:tr w:rsidR="0078639D">
        <w:trPr>
          <w:trHeight w:val="23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przeznaczony do defibrylacji dorosłych i dzieci.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samoczynnego testowania urządzenia wraz z wskaźnikiem czy urządzenie może być użyte.</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zapisania wyniku autotestu w pamięci urządzenia.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automatycznego wydruku wyniku autotestu.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Odporność na ingerencję ciał stałych i cieczy: min. IP44.</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Minimalny zakres temperatur pracy defibrylatora:</w:t>
            </w:r>
            <w:r>
              <w:rPr>
                <w:rFonts w:ascii="Calibri" w:eastAsia="Times New Roman" w:hAnsi="Calibri" w:cs="Calibri"/>
                <w:sz w:val="20"/>
                <w:szCs w:val="20"/>
              </w:rPr>
              <w:br/>
              <w:t>-5 do 45°C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Waga z akumulatorem, zewnętrznymi łyżkami i uchwytem do zewnętrznych łyżek max. 7,0 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Ekran kolorowy, pojedynczy, z aktywną matrycą TFT. Przekątna ekranu min. 10".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wyposażony w ekran dotykowy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Rozdzielczość ekranu min.: 800 x 600 pikseli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wyświetlenia jednoczasowo min. 6 krzywych dynamicznych. Funkcja „zamrażania” krzywych.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przewodnika z ilustracjami wskazującymi rozwiązanie problemów oraz sposobów rozmieszczenia czujników.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Wysoka jasność wyświetlacza zapewniająca dobry odczyt parametrów z ekranu: min 400 cd/m</w:t>
            </w:r>
            <w:r>
              <w:rPr>
                <w:rFonts w:ascii="Calibri" w:eastAsia="Times New Roman" w:hAnsi="Calibri" w:cs="Calibri"/>
                <w:sz w:val="20"/>
                <w:szCs w:val="20"/>
                <w:vertAlign w:val="superscript"/>
              </w:rPr>
              <w:t>2</w:t>
            </w:r>
            <w:r>
              <w:rPr>
                <w:rFonts w:ascii="Calibri" w:eastAsia="Times New Roman" w:hAnsi="Calibri" w:cs="Calibri"/>
                <w:sz w:val="20"/>
                <w:szCs w:val="20"/>
              </w:rPr>
              <w: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Ekran „Dużych liczb”: funkcja wyświetlania ekranu powiększonych wartości numerycznych parametrów życiowych wraz z min. 1 krzywą EKG.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Defibrylator zasilany elektrycznie 230 VAC/50 Hz ±10%.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Wbudowane zasilanie akumulatorowe.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Automatyczne ładowanie akumulatora przy podłączeniu defibrylatora do sieciowego zasilania elektrycznego.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150 wyładowań z energią maksymalną.</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40 wyładowań z energią maksymalną przy temperaturze 0°C.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Akumulator zapewniający min. 180 minut stymulacji przezskórnej przy ustawieniu najwyższej wartości prądu stymulacji i najwyższej częstotliwości stymulacji defibrylatora (podać nastawy).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Monitorowanie przy pracy z zasilaniem akumulatorowym - minimum 300 minut.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akumulatora max 3 godziny.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Wskaźnik naładowania i komunikat rozładowania akumulatora. Stan rzeczywisty naładowanej baterii widoczny na ekranie defibrylatora.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dwufazowa.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Technologia zapewniająca stałą szerokość drugiej fazy impulsu defibrylacji przy wysokiej impedancji.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ręczna.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synchroniczna umożliwiająca przeprowadzenie kardiowersji.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Defibrylacja półautomatyczna, AED.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Zakres wyboru energii w J min. 2 – 265 J.</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Ilość stopni dostępności energii defibrylacji zewnętrznej min. 14.</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Łyżki do defibrylacji dla pacjentów pediatrycznych zintegrowane z łyżkami dla dorosłych.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Wyzwalanie defibrylacji z łyżek defibrylacyjnych.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do energii 200 [j] mniej niż 4 sekundy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Czas ładowania do energii maksymalnej: mniej niż 5 sekund.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Ze względu bezpieczeństwa defibrylator jest wyposażony w automatyczną procedurę wewnętrznego wyładowania energii w min. następujących przypadkach: wyładowanie łyżek w powietrze, odłączenie od defibrylatora łyżek wielorazowych, odłączenie od defibrylatora przewodu AED, upłynięcie określonego czasu od momentu naładowania energii defibrylacji.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Tryb stymulacji stałej.</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Tryb stymulacji "na żądanie".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Regulacja częstotliwość stymulacji w zakresie min. 30 – 180 imp./min.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Regulacja natężenia prądu stymulacji w zakresie min. 9 – 195 mA </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Monitorowanie EKG:</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 xml:space="preserve">Wyświetlanie min. 3 odprowadzeń EKG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 xml:space="preserve">Wybór wyświetlanego odprowadzenia EKG z: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łyżek defibrylatora, I, II, III.</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Zakres pomiarowy tętna: min. 15 ÷ 300 ud./min.</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Wzmocnienie zapisu krzywej EKG min.: x 0,25 x0,5; x1; x2, x4</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monitorowania 12-odpr EKG z przewodu 10-żyłowego, wyświetlanie wszystkich 12 odprowadzeń jednocześnie na ekranie.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rozbudowy o monitorowanie aproksymowanych 18 odprowadzeń EKG ze standardowego przewodu 12-odpr.</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Szybkie przywrócenie zapisu EKG po defibrylacji lub kardiowersji, max 3 sekundy.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wyboru rodzaju wykrywania QRS przez użytkownika w zależności od kategorii pacjenta. Min.: dorosły, dziecko, noworodek</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umożliwiająca pomiar EKG przy jednoczesnym wykonywaniu nieinwazyjnej stymulacji.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47.</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Możliwość rozbudowy o analizę arytmii z rozpoznawaniem min. 6 kategorii arytmii.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Zasilany i sterowany z poziomu defibrylatora pomiar SpO</w:t>
            </w:r>
            <w:r>
              <w:rPr>
                <w:rFonts w:ascii="Calibri" w:eastAsia="Times New Roman" w:hAnsi="Calibri" w:cs="Calibri"/>
                <w:kern w:val="2"/>
                <w:sz w:val="20"/>
                <w:szCs w:val="20"/>
                <w:vertAlign w:val="subscript"/>
                <w:lang w:eastAsia="ar-SA"/>
              </w:rPr>
              <w:t>2</w:t>
            </w:r>
            <w:r>
              <w:rPr>
                <w:rFonts w:ascii="Calibri" w:eastAsia="Times New Roman" w:hAnsi="Calibri" w:cs="Calibri"/>
                <w:kern w:val="2"/>
                <w:sz w:val="20"/>
                <w:szCs w:val="20"/>
                <w:lang w:eastAsia="ar-SA"/>
              </w:rPr>
              <w:t xml:space="preserve"> za pośrednictwem wodoodpornego czujnika typu klips.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54" w:type="dxa"/>
            <w:vAlign w:val="center"/>
          </w:tcPr>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Pomiar SpO</w:t>
            </w:r>
            <w:r>
              <w:rPr>
                <w:rFonts w:ascii="Calibri" w:eastAsia="Times New Roman" w:hAnsi="Calibri" w:cs="Calibri"/>
                <w:kern w:val="2"/>
                <w:sz w:val="20"/>
                <w:szCs w:val="20"/>
                <w:vertAlign w:val="subscript"/>
                <w:lang w:eastAsia="ar-SA"/>
              </w:rPr>
              <w:t>2</w:t>
            </w:r>
            <w:r>
              <w:rPr>
                <w:rFonts w:ascii="Calibri" w:eastAsia="Times New Roman" w:hAnsi="Calibri" w:cs="Calibri"/>
                <w:kern w:val="2"/>
                <w:sz w:val="20"/>
                <w:szCs w:val="20"/>
                <w:lang w:eastAsia="ar-SA"/>
              </w:rPr>
              <w:t xml:space="preserve"> w zakresie min. 1 – 100 %</w:t>
            </w:r>
          </w:p>
          <w:p w:rsidR="0078639D" w:rsidRDefault="004945CF">
            <w:pPr>
              <w:pStyle w:val="Tekstpodstawowy2"/>
              <w:widowControl w:val="0"/>
              <w:tabs>
                <w:tab w:val="left" w:pos="708"/>
              </w:tabs>
              <w:spacing w:after="0" w:line="276" w:lineRule="auto"/>
              <w:rPr>
                <w:rFonts w:ascii="Calibri" w:hAnsi="Calibri" w:cs="Calibri"/>
                <w:b/>
                <w:bCs/>
                <w:kern w:val="2"/>
                <w:sz w:val="20"/>
                <w:szCs w:val="20"/>
                <w:lang w:eastAsia="ar-SA"/>
              </w:rPr>
            </w:pPr>
            <w:r>
              <w:rPr>
                <w:rFonts w:ascii="Calibri" w:eastAsia="Times New Roman" w:hAnsi="Calibri" w:cs="Calibri"/>
                <w:kern w:val="2"/>
                <w:sz w:val="20"/>
                <w:szCs w:val="20"/>
                <w:lang w:eastAsia="ar-SA"/>
              </w:rPr>
              <w:t>Pomiar pulsu w zakresie min. 30 – 300 ud./min.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 VPC.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Alarmy techniczne z podaniem przyczyny.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Alarmy wszystkich mierzonych parametrów życiowych.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wyciszenia alarmu na min 2 minuty.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zawieszenia alarmów na min 2 minuty.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Wbudowana drukarka termiczna.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Wydruki na żądanie.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Wydruki automatyczne.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Pamięć i możliwość wydrukowania min.30 raportów defibrylacji.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Pamięć z możliwością wydruku min. 20 godzinnych trendów monitorowanych parametrów.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wydrukowania raportu z autotestu.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Funkcja pozwalająca na wydruk raportu zawierającego krzywą i nazwęzdarzenia leczenia. Możliwość zdefiniowania i zapisania w pamięci defibrylatora nazw minimum 4 zdarzeń leczenia.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zapis min. 160 godzin ciągłego pomiaru EKG.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urządzenia o moduł Bluetooth i WLAN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urządzenia o komunikację HL7</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przesyłanie wyników autotestu do serwera.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sterowany i zasilany z poziomu defibrylatora pomiar CO</w:t>
            </w:r>
            <w:r>
              <w:rPr>
                <w:rFonts w:ascii="Calibri" w:eastAsia="Times New Roman" w:hAnsi="Calibri" w:cs="Calibri"/>
                <w:sz w:val="20"/>
                <w:szCs w:val="20"/>
                <w:vertAlign w:val="subscript"/>
              </w:rPr>
              <w:t>2</w:t>
            </w:r>
            <w:r>
              <w:rPr>
                <w:rFonts w:ascii="Calibri" w:eastAsia="Times New Roman" w:hAnsi="Calibri" w:cs="Calibri"/>
                <w:sz w:val="20"/>
                <w:szCs w:val="20"/>
              </w:rPr>
              <w:t xml:space="preserve"> w strumieniu głównym zaintubowanych. Czas nagrzania do pomiaru: maks. 7 sekund.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pomiar NIBP metodą oscylometryczną. Pomiar ręczny i okresowy z okresem pomiaru regulowanym w zakresie min. 1 – 480 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Możliwość rozbudowy o pomiar NIBP realizowany podczas pompowania mankietu.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9854" w:type="dxa"/>
            <w:vAlign w:val="center"/>
          </w:tcPr>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Wyposażenie defibrylatora:</w:t>
            </w:r>
            <w:r>
              <w:rPr>
                <w:rFonts w:ascii="Calibri" w:eastAsia="Times New Roman" w:hAnsi="Calibri" w:cs="Calibri"/>
                <w:sz w:val="20"/>
                <w:szCs w:val="20"/>
              </w:rPr>
              <w:br/>
              <w:t>- łyżki do defibrylacji dla pacjentów dorosłych</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łyżki do defibrylacji dla pacjentów pediatrycznych (zintegrowane z łyżkami dla pacjentów dorosłych)</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kabel EKG min. 3 odprowadzeniowy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przewód do elektrod jednorazowych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elektrody jednorazowe do defibrylacji dla dorosłych/dzieci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wielorazowy przewód do podłączenia czujników saturacji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xml:space="preserve">- wielorazowy, wodoodporny czujnik saturacji </w:t>
            </w:r>
          </w:p>
          <w:p w:rsidR="0078639D" w:rsidRDefault="004945CF">
            <w:pPr>
              <w:widowControl w:val="0"/>
              <w:tabs>
                <w:tab w:val="left" w:pos="708"/>
              </w:tabs>
              <w:spacing w:after="0" w:line="276" w:lineRule="auto"/>
              <w:rPr>
                <w:rFonts w:ascii="Calibri" w:hAnsi="Calibri" w:cs="Calibri"/>
                <w:sz w:val="20"/>
                <w:szCs w:val="20"/>
              </w:rPr>
            </w:pPr>
            <w:r>
              <w:rPr>
                <w:rFonts w:ascii="Calibri" w:eastAsia="Times New Roman" w:hAnsi="Calibri" w:cs="Calibri"/>
                <w:sz w:val="20"/>
                <w:szCs w:val="20"/>
              </w:rPr>
              <w:t>- papier do rejestratora</w:t>
            </w:r>
          </w:p>
        </w:tc>
      </w:tr>
      <w:tr w:rsidR="0078639D">
        <w:trPr>
          <w:trHeight w:val="51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98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rPr>
          <w:trHeight w:val="21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98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9854"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9854"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r>
    </w:tbl>
    <w:p w:rsidR="0078639D" w:rsidRDefault="0078639D">
      <w:pPr>
        <w:spacing w:after="0"/>
        <w:outlineLvl w:val="0"/>
      </w:pPr>
    </w:p>
    <w:p w:rsidR="0078639D" w:rsidRDefault="004945CF">
      <w:pPr>
        <w:spacing w:after="0"/>
        <w:outlineLvl w:val="0"/>
        <w:rPr>
          <w:b/>
        </w:rPr>
      </w:pPr>
      <w:r>
        <w:rPr>
          <w:b/>
        </w:rPr>
        <w:t>Pakiet 8 Łóżko elektryczne z wyposażeniem</w:t>
      </w:r>
    </w:p>
    <w:tbl>
      <w:tblPr>
        <w:tblStyle w:val="Tabela-Siatka"/>
        <w:tblW w:w="10598" w:type="dxa"/>
        <w:tblInd w:w="113" w:type="dxa"/>
        <w:tblLayout w:type="fixed"/>
        <w:tblLook w:val="04A0"/>
      </w:tblPr>
      <w:tblGrid>
        <w:gridCol w:w="534"/>
        <w:gridCol w:w="10064"/>
      </w:tblGrid>
      <w:tr w:rsidR="0078639D">
        <w:trPr>
          <w:trHeight w:val="264"/>
        </w:trPr>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Metalowa konstrukcja łóżka lakierowana proszkowo. Podstawa łóżka pozbawiona kabli oraz układów sterujących funkcjami łóżka, łatwa w utrzymaniu czystości.</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Podstawa łóżka pantograf podpierająca leże w minimum 8 punktach, gwarantująca stabilność leża (nie dopuszcza się łóżek opartych na dwóch i trzech kolumnach).</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Wszystkie przewody umieszczone w listwie stanowiącej tunel dla przewodów zasilających siłowniki.</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 xml:space="preserve">Wolna przestrzeń pomiędzy podłożem, a całym podwoziem wynosząca nie mniej niż </w:t>
            </w:r>
            <w:r>
              <w:rPr>
                <w:rFonts w:ascii="Calibri" w:eastAsia="Times New Roman" w:hAnsi="Calibri" w:cs="Calibri"/>
                <w:color w:val="000000" w:themeColor="text1"/>
                <w:sz w:val="20"/>
                <w:szCs w:val="20"/>
              </w:rPr>
              <w:t xml:space="preserve">170mm ( dla kół 150 mm) </w:t>
            </w:r>
            <w:r>
              <w:rPr>
                <w:rFonts w:ascii="Calibri" w:eastAsia="Times New Roman" w:hAnsi="Calibri" w:cs="Calibri"/>
                <w:color w:val="000000" w:themeColor="text1"/>
                <w:sz w:val="20"/>
                <w:szCs w:val="20"/>
              </w:rPr>
              <w:lastRenderedPageBreak/>
              <w:t xml:space="preserve">umożliwiająca łatwy przejazd przez </w:t>
            </w:r>
            <w:r>
              <w:rPr>
                <w:rFonts w:ascii="Calibri" w:eastAsia="Times New Roman" w:hAnsi="Calibri" w:cs="Calibri"/>
                <w:sz w:val="20"/>
                <w:szCs w:val="20"/>
              </w:rPr>
              <w:t>progi oraz wjazd do dźwigów osobowych.</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Wymiary zewnętrzne łóżka:</w:t>
            </w:r>
          </w:p>
          <w:p w:rsidR="0078639D" w:rsidRDefault="004945CF">
            <w:pPr>
              <w:numPr>
                <w:ilvl w:val="0"/>
                <w:numId w:val="42"/>
              </w:numPr>
              <w:tabs>
                <w:tab w:val="clear" w:pos="720"/>
                <w:tab w:val="left" w:pos="0"/>
              </w:tabs>
              <w:spacing w:after="0" w:line="276" w:lineRule="auto"/>
              <w:ind w:left="170" w:hanging="170"/>
              <w:rPr>
                <w:rFonts w:ascii="Calibri" w:hAnsi="Calibri" w:cs="Calibri"/>
                <w:sz w:val="20"/>
                <w:szCs w:val="20"/>
              </w:rPr>
            </w:pPr>
            <w:r>
              <w:rPr>
                <w:rFonts w:ascii="Calibri" w:eastAsia="Times New Roman" w:hAnsi="Calibri" w:cs="Calibri"/>
                <w:sz w:val="20"/>
                <w:szCs w:val="20"/>
              </w:rPr>
              <w:t xml:space="preserve">Długość całkowita: 2160 mm, (± 30 mm) </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Szerokość całkowita wraz z zamontowanymi barierkami wynosi max 1000 mm (wymiar leża min. 870x2000)</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Leże łóżka czterosegmentowe z czego min. 3 segmenty ruchome.</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Zasilanie elektryczne  220/230 V</w:t>
            </w:r>
          </w:p>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Przewód zasilający skrętny wyposażony w tworzywowy uchwyt na kabel zasilający na czas transportu łóżka.</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Elektryczne regulacje: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segment oparcia pleców 0-72° (± 2°)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segment uda 0-34°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kąt przechyłu Trendelenburga 0-17°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kąt przechyłu anty - Trendelenburga 0-17° (± 2°),</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regulacja segmentu podudzia – ręczna   mechanizmem zapadkowym.</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10063" w:type="dxa"/>
            <w:vAlign w:val="center"/>
          </w:tcPr>
          <w:p w:rsidR="0078639D" w:rsidRDefault="004945CF">
            <w:pPr>
              <w:pStyle w:val="paragraph"/>
              <w:spacing w:beforeAutospacing="0" w:after="0" w:afterAutospacing="0" w:line="276" w:lineRule="auto"/>
              <w:textAlignment w:val="baseline"/>
              <w:rPr>
                <w:rFonts w:ascii="Calibri" w:hAnsi="Calibri" w:cs="Calibri"/>
                <w:sz w:val="20"/>
                <w:szCs w:val="20"/>
              </w:rPr>
            </w:pPr>
            <w:r>
              <w:rPr>
                <w:rStyle w:val="normaltextrun"/>
                <w:rFonts w:ascii="Calibri" w:hAnsi="Calibri" w:cs="Calibri"/>
                <w:bCs/>
                <w:iCs/>
                <w:sz w:val="20"/>
                <w:szCs w:val="20"/>
              </w:rPr>
              <w:t>Sterowanie</w:t>
            </w:r>
            <w:r>
              <w:rPr>
                <w:rStyle w:val="normaltextrun"/>
                <w:rFonts w:ascii="Calibri" w:hAnsi="Calibri" w:cs="Calibri"/>
                <w:bCs/>
                <w:sz w:val="20"/>
                <w:szCs w:val="20"/>
              </w:rPr>
              <w:t xml:space="preserve"> funkcjami łóżka:</w:t>
            </w:r>
            <w:r>
              <w:rPr>
                <w:rStyle w:val="eop"/>
                <w:rFonts w:ascii="Calibri" w:hAnsi="Calibri" w:cs="Calibri"/>
                <w:sz w:val="20"/>
                <w:szCs w:val="20"/>
              </w:rPr>
              <w:t> </w:t>
            </w:r>
            <w:r>
              <w:rPr>
                <w:rStyle w:val="normaltextrun"/>
                <w:rFonts w:ascii="Calibri" w:hAnsi="Calibri" w:cs="Calibri"/>
                <w:sz w:val="20"/>
                <w:szCs w:val="20"/>
              </w:rPr>
              <w:t> </w:t>
            </w:r>
            <w:r>
              <w:rPr>
                <w:rStyle w:val="eop"/>
                <w:rFonts w:ascii="Calibri" w:hAnsi="Calibri" w:cs="Calibri"/>
                <w:sz w:val="20"/>
                <w:szCs w:val="20"/>
              </w:rPr>
              <w:t> </w:t>
            </w:r>
          </w:p>
          <w:p w:rsidR="0078639D" w:rsidRDefault="004945CF">
            <w:pPr>
              <w:pStyle w:val="paragraph"/>
              <w:spacing w:beforeAutospacing="0" w:after="0" w:afterAutospacing="0" w:line="276" w:lineRule="auto"/>
              <w:textAlignment w:val="baseline"/>
              <w:rPr>
                <w:rFonts w:ascii="Calibri" w:hAnsi="Calibri" w:cs="Calibri"/>
                <w:sz w:val="20"/>
                <w:szCs w:val="20"/>
              </w:rPr>
            </w:pPr>
            <w:r>
              <w:rPr>
                <w:rFonts w:ascii="Calibri" w:hAnsi="Calibri" w:cs="Calibri"/>
                <w:sz w:val="20"/>
                <w:szCs w:val="20"/>
              </w:rPr>
              <w:t xml:space="preserve">Łóżko posiadające pilot przewodowy z możliwością blokady.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Elektryczna regulacja wysokości w zakresie:</w:t>
            </w:r>
          </w:p>
          <w:p w:rsidR="0078639D" w:rsidRDefault="004945CF">
            <w:pPr>
              <w:snapToGrid w:val="0"/>
              <w:spacing w:after="0" w:line="276" w:lineRule="auto"/>
              <w:rPr>
                <w:rFonts w:ascii="Calibri" w:hAnsi="Calibri" w:cs="Calibri"/>
                <w:color w:val="000000" w:themeColor="text1"/>
                <w:sz w:val="20"/>
                <w:szCs w:val="20"/>
              </w:rPr>
            </w:pPr>
            <w:r>
              <w:rPr>
                <w:rFonts w:ascii="Calibri" w:eastAsia="Times New Roman" w:hAnsi="Calibri" w:cs="Calibri"/>
                <w:color w:val="000000" w:themeColor="text1"/>
                <w:sz w:val="20"/>
                <w:szCs w:val="20"/>
              </w:rPr>
              <w:t xml:space="preserve">350 mm do 850 mm (± 50 mm)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Dźwignia CPR umożliwiająca mechaniczne uniesienie segmentu pleców w przypadku braku zasilania (alternatywny napęd).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Leże odporne na działanie wysokiej temperatury, środków dezynfekujących oraz działanie promieni UV.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Szczyty łatwo odejmowane, odporne na działanie wysokiej temperatury, uszkodzenia mechaniczne, chemiczne oraz promieniowanie UV.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Łóżko wyposażone barierki boczne, zabezpieczające pacjenta na całej długości leża.</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Opuszczanie oraz podnoszenie barierek bocznych w łatwy sposób za pomocą jednej ręki.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 narożnikach leża 4 krążki stożkowe uniemożliwiające przypadkowe wyrwanie parapetów okiennych lub listew ściennych przy regulacji wysokości łóżka odbojowe, chroniące łóżko i ściany przed uderzeniami oraz otarciami.</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xml:space="preserve">Podstawa łóżka jezdna wyposażona w antystatyczne koła o średnicy min. 120 mm, z centralną blokadą kół oraz blokadą kierunkową. </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Bezpieczne obciążenie min. 200 kg</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Możliwość wyboru kolorów wypełnień min. 6 kolorów</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Wymagane elementy wyposażenia łóżek:</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Wysięgnik z uchwytem do ręki</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Wysięgnik z haczykami na kroplówkę</w:t>
            </w:r>
          </w:p>
          <w:p w:rsidR="0078639D" w:rsidRDefault="004945CF">
            <w:pPr>
              <w:snapToGrid w:val="0"/>
              <w:spacing w:after="0" w:line="276" w:lineRule="auto"/>
              <w:rPr>
                <w:rFonts w:ascii="Calibri" w:hAnsi="Calibri" w:cs="Calibri"/>
                <w:sz w:val="20"/>
                <w:szCs w:val="20"/>
              </w:rPr>
            </w:pPr>
            <w:r>
              <w:rPr>
                <w:rFonts w:ascii="Calibri" w:eastAsia="Times New Roman" w:hAnsi="Calibri" w:cs="Calibri"/>
                <w:sz w:val="20"/>
                <w:szCs w:val="20"/>
              </w:rPr>
              <w:t>- Materac</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Materac wysokości 12cm dopasowany do rozmiarów leża (gąbka w pokrowcu z tkaniny).</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Gęstość pianki T-40kg/m3, i twardości 4.1kPa. Osłona z zamkiem błyskawicznym z 2 stron (zapięcie w kształcie „L”), chroniąca cały materac, wykonana z włókna tekstylnego, pokrytego czystym przepuszczającym parę wodną poliuretanem, bez PVC.</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Osłona na materac odporna na przemakanie, zanieczyszczenia, przenikanie mikroorganizmów, wytrzymała, elastyczna odporna na ścieranie.</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10063"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Łatwa do dezynfekcji i prania , nie zmieniająca swych parametrów pod wpływem środków chemicznych (wytrzymałość na alkohole, środki czyszczące, środki dezynfekcyjne) i wysokie temperatury (pranie na gorąco 95° C, suszenie w bębnie – 100° C).</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10063"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czyszczenia w komorach myjących (para-próżnia para) w temp. 100° C pokrowca).</w:t>
            </w:r>
          </w:p>
        </w:tc>
      </w:tr>
      <w:tr w:rsidR="0078639D">
        <w:trPr>
          <w:trHeight w:val="612"/>
        </w:trPr>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10063"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rPr>
          <w:trHeight w:val="588"/>
        </w:trPr>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10063"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10063" w:type="dxa"/>
            <w:vAlign w:val="center"/>
          </w:tcPr>
          <w:p w:rsidR="0078639D" w:rsidRDefault="004945CF">
            <w:pPr>
              <w:snapToGrid w:val="0"/>
              <w:spacing w:after="0" w:line="276" w:lineRule="auto"/>
              <w:rPr>
                <w:rFonts w:ascii="Calibri" w:eastAsia="Calibri" w:hAnsi="Calibri" w:cs="Calibri"/>
                <w:sz w:val="20"/>
                <w:szCs w:val="20"/>
              </w:rPr>
            </w:pPr>
            <w:r>
              <w:rPr>
                <w:rFonts w:ascii="Calibri" w:eastAsia="Times New Roman" w:hAnsi="Calibri" w:cs="Calibri"/>
                <w:sz w:val="20"/>
                <w:szCs w:val="20"/>
              </w:rPr>
              <w:t>Deklaracja zgodności/oznaczenie CE.</w:t>
            </w:r>
          </w:p>
        </w:tc>
      </w:tr>
      <w:tr w:rsidR="0078639D">
        <w:tc>
          <w:tcPr>
            <w:tcW w:w="534"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10063" w:type="dxa"/>
            <w:vAlign w:val="center"/>
          </w:tcPr>
          <w:p w:rsidR="0078639D" w:rsidRDefault="004945CF">
            <w:pPr>
              <w:snapToGrid w:val="0"/>
              <w:spacing w:after="0" w:line="276" w:lineRule="auto"/>
              <w:rPr>
                <w:rFonts w:ascii="Calibri" w:hAnsi="Calibri" w:cs="Calibri"/>
                <w:sz w:val="20"/>
                <w:szCs w:val="20"/>
              </w:rPr>
            </w:pPr>
            <w:r>
              <w:rPr>
                <w:rFonts w:ascii="Calibri" w:eastAsia="Calibri" w:hAnsi="Calibri" w:cs="Calibri"/>
                <w:sz w:val="20"/>
                <w:szCs w:val="20"/>
              </w:rPr>
              <w:t>Gwarancja min. 24 miesiące</w:t>
            </w:r>
          </w:p>
        </w:tc>
      </w:tr>
    </w:tbl>
    <w:p w:rsidR="0078639D" w:rsidRDefault="0078639D">
      <w:pPr>
        <w:spacing w:after="0"/>
        <w:outlineLvl w:val="0"/>
      </w:pPr>
    </w:p>
    <w:p w:rsidR="0078639D" w:rsidRDefault="004945CF">
      <w:pPr>
        <w:spacing w:after="0"/>
        <w:outlineLvl w:val="0"/>
        <w:rPr>
          <w:b/>
        </w:rPr>
      </w:pPr>
      <w:r>
        <w:rPr>
          <w:b/>
        </w:rPr>
        <w:lastRenderedPageBreak/>
        <w:t xml:space="preserve">Pakiet 9 Waga CPV </w:t>
      </w:r>
    </w:p>
    <w:tbl>
      <w:tblPr>
        <w:tblStyle w:val="Tabela-Siatka"/>
        <w:tblW w:w="10386" w:type="dxa"/>
        <w:tblInd w:w="113" w:type="dxa"/>
        <w:tblLayout w:type="fixed"/>
        <w:tblLook w:val="04A0"/>
      </w:tblPr>
      <w:tblGrid>
        <w:gridCol w:w="531"/>
        <w:gridCol w:w="9855"/>
      </w:tblGrid>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Wyrób fabrycznie nowy, rok produkcji nie starszy niż 2025.</w:t>
            </w:r>
          </w:p>
        </w:tc>
      </w:tr>
      <w:tr w:rsidR="0078639D">
        <w:trPr>
          <w:trHeight w:val="39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Profesjonalna, mechaniczna waga kolumnowa z przesuwnymi odważnikami, do precyzyjnego pomiaru masy ciała w placówkach medycznych.</w:t>
            </w:r>
          </w:p>
        </w:tc>
      </w:tr>
      <w:tr w:rsidR="0078639D">
        <w:trPr>
          <w:trHeight w:val="14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Klasa dokładności:</w:t>
            </w:r>
            <w:r>
              <w:rPr>
                <w:rStyle w:val="t286pc"/>
                <w:rFonts w:ascii="Calibri" w:eastAsia="Times New Roman" w:hAnsi="Calibri" w:cs="Calibri"/>
                <w:sz w:val="20"/>
                <w:szCs w:val="20"/>
              </w:rPr>
              <w:t xml:space="preserve"> III </w:t>
            </w:r>
          </w:p>
        </w:tc>
      </w:tr>
      <w:tr w:rsidR="0078639D">
        <w:trPr>
          <w:trHeight w:val="13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 xml:space="preserve">Nośność: </w:t>
            </w:r>
            <w:r>
              <w:rPr>
                <w:rStyle w:val="t286pc"/>
                <w:rFonts w:ascii="Calibri" w:eastAsia="Times New Roman" w:hAnsi="Calibri" w:cs="Calibri"/>
                <w:sz w:val="20"/>
                <w:szCs w:val="20"/>
              </w:rPr>
              <w:t>około 220 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Podziałka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100 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Wymiary</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około 520 x 1556 x 520 mm</w:t>
            </w:r>
          </w:p>
        </w:tc>
      </w:tr>
      <w:tr w:rsidR="0078639D">
        <w:trPr>
          <w:trHeight w:val="10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 xml:space="preserve">Wymiary platformy: około </w:t>
            </w:r>
            <w:r>
              <w:rPr>
                <w:rStyle w:val="t286pc"/>
                <w:rFonts w:ascii="Calibri" w:eastAsia="Times New Roman" w:hAnsi="Calibri" w:cs="Calibri"/>
                <w:sz w:val="20"/>
                <w:szCs w:val="20"/>
              </w:rPr>
              <w:t>335 x 80 x 345 mm</w:t>
            </w:r>
          </w:p>
        </w:tc>
      </w:tr>
      <w:tr w:rsidR="0078639D">
        <w:trPr>
          <w:trHeight w:val="15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Waga własna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około 21 kg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Lokalizacja odczytu:</w:t>
            </w:r>
            <w:r>
              <w:rPr>
                <w:rStyle w:val="t286pc"/>
                <w:rFonts w:ascii="Calibri" w:eastAsia="Times New Roman" w:hAnsi="Calibri" w:cs="Calibri"/>
                <w:sz w:val="20"/>
                <w:szCs w:val="20"/>
              </w:rPr>
              <w:t xml:space="preserve"> Skala pomiarowa umieszczona na wysokości wzroku.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Fonts w:ascii="Calibri" w:hAnsi="Calibri" w:cs="Calibri"/>
                <w:b/>
                <w:sz w:val="20"/>
                <w:szCs w:val="20"/>
              </w:rPr>
            </w:pPr>
            <w:r>
              <w:rPr>
                <w:rStyle w:val="Pogrubienie"/>
                <w:rFonts w:ascii="Calibri" w:eastAsia="Times New Roman" w:hAnsi="Calibri" w:cs="Calibri"/>
                <w:sz w:val="20"/>
                <w:szCs w:val="20"/>
              </w:rPr>
              <w:t>Konstrukcja:</w:t>
            </w:r>
            <w:r>
              <w:rPr>
                <w:rStyle w:val="t286pc"/>
                <w:rFonts w:ascii="Calibri" w:eastAsia="Times New Roman" w:hAnsi="Calibri" w:cs="Calibri"/>
                <w:sz w:val="20"/>
                <w:szCs w:val="20"/>
              </w:rPr>
              <w:t xml:space="preserve"> Solidna, żeliwna podstawa oraz stalowa kolumna.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Mobilność:</w:t>
            </w:r>
            <w:r>
              <w:rPr>
                <w:rStyle w:val="t286pc"/>
                <w:rFonts w:ascii="Calibri" w:eastAsia="Times New Roman" w:hAnsi="Calibri" w:cs="Calibri"/>
                <w:sz w:val="20"/>
                <w:szCs w:val="20"/>
              </w:rPr>
              <w:t xml:space="preserve"> Zintegrowane rolki transportowe umożliwiające łatwe przemieszczanie wagi przez jedną osobę.</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Bezpieczeństwo:</w:t>
            </w:r>
            <w:r>
              <w:rPr>
                <w:rStyle w:val="t286pc"/>
                <w:rFonts w:ascii="Calibri" w:eastAsia="Times New Roman" w:hAnsi="Calibri" w:cs="Calibri"/>
                <w:sz w:val="20"/>
                <w:szCs w:val="20"/>
              </w:rPr>
              <w:t xml:space="preserve"> Nisko zawieszona, stabilna platforma z antypoślizgową matą.</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Regulacja:</w:t>
            </w:r>
            <w:r>
              <w:rPr>
                <w:rStyle w:val="t286pc"/>
                <w:rFonts w:ascii="Calibri" w:eastAsia="Times New Roman" w:hAnsi="Calibri" w:cs="Calibri"/>
                <w:sz w:val="20"/>
                <w:szCs w:val="20"/>
              </w:rPr>
              <w:t xml:space="preserve"> Możliwość manualnego ustawienia punktu zerowego.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Skala:</w:t>
            </w:r>
            <w:r>
              <w:rPr>
                <w:rStyle w:val="t286pc"/>
                <w:rFonts w:ascii="Calibri" w:eastAsia="Times New Roman" w:hAnsi="Calibri" w:cs="Calibri"/>
                <w:sz w:val="20"/>
                <w:szCs w:val="20"/>
              </w:rPr>
              <w:t xml:space="preserve"> Dwustronna (odczyt możliwy z obu stron kolumny).</w:t>
            </w:r>
          </w:p>
        </w:tc>
      </w:tr>
      <w:tr w:rsidR="0078639D">
        <w:trPr>
          <w:trHeight w:val="33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 xml:space="preserve">Wzrostomierz teleskopowy: </w:t>
            </w:r>
            <w:r>
              <w:rPr>
                <w:rStyle w:val="t286pc"/>
                <w:rFonts w:ascii="Calibri" w:eastAsia="Times New Roman" w:hAnsi="Calibri" w:cs="Calibri"/>
                <w:sz w:val="20"/>
                <w:szCs w:val="20"/>
              </w:rPr>
              <w:t xml:space="preserve">zakres pomiaru od 60 do 200 cm (podziałka 1 mm). </w:t>
            </w:r>
          </w:p>
        </w:tc>
      </w:tr>
      <w:tr w:rsidR="0078639D">
        <w:trPr>
          <w:trHeight w:val="42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rPr>
          <w:trHeight w:val="6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Deklaracja zgodności/oznaczenie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Gwarancja minimum 24 miesiące.</w:t>
            </w:r>
          </w:p>
        </w:tc>
      </w:tr>
    </w:tbl>
    <w:p w:rsidR="0078639D" w:rsidRDefault="0078639D">
      <w:pPr>
        <w:spacing w:after="0"/>
        <w:outlineLvl w:val="0"/>
        <w:rPr>
          <w:b/>
        </w:rPr>
      </w:pPr>
    </w:p>
    <w:p w:rsidR="0078639D" w:rsidRDefault="004945CF">
      <w:pPr>
        <w:spacing w:after="0"/>
        <w:outlineLvl w:val="0"/>
        <w:rPr>
          <w:b/>
        </w:rPr>
      </w:pPr>
      <w:r>
        <w:rPr>
          <w:b/>
        </w:rPr>
        <w:t xml:space="preserve">Pakiet 10 Kardiostymulator zewnętrzny </w:t>
      </w:r>
    </w:p>
    <w:tbl>
      <w:tblPr>
        <w:tblStyle w:val="Tabela-Siatka"/>
        <w:tblW w:w="10386" w:type="dxa"/>
        <w:tblInd w:w="113" w:type="dxa"/>
        <w:tblLayout w:type="fixed"/>
        <w:tblLook w:val="04A0"/>
      </w:tblPr>
      <w:tblGrid>
        <w:gridCol w:w="531"/>
        <w:gridCol w:w="9855"/>
      </w:tblGrid>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Tryb pracy: AAI, AOO, VVI, VOO.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Podstawowa częstość stymulacji regulowana w zakresie co najmniej 30 – 180 ppm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Stymulacja o wysokiej częstości: Funkcja stymulacji szybkiej o częstości co najmniej do 990 ppm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Amplituda impulsu wyjściowego regulowana w zakresie co najmniej od 0,2 V do 12 V</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Czułość regulowana w zakresie do 20 mV</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trwania impulsu: stały lub regulowany w zakresie mieszczącym się między 0,2 ms a 1,5 ms</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posiadające optyczne i akustyczne wskaźniki stymulacji, wyczuwania własnych załamków serca oraz stanu rozładowania baterii.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Wbudowane zabezpieczenie chroniące urządzenie podczas defibrylacji pacjenta.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Automatyczne ograniczenie emisji impulsów lub alarmy przy przekroczeniu bezpiecznych wartości.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bateryjne, zapewniające ciągłość pracy. Wymagane jest rozwiązanie umożliwiające wymianę baterii bez przerwania stymulacji.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Czas pracy urządzenia minimum 200 godzin.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urządzenia wraz z baterią około 300 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Zestaw zawierający: stymulator, kabel pacjenta, bateria startowa.</w:t>
            </w:r>
          </w:p>
        </w:tc>
      </w:tr>
      <w:tr w:rsidR="0078639D">
        <w:trPr>
          <w:trHeight w:val="62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rPr>
          <w:trHeight w:val="58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Times New Roman"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13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Deklaracja zgodności/oznaczenie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line="276" w:lineRule="auto"/>
              <w:rPr>
                <w:rFonts w:ascii="Calibri" w:eastAsia="Calibri" w:hAnsi="Calibri" w:cs="Calibri"/>
                <w:sz w:val="20"/>
                <w:szCs w:val="20"/>
              </w:rPr>
            </w:pPr>
            <w:r>
              <w:rPr>
                <w:rFonts w:ascii="Calibri" w:eastAsia="Calibri" w:hAnsi="Calibri" w:cs="Calibri"/>
                <w:sz w:val="20"/>
                <w:szCs w:val="20"/>
              </w:rPr>
              <w:t>Gwarancja minimum 24 miesiące.</w:t>
            </w:r>
          </w:p>
        </w:tc>
      </w:tr>
    </w:tbl>
    <w:p w:rsidR="0078639D" w:rsidRDefault="0078639D">
      <w:pPr>
        <w:spacing w:after="0"/>
        <w:outlineLvl w:val="0"/>
        <w:rPr>
          <w:b/>
        </w:rPr>
      </w:pPr>
    </w:p>
    <w:p w:rsidR="0078639D" w:rsidRDefault="0078639D">
      <w:pPr>
        <w:spacing w:after="0"/>
        <w:outlineLvl w:val="0"/>
        <w:rPr>
          <w:b/>
        </w:rPr>
      </w:pPr>
    </w:p>
    <w:p w:rsidR="0078639D" w:rsidRDefault="004945CF">
      <w:pPr>
        <w:spacing w:after="0"/>
        <w:outlineLvl w:val="0"/>
        <w:rPr>
          <w:b/>
        </w:rPr>
      </w:pPr>
      <w:r>
        <w:rPr>
          <w:b/>
        </w:rPr>
        <w:lastRenderedPageBreak/>
        <w:t xml:space="preserve">Pakiet 11 Opcje kardiologiczne </w:t>
      </w:r>
    </w:p>
    <w:tbl>
      <w:tblPr>
        <w:tblStyle w:val="Tabela-Siatka"/>
        <w:tblW w:w="10368" w:type="dxa"/>
        <w:tblInd w:w="113" w:type="dxa"/>
        <w:tblLayout w:type="fixed"/>
        <w:tblLook w:val="04A0"/>
      </w:tblPr>
      <w:tblGrid>
        <w:gridCol w:w="533"/>
        <w:gridCol w:w="9835"/>
      </w:tblGrid>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1.</w:t>
            </w:r>
          </w:p>
        </w:tc>
        <w:tc>
          <w:tcPr>
            <w:tcW w:w="983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Upgrade aparatu tomografu komputerowego Revolution Maxima</w:t>
            </w:r>
          </w:p>
        </w:tc>
      </w:tr>
      <w:tr w:rsidR="0078639D" w:rsidRPr="00E256B8">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2.</w:t>
            </w:r>
          </w:p>
        </w:tc>
        <w:tc>
          <w:tcPr>
            <w:tcW w:w="9834" w:type="dxa"/>
            <w:vAlign w:val="center"/>
          </w:tcPr>
          <w:p w:rsidR="0078639D" w:rsidRPr="00630AA5" w:rsidRDefault="004945CF">
            <w:pPr>
              <w:spacing w:after="0" w:line="276" w:lineRule="auto"/>
              <w:rPr>
                <w:rFonts w:ascii="Calibri" w:hAnsi="Calibri" w:cs="Calibri"/>
                <w:color w:val="000000"/>
                <w:sz w:val="20"/>
                <w:szCs w:val="20"/>
                <w:lang w:val="en-US"/>
              </w:rPr>
            </w:pPr>
            <w:r w:rsidRPr="00630AA5">
              <w:rPr>
                <w:rFonts w:ascii="Calibri" w:eastAsia="Times New Roman" w:hAnsi="Calibri" w:cs="Calibri"/>
                <w:color w:val="000000"/>
                <w:sz w:val="20"/>
                <w:szCs w:val="20"/>
                <w:lang w:val="en-US"/>
              </w:rPr>
              <w:t>Instalacja opcji na Revolution Maxima: Pakiet kardiologiczny Smart score Pro, ECG trace, Cardiac Enhance filter, Card IQ Snapshot, SnapShot Pulse, ECG wave on gantry, SnapShot Assist, SnapShot Freeze.</w:t>
            </w: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3.</w:t>
            </w:r>
          </w:p>
        </w:tc>
        <w:tc>
          <w:tcPr>
            <w:tcW w:w="983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Kardiomonitor Ivy 7800</w:t>
            </w:r>
          </w:p>
        </w:tc>
      </w:tr>
      <w:tr w:rsidR="0078639D" w:rsidRPr="00630AA5">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4.</w:t>
            </w:r>
          </w:p>
        </w:tc>
        <w:tc>
          <w:tcPr>
            <w:tcW w:w="983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Aktualizacja oprogramowania do najnowszej wersji AW Serwera</w:t>
            </w:r>
          </w:p>
        </w:tc>
      </w:tr>
      <w:tr w:rsidR="0078639D" w:rsidRPr="00E256B8">
        <w:trPr>
          <w:trHeight w:val="324"/>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5.</w:t>
            </w:r>
          </w:p>
        </w:tc>
        <w:tc>
          <w:tcPr>
            <w:tcW w:w="9834" w:type="dxa"/>
            <w:vAlign w:val="center"/>
          </w:tcPr>
          <w:p w:rsidR="0078639D" w:rsidRPr="00630AA5" w:rsidRDefault="004945CF">
            <w:pPr>
              <w:spacing w:after="0" w:line="276" w:lineRule="auto"/>
              <w:rPr>
                <w:rFonts w:ascii="Calibri" w:hAnsi="Calibri" w:cs="Calibri"/>
                <w:color w:val="000000"/>
                <w:sz w:val="20"/>
                <w:szCs w:val="20"/>
                <w:lang w:val="en-US"/>
              </w:rPr>
            </w:pPr>
            <w:r w:rsidRPr="00630AA5">
              <w:rPr>
                <w:rFonts w:ascii="Calibri" w:eastAsia="Times New Roman" w:hAnsi="Calibri" w:cs="Calibri"/>
                <w:color w:val="000000"/>
                <w:sz w:val="20"/>
                <w:szCs w:val="20"/>
                <w:lang w:val="en-US"/>
              </w:rPr>
              <w:t>Instalacja następujących aplikacji (po 1 licencji): CardIQ Xpress 2.0 Reveal DL, CardIQ function Xpress, CardIQ Suite Coronaries, Snapshot Freeze 2</w:t>
            </w:r>
          </w:p>
        </w:tc>
      </w:tr>
      <w:tr w:rsidR="0078639D" w:rsidRPr="00630AA5">
        <w:trPr>
          <w:trHeight w:val="152"/>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6.</w:t>
            </w:r>
          </w:p>
        </w:tc>
        <w:tc>
          <w:tcPr>
            <w:tcW w:w="983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Przegląd roczny urządzenia.</w:t>
            </w:r>
          </w:p>
        </w:tc>
      </w:tr>
      <w:tr w:rsidR="0078639D" w:rsidRPr="00630AA5">
        <w:trPr>
          <w:trHeight w:val="233"/>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7.</w:t>
            </w:r>
          </w:p>
        </w:tc>
        <w:tc>
          <w:tcPr>
            <w:tcW w:w="9834" w:type="dxa"/>
            <w:vAlign w:val="center"/>
          </w:tcPr>
          <w:p w:rsidR="0078639D" w:rsidRPr="00630AA5"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4 dni szkolenia.</w:t>
            </w:r>
          </w:p>
        </w:tc>
      </w:tr>
      <w:tr w:rsidR="0078639D">
        <w:trPr>
          <w:trHeight w:val="20"/>
        </w:trPr>
        <w:tc>
          <w:tcPr>
            <w:tcW w:w="533" w:type="dxa"/>
            <w:vAlign w:val="center"/>
          </w:tcPr>
          <w:p w:rsidR="0078639D" w:rsidRPr="00630AA5" w:rsidRDefault="004945CF">
            <w:pPr>
              <w:spacing w:after="0" w:line="276" w:lineRule="auto"/>
              <w:jc w:val="center"/>
              <w:rPr>
                <w:rFonts w:ascii="Calibri" w:hAnsi="Calibri" w:cs="Calibri"/>
                <w:b/>
                <w:sz w:val="20"/>
                <w:szCs w:val="20"/>
              </w:rPr>
            </w:pPr>
            <w:r w:rsidRPr="00630AA5">
              <w:rPr>
                <w:rFonts w:ascii="Calibri" w:eastAsia="Times New Roman" w:hAnsi="Calibri" w:cs="Calibri"/>
                <w:b/>
                <w:sz w:val="20"/>
                <w:szCs w:val="20"/>
              </w:rPr>
              <w:t>8.</w:t>
            </w:r>
          </w:p>
        </w:tc>
        <w:tc>
          <w:tcPr>
            <w:tcW w:w="9834" w:type="dxa"/>
            <w:vAlign w:val="center"/>
          </w:tcPr>
          <w:p w:rsidR="0078639D" w:rsidRDefault="004945CF">
            <w:pPr>
              <w:spacing w:after="0" w:line="276" w:lineRule="auto"/>
              <w:rPr>
                <w:rFonts w:ascii="Calibri" w:hAnsi="Calibri" w:cs="Calibri"/>
                <w:color w:val="000000"/>
                <w:sz w:val="20"/>
                <w:szCs w:val="20"/>
              </w:rPr>
            </w:pPr>
            <w:r w:rsidRPr="00630AA5">
              <w:rPr>
                <w:rFonts w:ascii="Calibri" w:eastAsia="Times New Roman" w:hAnsi="Calibri" w:cs="Calibri"/>
                <w:color w:val="000000"/>
                <w:sz w:val="20"/>
                <w:szCs w:val="20"/>
              </w:rPr>
              <w:t>Gwarancja na wymienione elementy minimum 12 miesięcy.</w:t>
            </w:r>
          </w:p>
        </w:tc>
      </w:tr>
    </w:tbl>
    <w:p w:rsidR="0078639D" w:rsidRDefault="0078639D">
      <w:pPr>
        <w:spacing w:after="0"/>
        <w:outlineLvl w:val="0"/>
        <w:rPr>
          <w:b/>
        </w:rPr>
      </w:pPr>
    </w:p>
    <w:p w:rsidR="0078639D" w:rsidRDefault="004945CF">
      <w:pPr>
        <w:spacing w:after="0"/>
        <w:outlineLvl w:val="0"/>
        <w:rPr>
          <w:b/>
        </w:rPr>
      </w:pPr>
      <w:r>
        <w:rPr>
          <w:b/>
        </w:rPr>
        <w:t xml:space="preserve">Pakiet 12 Telemetria z wyposażeniem </w:t>
      </w:r>
    </w:p>
    <w:tbl>
      <w:tblPr>
        <w:tblStyle w:val="Tabela-Siatka"/>
        <w:tblW w:w="10386" w:type="dxa"/>
        <w:tblInd w:w="113" w:type="dxa"/>
        <w:tblLayout w:type="fixed"/>
        <w:tblLook w:val="04A0"/>
      </w:tblPr>
      <w:tblGrid>
        <w:gridCol w:w="531"/>
        <w:gridCol w:w="9855"/>
      </w:tblGrid>
      <w:tr w:rsidR="0078639D">
        <w:trPr>
          <w:trHeight w:val="168"/>
        </w:trPr>
        <w:tc>
          <w:tcPr>
            <w:tcW w:w="10385" w:type="dxa"/>
            <w:gridSpan w:val="2"/>
          </w:tcPr>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Nadajnik telemetryczny</w:t>
            </w:r>
          </w:p>
        </w:tc>
      </w:tr>
      <w:tr w:rsidR="0078639D">
        <w:trPr>
          <w:trHeight w:val="9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fabrycznie nowe, rok produkcji nie starszy niż 2025 r.</w:t>
            </w:r>
          </w:p>
        </w:tc>
      </w:tr>
      <w:tr w:rsidR="0078639D">
        <w:trPr>
          <w:trHeight w:val="372"/>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Bezprzewodowy nadajnik systemu telemetrii umożliwiający monitorowanie EKG, oddechu metodą impedancyjną i SpO2</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Urządzenie wyposażone w kolorowy ekran o przekątnej minimum 3.2 cala.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Rozdzielczość ekranu min. 400x800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Sterowanie za pośrednictwem przycisków umieszczonych na transmiterze oraz ekranu dotykowego.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zablokowania ekranu przed przypadkowym użyciem.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Wyświetlanie krzywych: EKG, pulsu oraz respiracji.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3 krzywe wyświetlane jednocześnie.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Wyświetlanie danych numerycznych min.: Częstość akcji serca, Częstość oddechowa, SpO2, puls, NIBP (skurczowe, rozkurczowe, średnie).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3 poziomowy system alarmowy, Alarmy rozróżniane tonem oraz kolorem.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wyciszenia alarmów.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przez użytkownika czasu wyciszenia alarmów, min. 1, 2, 3 minuty.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zawieszenia alarmów.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przez użytkownika czasu zawieszenia alarmów, min. 1, 2, 3 minuty.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progów alarmowych monitorowanych parametrów przez użytkownika.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Funkcja wyświetlania pełnego przebiegu min. 1 krzywej z  min. 1 godziny.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podglądu na ekranie odbiornika pełnego przebiegu min 1 krzywej z min. 24 godzin zapisanego na monitorze centralnym połączonym w sieci monitorowania.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tabelaryczny wszystkich parametrów z min. 1 godziny.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wyświetlanych danych w trendzie tabelarycznym, min. 1-60min.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podglądu na ekranie odbiornika trendu tabelarycznego z min. 24 godzin zapisanego na monitorze centralnym połączonym w sieci monitorowania.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Trend NIBP min. 100 pozycji.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wyświetlanych danych w trendzie NIBP, min. 1-60min.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zdarzeń arytmii min. 700 zdarzeń</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Min. 23 kategorie arytmii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Pamięć alarmów min. 1000 alarmów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eskalacji alarmów dla alarmów min. SpO2 tj. po przekroczeniu ustawionych kryteriów alarm zmienia się z „ostrzeżenia” na krytyczny.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Komunikacja bezprzewodowa w standardzie IEEE 802.11a/b/g/n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Dostępne protokoły bezpieczeństwa min.: WEP, WPA-Personal, WPA2-Personal, WPA-Enterprise, WPA2-Enteprise, 802.1X</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Zasilanie standardowymi bateriami lub akumulatorami AA (R6) pozwalające na min. 24 godz. pracy.</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Poziom naładowania baterii widoczny na ekranie.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EKG za pomocą przewodu 3 oraz 6 odprowadzeniowego.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częstości akcji serca min. 15-300 ud/min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ST min -25 ÷ 25 mm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Wybór rodzaju wykrywanego QRS dla: noworodków, dzieci i dorosłych.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i wyświetlanie PPK/VPC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oddechu metodą impedancyjną. Prezentacja krzywej oddechowej i ilości oddechów na minutę.</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częstości oddechowej min. 0-150 odd/min.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bezdechu w zakresie min. 5 – 30 sekund.</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SpO2 w technologii BluPro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SpO2 min. 0-100%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pulsu min. 30-300 ud/min</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Pomiar SpO2 z pomocą wodoszczelnego czujnika typu klips na palec.</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Nieinwazyjny pomiar ciśnienia tętniczego metodą oscylometryczną.</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Zakres pomiarowy NIBP min. 0-300 mmHg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ustawienia interwału automatycznego pomiaru NIBP min. 1min – 4godz.</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pomiaru NIBP podczas pompowania mankietu.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Możliwość zdalnego rozpoczęcia pomiaru NIBP z poziomu monitora centralnego.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Waga bez baterii i akcesoriów max. 375g ±40g</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Wyposażenie:</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pasek do zawieszenia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etui na nadajnik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przewód pacjenta EKG, 3-odprowadzeniowy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wielorazowy wodoszczelny czujnik do pomiaru saturacji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przewód NIBP </w:t>
            </w:r>
          </w:p>
          <w:p w:rsidR="0078639D" w:rsidRDefault="004945CF">
            <w:pPr>
              <w:spacing w:after="0" w:line="276" w:lineRule="auto"/>
              <w:rPr>
                <w:rFonts w:ascii="Calibri" w:hAnsi="Calibri" w:cs="Calibri"/>
                <w:bCs/>
                <w:sz w:val="20"/>
                <w:szCs w:val="20"/>
              </w:rPr>
            </w:pPr>
            <w:r>
              <w:rPr>
                <w:rFonts w:ascii="Calibri" w:eastAsia="Times New Roman" w:hAnsi="Calibri" w:cs="Calibri"/>
                <w:bCs/>
                <w:sz w:val="20"/>
                <w:szCs w:val="20"/>
              </w:rPr>
              <w:t xml:space="preserve">- mankiet wielorazowy, rozmiary: mały, średni, duży </w:t>
            </w:r>
          </w:p>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 xml:space="preserve">- Akumulatory typ AA </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85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Wykonawca dostarczy i zainstaluje niezbędne elementy do położenia sieci WiFi: punkty dostępowe WiFi, switch, okablowanie do obsługi systemu telemetrii.</w:t>
            </w:r>
          </w:p>
        </w:tc>
      </w:tr>
      <w:tr w:rsidR="0078639D">
        <w:tc>
          <w:tcPr>
            <w:tcW w:w="10385" w:type="dxa"/>
            <w:gridSpan w:val="2"/>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b/>
                <w:sz w:val="20"/>
                <w:szCs w:val="20"/>
              </w:rPr>
              <w:t>Centrala monitorowania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Centrala przygotowana do monitorowania, min. 16 stanowisk pacjenta, kompatybilna z wyżej opisanymi monitorami pacjenta.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rozbudowy centrali do obsługi 48 stanowisk.</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Centrala wyposażona w jeden kolorowy ekran o przekątnej min. 23”. Rozdzielczość wyświetlania min. 1920x1080.</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Wyświetlanie min. 8 stanowisk/monitor Ilość jednocześnie wyświetlanych przebiegów dynamicznych (krzywych) z jednego stanowiska: min. 3 krzywe (dla 8 stanowisk na ekranie).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Komunikacja z użytkownikiem poprzez mysz i klawiaturę – oprogramowanie w języku polskim.</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Podgląd dowolnego pełnego ekranu monitora z sieci.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dokonania zmiany koloru wyświetlania poszczególnych parametrów.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„zamrażania” wyświetlanych krzywych. Nie dotyczy danych numerycznych, które są cały czas aktualizowane.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wybrania typu wyświetlanej krzywej, jej wzmocnienia oraz danych numerycznych niezależnie dla każdego monitorowanego łóżka wyświetlanego w oknie ogólnego przeglądu pacjentów oddziału.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umożliwiająca ustawienie wspólnej lub oddzielnej skali dla krzywych ciśnienia inwazyjnego.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umożliwiającą użytkownikowi definiowanie priorytetu wyświetlania parametrów życiowych.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zawieszania monitorowania pacjenta wraz z możliwością nadania etykiety z opisem przyczyny zawieszenia.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Identyfikacja łóżka, na którym wystąpił alarm na ekranie centrali.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Wielostopniowe alarmy monitorowanych parametrów, min. 3 stopnie.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65.</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zawieszenia monitorowania pacjenta wraz z możliwością nadania etykiety z opisem przyczyny zawieszenia (użytkownik ma możliwość edycji treści etykiet).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Historia alarmów, min. 400 na pacjenta.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Trendy graficzne i tabelaryczne z min. 110 [h].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Archiwizacja zapisu „holterowskiego” min. 6 krzywych dynamicznych z min 110 godzin każdego monitorowanego stanowiska.</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69.</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Pamięć min. 300 zdarzeń arytmii dla każdego łóżka (pamięć zdarzeń arytmii jest niezależna od pamięci pozostałych alarmów).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pozwalająca użytkownikowi na zdefiniowanie, dla których typów arytmii mają być zapisywane zdarzenia arytmii.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Wyświetlanie wyników analizy 12 odprowadzeń EKG wraz z raportami.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definiowania parametrów zapisywanych w min. trzech różnych trendach tabelarycznych.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Pamięć minimum 400 plików z pomiarem odcinka ST.</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definiowania przez użytkownika zawartości raportów przeznaczonych do wydruku.</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wyboru interwału automatycznych wydruków raportów.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Sieć monitorowania LAN do komunikacji z monitorami stacjonarnymi.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Przesyłanie alarmów z monitorów przyłóżkowych do centrali oraz pomiędzy monitorami.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przesyłania danych pomiędzy monitorami a centralą oraz pomiędzy monitorami również w razie wyłączenia/ awarii centrali.</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Interaktywna komunikacja centrali z monitorami. Możliwość regulacji granic alarmów z centrali w monitorach przyłóżkowych.</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Funkcja ręcznego uruchomienia pomiaru NIBP w monitorze z monitora centralnego.</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Możliwość współpracy z nadajnikami telemetrycznymi.</w:t>
            </w:r>
          </w:p>
        </w:tc>
      </w:tr>
      <w:tr w:rsidR="0078639D">
        <w:trPr>
          <w:trHeight w:val="180"/>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Zasilacz UPS do podtrzymania pracy centrali.</w:t>
            </w:r>
          </w:p>
        </w:tc>
      </w:tr>
      <w:tr w:rsidR="0078639D">
        <w:trPr>
          <w:trHeight w:val="8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83.</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Szkolenie personelu.</w:t>
            </w:r>
          </w:p>
        </w:tc>
      </w:tr>
      <w:tr w:rsidR="0078639D">
        <w:trPr>
          <w:trHeight w:val="168"/>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Instrukcja obsługi w języku polskim przy dostawie.</w:t>
            </w:r>
          </w:p>
        </w:tc>
      </w:tr>
      <w:tr w:rsidR="0078639D">
        <w:trPr>
          <w:trHeight w:val="636"/>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86.</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r>
      <w:tr w:rsidR="0078639D">
        <w:trPr>
          <w:trHeight w:val="84"/>
        </w:trPr>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9854" w:type="dxa"/>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Deklaracja zgodności/oznaczenie CE</w:t>
            </w:r>
          </w:p>
        </w:tc>
      </w:tr>
      <w:tr w:rsidR="0078639D">
        <w:tc>
          <w:tcPr>
            <w:tcW w:w="531"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985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Times New Roman" w:hAnsi="Calibri" w:cs="Calibri"/>
                <w:sz w:val="20"/>
                <w:szCs w:val="20"/>
              </w:rPr>
              <w:t>Gwarancja minimum 24 miesiące.</w:t>
            </w:r>
          </w:p>
        </w:tc>
      </w:tr>
    </w:tbl>
    <w:p w:rsidR="0078639D" w:rsidRDefault="0078639D">
      <w:pPr>
        <w:spacing w:after="0"/>
        <w:outlineLvl w:val="0"/>
        <w:rPr>
          <w:b/>
        </w:rPr>
      </w:pPr>
    </w:p>
    <w:p w:rsidR="0078639D" w:rsidRDefault="004945CF">
      <w:pPr>
        <w:spacing w:after="0"/>
        <w:outlineLvl w:val="0"/>
        <w:rPr>
          <w:b/>
        </w:rPr>
      </w:pPr>
      <w:r>
        <w:rPr>
          <w:b/>
        </w:rPr>
        <w:t xml:space="preserve">Pakiet 13 Kardiomonitor </w:t>
      </w:r>
    </w:p>
    <w:tbl>
      <w:tblPr>
        <w:tblStyle w:val="Tabela-Siatka"/>
        <w:tblW w:w="10368" w:type="dxa"/>
        <w:tblInd w:w="113" w:type="dxa"/>
        <w:tblLayout w:type="fixed"/>
        <w:tblLook w:val="04A0"/>
      </w:tblPr>
      <w:tblGrid>
        <w:gridCol w:w="609"/>
        <w:gridCol w:w="9759"/>
      </w:tblGrid>
      <w:tr w:rsidR="0078639D">
        <w:trPr>
          <w:trHeight w:val="288"/>
        </w:trPr>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sz w:val="20"/>
                <w:szCs w:val="20"/>
              </w:rPr>
              <w:t>Urządzenie fabrycznie nowe, rok produkcji nie starszy niż 2025 r.</w:t>
            </w:r>
          </w:p>
        </w:tc>
      </w:tr>
      <w:tr w:rsidR="0078639D">
        <w:trPr>
          <w:trHeight w:val="2367"/>
        </w:trPr>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integracji z dostępnym klinicznym systemem informatycznym</w:t>
            </w:r>
          </w:p>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(CIS) producenta oferowanego systemu monitorowania pacjenta, w polskiej wersji językowej, umożliwiającym prowadzenie elektronicznej dokumentacji medycznej i jej ciągłość w zakresie opieki około-intensywnej i około-operacyjnej, zapewniającym przynajmniej: automatyczną akwizycję parametrów życiowych z oferowanych monitorów, ale także: respiratorów, aparatów do znieczulania, pomp infuzyjnych i do terapii nerkozastępczej; dokumentację terapii płynowej i lekowej, obliczanie bilansu płynów, ocenę stanu pacjenta wg. znanych skal ocen (m.in.: APACHE II, GCS, TISS-28, SOFA), tworzenie zleceń lekarskich, dokumentację procesu opieki pielęgniarskiej, generowanie raportów (w tym karta znieczulenia).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System monitorowania pacjenta o budowie modułowej lub kompaktowo-modułowej, w technologii wymiennych modułów podłączanych podczas pracy przez użytkownika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75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zapewnia monitorowanie pacjenta stacjonarnie i w transporcie: pojedynczy monitor stacjonarno-transportowy lub monitor stacjonarny wyposażony w niewielkich rozmiarów moduł transportowy z ekranem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w:t>
            </w:r>
          </w:p>
        </w:tc>
        <w:tc>
          <w:tcPr>
            <w:tcW w:w="975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we wbudowaną ramę na min. 1 moduł rozszerzeń z możliwością rozbudowy o dodatkową ramę do podłączenia min. 2 dodatkowych modułów pomiarowych.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Wszystkie elementy systemu monitorowania pacjenta chłodzone konwekcyjnie, pasywnie - bez użycia wentylatorów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System monitorowania pacjenta przeznaczony do monitorowania pacjentów we wszystkich kategoriach wiekowych: dorosłych, dzieci i noworodków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Komunikacja z użytkownikiem w języku polskim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tryb "Standby" - tymczasowe wstrzymanie monitorowania pacjenta oraz sygnalizowania alarmów, np. na czas toalety pacjenta lub badania diagnostycznego. Po wznowieniu monitorowania następuje kontynuacja monitorowania tego samego pacjenta bez utraty zapisanych danych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Monitor wyposażony w konfigurowalny tryb nocny: uruchamiany automatycznie w wybranych przez użytkownika </w:t>
            </w:r>
            <w:r>
              <w:rPr>
                <w:rFonts w:ascii="Calibri" w:eastAsia="Times New Roman" w:hAnsi="Calibri" w:cs="Calibri"/>
                <w:color w:val="000000"/>
                <w:sz w:val="20"/>
                <w:szCs w:val="20"/>
              </w:rPr>
              <w:lastRenderedPageBreak/>
              <w:t>godzinach. Przełączenie w tryb nocny zapewnia min. obniżenie jasności ekranu oraz poziomu głośności alarmów.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11.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Dostęp na ekranie monitora do kompletu dokumentacji: instruckji obsługi wraz z dodatkami, instrukcji technicznej, opisu interfejsu HL7 oraz kompletnej listy akcesoriów i materiałów zużywalnych. Nawigacja po instrukcji przy użyciu hiperłączy ułatwiających przełączanie pomiędzy dokumentami i rozdziałami.</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Zasilanie sieciowe, zgodne z PN, dostosowane do 230V/50Hz</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zasilanie akumulatorowe zapewniające przynajmniej 240 minut pracy na wypadek zaniku zasilania lub transportu. W czasie pracy na baterii parametry są wyświetlane na dużym ekranie monitora stacjonarno-transportowego lub stacjonarnego – dopuszcza się realizację tej funkcjonalności przy pomocy zewnętrznego zasilacza UPS klasy medycznej montowanego na stanowisku. W przypadku zewnętrznego zasilacza w ofercie ujęty uchwyt do montażu zasilacza na stanowisku pacjenta.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pracy w sieci centralnego monitorowania, zgodnej ze standardem Ethernet.</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wykorzystanie jednej fizycznej infrastruktury teleinformatycznej, w sieci przewodowej i bezprzewodowej, do celu sieci centralnego monitorowania oraz innych aplikacji szpitalnych, w sposób zapewniający bezpieczeństwo i priorytet przesyłania wrażliwych danych medycznych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gotowe do współpracy z centralą monitorującą, która umożliwia zdalny nadzór nad oferowanymi monitorami, a także w pełni modułowymi monitorami wysokiej klasy tego samego producenta. Nadzór oznacza podgląd bieżących wartości parametrów, krzywych i stanów alarmowych, możliwość wyciszania alarmów i zmiany granic alarmowych, możliwość retrospektywnej analizy danych (trendów i fulldisclosure)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wyposażone w funkcję wysyłania parametrów życiowych monitorowanych pacjentów do zewnętrznych systemów, za pośrednictwem protokołu HL7. Funkcja realizowana bezpośre</w:t>
            </w:r>
            <w:r w:rsidR="00381BD8">
              <w:rPr>
                <w:rFonts w:ascii="Calibri" w:eastAsia="Times New Roman" w:hAnsi="Calibri" w:cs="Calibri"/>
                <w:color w:val="000000"/>
                <w:sz w:val="20"/>
                <w:szCs w:val="20"/>
              </w:rPr>
              <w:t>d</w:t>
            </w:r>
            <w:r>
              <w:rPr>
                <w:rFonts w:ascii="Calibri" w:eastAsia="Times New Roman" w:hAnsi="Calibri" w:cs="Calibri"/>
                <w:color w:val="000000"/>
                <w:sz w:val="20"/>
                <w:szCs w:val="20"/>
              </w:rPr>
              <w:t>nio przez kardiomonitory lub dedykowany serwer komunikacyjny - ujęty w ofercie.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zdalny podgląd ekranu innego kardiomonitora pracującego w sieci centralnego monitorowania. Funkcjonalność zależy wyłącznie od funkcjonowania sieci monitorowania i nie wymaga obecności dedykowanych komputerów, serwerów, centrali monitorującej, itp.</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umożliwiają wyświetlanie informacji o alarmach występujących na pozostałych kardiomonitorach pracujących w sieci centralnego monitorowania. Możliwość konfiguracji stanowisk, pomiędzy którymi mają być wymieniane informacje o alarmach.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Monitory zapewniają automatyczne otwarcie ekranu zdalnego monitora w momencie wystąpienia zdarzenia alarmowego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drukowania krzywych, trendów graficznych i numerycznych na podłączonej do sieci centralnego monitorowania tradycyjnej drukarce laserowej - bez konieczności pośredniczenia centrali monitorującej</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22.</w:t>
            </w:r>
          </w:p>
        </w:tc>
        <w:tc>
          <w:tcPr>
            <w:tcW w:w="9758" w:type="dxa"/>
            <w:vAlign w:val="center"/>
          </w:tcPr>
          <w:p w:rsidR="0078639D" w:rsidRDefault="004945CF">
            <w:pPr>
              <w:spacing w:after="0" w:line="276" w:lineRule="auto"/>
              <w:rPr>
                <w:rFonts w:ascii="Calibri" w:hAnsi="Calibri" w:cs="Calibri"/>
                <w:color w:val="FFFFFF" w:themeColor="background1"/>
                <w:sz w:val="20"/>
                <w:szCs w:val="20"/>
              </w:rPr>
            </w:pPr>
            <w:r>
              <w:rPr>
                <w:rFonts w:ascii="Calibri" w:eastAsia="Times New Roman" w:hAnsi="Calibri" w:cs="Calibri"/>
                <w:color w:val="000000"/>
                <w:sz w:val="20"/>
                <w:szCs w:val="20"/>
              </w:rPr>
              <w:t>W ofercie do każdego monitora mocowanie na podstawie jezdnej.</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stacjonarny lub stacjonarno-transportowy wyposażony w dotykowy ekran panoramiczny o przekątnej min. 15,6" i rozdzielczości min. 1366 x 768 pikseli.  Umożliwia wyświetlanie przynajmniej 12 krzywych dynamicznych jednocześnie i pełną obsługę funkcji monitorowania pacjenta. Nie dopuszcza się realizacji tej funkcjonalności z wykorzystaniem zewnętrznego, dodatkowego ekranu lub innych rozwiązań zależnych od funkcjonowania sieci informatycznej. Rozmiar ekranu dostępny w czasie monitorowania transportowego min. 6,2".</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podłączenia dodatkowego ekranu powielającego o przekątnej min. 19”. Ekran podłączany z wykorzystaniem złącza cyfrowego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Obsługa kardiomonitora poprzez ekran dotykowy lub ekran dotykowy i pokrętło funkcyjne. Możliwość podłączenia czytnika kodów kreskowych (standardowych i QR) do portu USB.</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zaprogramowania min. 7 różnych konfiguracji (profili) monitora, zawierających m.in. ustawienia monitorowanych parametrów oraz widoki ekranów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wyboru spośród przynajmniej 16 różnych układów (widoków) ekranu, z możliwością edycji i zapisu przynajmniej 6 z nich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Dostępny tzw. ekran dużych liczb z możliwością podziału na 4 oraz 6 okien parametrów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moduł transportowy przystosowany do warunków transportowych, odporny na upadek z wysokości przynajmniej 0,25m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moduł transportowy przystosowany do warunków transportowych, klasa odporności na zachlapanie wodą nie gorsza niż IPX2</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monitor stacjonarny odporny przeciwko zachlapaniu i wnikaniu ciał stałych. Klasa odporności nie gorsza niż IP22</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32.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Masa monitora stacjonarno-transportowego lub modułu transportowego wraz z wbudowanym ekranem oraz akumulatorem nie przekracza 5,5 kg</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stacjonarno-transportowy lub moduł transportowy umożliwia kontynuację monitorowania w czasie transportu przynajmniej następujących parametrów (zgodnie z ich wymogami opisanymi w dalszej części specyfikacji): EKG, SpO2, NIBP, 2x Temp., 2x IBP, z możliwością rozbudowy o pomiar CO2 w strumieniu bocznym, w zależności od podłączonych modułów pomiarowych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EKG</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Monitorowanie przynajmniej 1 z 3, 7 i 12 odprowadzeń, z jakością diagnostyczną, w zależności od użytego przewodu EKG</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Jednoczesna prezentacja przynajmniej 3 kanałów EKG na ekranie głównym kardiomonitora: 3 różne odprowadzenia lub 1 odprowadzenie w formie kaskady</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częstości akcji serca w zakresie min. 20 - 300 ud/min. z dokładnością +/- 1% lub +/- 1ud/min.</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przewód do podłączenia 5- elektrod dla dorosłych i dzieci. Długość przewodów przynajmniej 3m.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arytmii</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Wieloodprowadzeniowa analiza arytmii</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arytmii w przynajmniej 4 odprowadzeniach EKG jednocześnie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42.</w:t>
            </w:r>
          </w:p>
        </w:tc>
        <w:tc>
          <w:tcPr>
            <w:tcW w:w="9758" w:type="dxa"/>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Zaawansowana analiza arytmii wg przynajmniej 12 definicji z rozpoznawaniem arytmii komorowych i przedsionkowych, w tym migotania przedsionków. Dopuszcza się realizację tej funkcjonalności przez zewnętrzny aparat EKG z trybem pomiaru ciągłego - w takiej sytuacji należy zaoferować 1 szt. takiego aparatu na każdy oferowany kardiomonitor.</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ST</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Analiza odcinka ST w 12 odprowadzeniach jednocześnie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Zakres pomiarowy analizy odcinka ST min. -15,0 -(+) 15,0 mm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Oddech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częstości oddechu metodą impedancyjną w zakresie min. 4-120 odd/min.</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Prezentacja częstości oddechu oraz krzywej oddechowej </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Saturacja (SpO2)</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wysycenia hemoglobiny tlenem, z wykorzystaniem algorytmu odpornego na niską perfuzję i artefakty ruchowe: TruSignal lub Masimorainbow SET</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saturacji w zakresie min. 70-100%</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Prezentacja wartości saturacji, krzywej pletyzmograficznej i wskaźnika perfuzji</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wyboru SPO2 jako źródła częstości rytmu serca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Modulacja dźwięku tętna przy zmianie wartości % SpO2.</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przewód podłączeniowy dł. min. 3m oraz wielorazowy czujnik na palec dla dorosłych. Oryginalne akcesoria pomiarowe producenta algorytmu pomiarowego.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nieinwazyjną (NIBP)</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Algorytm pomiarowy wykorzystuje dwutubowy systemem wężyków i mankietów, skokową deflację, odporny na zakłócenia, artefakty i niemiarową akcję serca, skraca czas pomiarów przez wstępne pompowanie mankietu do wartości bezpośrednio powyżej ostatnio zmierzonej wartości ciśnienia skurczowego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tętniczego metodą oscylometryczną.</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59.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ręczny na żądanie, ciągły przez określony czas oraz automatyczny. Zakres przedziałów czasowych w trybie automatycznym przynajmniej 1 - 120 minut</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Funkcja stazy żylnej.</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zaprogramowania własnych cykli pomiarowych NIBP, składających się z min. 4 kroków z możliwością indywidualnej konfiguracji liczby powtórzeń oraz interwału</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w zakresie przynajmniej od 10 mmHg dla ciśnienia rozkurczowego do 250 mmHg dla ciśnienia skurczowego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Prezentacja wartości: skurczowej, rozkurczowej oraz średniej. Możliwość wyświetlania listy ostatnich wyników pomiarów NIBP na ekranie głównym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 xml:space="preserve">W komplecie do każdego monitora: wężyk z szybkozłączką dla dorosłych/dzieci oraz 3 mankiety wielorazowe dla </w:t>
            </w:r>
            <w:r>
              <w:rPr>
                <w:rFonts w:ascii="Calibri" w:eastAsia="Times New Roman" w:hAnsi="Calibri" w:cs="Calibri"/>
                <w:color w:val="000000"/>
                <w:sz w:val="20"/>
                <w:szCs w:val="20"/>
              </w:rPr>
              <w:lastRenderedPageBreak/>
              <w:t>dorosłych (w 3 różnych rozmiarach). Dodatkowo na całą instalację 20 szt. mankietów dla pacjentów otyłych.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65.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Mankiety dla pacjentów otyłych stożkowe, dedykowane i walidowane do pomiaru na przedramieniu</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Temperatura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temperatury w 2 kanałach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Jednoczesna prezentacja w polu parametru temperatury na ekranie głównym monitora stacjonarnego min. 2 wartości temperatury jednocześnie: obu zmierzonych lub jednej zmierzonej i różnicy temperatur</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ustawienia etykiet temperatur wg. miejsca pomiaru</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wielorazowy czujnik temperatury skóry i wielorazowy czujniki temperatury głębokiej dla dorosłych.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inwazyjną (IBP)</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metodą inwazyjną w 2 kanałach. Możliwość rozbudowy do przynajmniej 3 kanałów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ciśnienia w zakresie przynajmniej -20 do 320 mmHg</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monitorowania i wyboru nazw różnych ciśnień, w tym ciśnienia śródczaszkowego, wraz z automatycznym doborem skali i ustawień dla poszczególnych ciśnień</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parametru PPV: automatyczny lub ręczny</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Ciągły, automatyczny pomiar parametrów PPV i SPV na wybranym kanale ciśnienia. Prezentacja wyników pomiarów na ekranie głównym. Parametry zapisywane w trendach.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77.</w:t>
            </w:r>
          </w:p>
        </w:tc>
        <w:tc>
          <w:tcPr>
            <w:tcW w:w="9758" w:type="dxa"/>
            <w:vAlign w:val="center"/>
          </w:tcPr>
          <w:p w:rsidR="0078639D" w:rsidRDefault="004945CF" w:rsidP="00206F80">
            <w:pPr>
              <w:spacing w:after="0" w:line="276" w:lineRule="auto"/>
              <w:rPr>
                <w:rFonts w:ascii="Calibri" w:hAnsi="Calibri" w:cs="Calibri"/>
                <w:color w:val="000000"/>
                <w:sz w:val="20"/>
                <w:szCs w:val="20"/>
              </w:rPr>
            </w:pPr>
            <w:r w:rsidRPr="00206F80">
              <w:rPr>
                <w:rFonts w:ascii="Calibri" w:eastAsia="Times New Roman" w:hAnsi="Calibri" w:cs="Calibri"/>
                <w:color w:val="000000"/>
                <w:sz w:val="20"/>
                <w:szCs w:val="20"/>
              </w:rPr>
              <w:t xml:space="preserve">W komplecie do każdego monitora przewody do podłączenia przetworników </w:t>
            </w:r>
            <w:r w:rsidR="00206F80" w:rsidRPr="00206F80">
              <w:rPr>
                <w:rFonts w:ascii="Calibri" w:eastAsia="Times New Roman" w:hAnsi="Calibri" w:cs="Calibri"/>
                <w:color w:val="000000"/>
                <w:sz w:val="20"/>
                <w:szCs w:val="20"/>
              </w:rPr>
              <w:t>Edwards</w:t>
            </w:r>
            <w:r w:rsidRPr="00206F80">
              <w:rPr>
                <w:rFonts w:ascii="Calibri" w:eastAsia="Times New Roman" w:hAnsi="Calibri" w:cs="Calibri"/>
                <w:color w:val="000000"/>
                <w:sz w:val="20"/>
                <w:szCs w:val="20"/>
              </w:rPr>
              <w:t xml:space="preserve"> (po jednym na każdy oferowany kanał)</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kapnografii (CO2) – po jednym na kardiomonitor</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wdechowego i wydechowego stężenia dwutlenku węgla w drogach oddechowych oraz pomiar częstości oddechu</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Pomiar realizowany w strumieniu bocznym, dostępny u pacjentów zaintubowanych i niezaintubowanych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W komplecie do każdego monitora: 10 jednorazowych zestawów pomiarowych dla pacjentów zaintubowanych, dorosłych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monitorowanie gazowe w strumieniu bocznym, min.: CO2, O2, N2O i anestetyków z automatyczą identyfikacją środka znieczulającego oraz prezentacją MAC / MACage. Pomiary możliwe u pacjentów zaintubowanych i niezaintubowanych.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 Możliwość zamiennego stosowania modułu pomiarowego pomiędzy różnymi monitorami i aparatami do znieczulania tego samego producenta.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rzutu minutowego serca z wykorzystaniem cewnika Swana-Ganza.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zwiotczenia mięśni przez monitorowanie transmisji nerwowo-mięśniowej NMT z wykorzystaniem mechanosensora lub elektrosensora - możliwość wyboru przez Użytkownika pomiędzy w/w metodami w trakcie użytkownia monitora. Dostępne tryby stymulacji min.: ST, DBS, TET, ToF. Kardiomonitor wyposażony w funkcje:</w:t>
            </w:r>
            <w:r>
              <w:rPr>
                <w:rFonts w:ascii="Calibri" w:eastAsia="Times New Roman" w:hAnsi="Calibri" w:cs="Calibri"/>
                <w:color w:val="000000"/>
                <w:sz w:val="20"/>
                <w:szCs w:val="20"/>
              </w:rPr>
              <w:br/>
              <w:t>- tzw. Hookup-advisor - narzędzie ekranowe podpowiadające rozmieszczenie elektrod oraz umożliwiające weryfikację prawidłowego ich kontaktu ze skórą pacjenta,</w:t>
            </w:r>
            <w:r>
              <w:rPr>
                <w:rFonts w:ascii="Calibri" w:eastAsia="Times New Roman" w:hAnsi="Calibri" w:cs="Calibri"/>
                <w:color w:val="000000"/>
                <w:sz w:val="20"/>
                <w:szCs w:val="20"/>
              </w:rPr>
              <w:br/>
              <w:t>- dźwiękową sygnalizację stymulacji,</w:t>
            </w:r>
            <w:r>
              <w:rPr>
                <w:rFonts w:ascii="Calibri" w:eastAsia="Times New Roman" w:hAnsi="Calibri" w:cs="Calibri"/>
                <w:color w:val="000000"/>
                <w:sz w:val="20"/>
                <w:szCs w:val="20"/>
              </w:rPr>
              <w:br/>
              <w:t>- dźwiękową sygnalizację ustępowania blokady.</w:t>
            </w:r>
            <w:r>
              <w:rPr>
                <w:rFonts w:ascii="Calibri" w:eastAsia="Times New Roman" w:hAnsi="Calibri" w:cs="Calibri"/>
                <w:color w:val="000000"/>
                <w:sz w:val="20"/>
                <w:szCs w:val="20"/>
              </w:rPr>
              <w:b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pomiar głębokości uśpienia. Pomiar realizowany przez analizę sygnału EEG, wspomaganego pomiarem elektromiografii mięśni czoła, z obliczaniem parametrów SE, RE i BSR.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86.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kardiomonitora o pomiar poziomu analgezji - pomiar reakcji hemodynamicznej pacjenta na bodźce nocyceptywne i środki przeciwbólowe, realizowany za pośrednictwem czujnika saturacji - bez konieczności stosowania dodatkowych akcesoriów zużywalnych. Wynik pomiaru prezentowany na wspólnym wykresie z pomiarem głębokości uśpienia, w sposób ułatwiający prowadzenie znieczulenia i optymalizację zużycia środków znieczulających.</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o podłączenie aparatu do znieczulania, zapewniające prezentację na ekranie kardiomonitora wartości parametrów i krzywych dynamicznych oraz sygnalizację alarmów. Dane przesyłane dalej do systemu centralnego monitorowania.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Alarmy przynajmniej 3-stopniowe, sygnalizowane wizualnie i dźwiękowo, z wizualizacją parametru, który wywołał alarm</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zmiany priorytetu alarmów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Alarmy techniczne z podaniem przyczyny.</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Granice alarmowe regulowane ręcznie - przez użytkownika, i automatycznie (na żądanie) - na podstawie bieżących wartości parametrów.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92.</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Granice regulowane indywidualnie - w oknach poszczególnych parametrów - oraz zbiorczo, w oknie ustawień alarmów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93.</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wyciszenia alarmów. Czas wyciszenia alarmów przynajmniej: 2 minuty oraz bez limitu czasowego.</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94.</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bezdotykowego wyciszania alarmów gestem - poprzez odpowiedni ruch dłonią przed ekranem kardiomonitora</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95.</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pamięć przynajmniej 100 zdarzeń alarmowych zawierających wycinki krzywych dynamicznych. Zdarzenia zapisywane automatycznie - w chwili wystąpienia zdarzenia alarmowego, a także ręcznie - po naciśnięciu odpowiedniego przycisku</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96.</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rozbudowy kardiomonitora o funkcję zaawansowanych alarmów ułatwiających diagnozowanie trudnch stanów klinicznych poprzez informowanie personelu o jednoczasowym zajściu kilku warunków brzegowych - konfigurowanych przez użytkownika - związanych z wartościami różnych mierzonych parametrów.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97.</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Stanowisko monitorowania pacjenta wyposażone w pamięć trendów z ostatnich min. 96 godzin.</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98.</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pamięć przynajmniej 168 godzin trendów.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99.</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Możliwość wyświetlania trendów w formie graficznej i tabelarycznej.</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100.</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z możliwością rozbudowy o funkcje wczesnego ostrzegania wg skali NEWS2 i MEWS oraz funkcję OxyCRG oraz wbudowaną pamięć pełnych przebiegów dynamicznych Full Disclosure z min. 72 godzin dla przynajmniej: wszystkich przebiegów EKG, SpO2, Oddechu i 2x IBP.</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101.</w:t>
            </w:r>
          </w:p>
        </w:tc>
        <w:tc>
          <w:tcPr>
            <w:tcW w:w="9758" w:type="dxa"/>
            <w:vAlign w:val="center"/>
          </w:tcPr>
          <w:p w:rsidR="0078639D" w:rsidRDefault="004945CF">
            <w:pPr>
              <w:spacing w:after="0" w:line="276" w:lineRule="auto"/>
              <w:rPr>
                <w:rFonts w:ascii="Calibri" w:hAnsi="Calibri" w:cs="Calibri"/>
                <w:color w:val="000000"/>
                <w:sz w:val="20"/>
                <w:szCs w:val="20"/>
              </w:rPr>
            </w:pPr>
            <w:r>
              <w:rPr>
                <w:rFonts w:ascii="Calibri" w:eastAsia="Times New Roman" w:hAnsi="Calibri" w:cs="Calibri"/>
                <w:color w:val="000000"/>
                <w:sz w:val="20"/>
                <w:szCs w:val="20"/>
              </w:rPr>
              <w:t>Monitor wyposażony w funkcję przenoszenia konfiguracji oraz trendów parametrów życiowych pacjenta za pośrednictwem pamięci USB. Funkcja eksportu trendów zabezpieczona przed niepowołanym dostępem, trendy eksportowane w formie zanonimizowanej, zaszyfrowanej w formacie umożliwiającym odczyt z wykorzystaniem pakietu MS Excel lub Acrobat Reader.</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102.</w:t>
            </w:r>
          </w:p>
        </w:tc>
        <w:tc>
          <w:tcPr>
            <w:tcW w:w="9758"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103.</w:t>
            </w:r>
          </w:p>
        </w:tc>
        <w:tc>
          <w:tcPr>
            <w:tcW w:w="9758"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104.</w:t>
            </w:r>
          </w:p>
        </w:tc>
        <w:tc>
          <w:tcPr>
            <w:tcW w:w="9758" w:type="dxa"/>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Deklaracja zgodności/oznaczenie CE</w:t>
            </w:r>
          </w:p>
        </w:tc>
      </w:tr>
      <w:tr w:rsidR="0078639D">
        <w:tc>
          <w:tcPr>
            <w:tcW w:w="609"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 xml:space="preserve">105. </w:t>
            </w:r>
          </w:p>
        </w:tc>
        <w:tc>
          <w:tcPr>
            <w:tcW w:w="9758" w:type="dxa"/>
            <w:vAlign w:val="center"/>
          </w:tcPr>
          <w:p w:rsidR="0078639D" w:rsidRDefault="004945CF">
            <w:pPr>
              <w:pStyle w:val="NormalnyWeb1"/>
              <w:spacing w:before="0" w:after="0" w:line="276" w:lineRule="auto"/>
              <w:rPr>
                <w:rFonts w:ascii="Calibri" w:hAnsi="Calibri" w:cs="Calibri"/>
                <w:sz w:val="20"/>
                <w:szCs w:val="20"/>
              </w:rPr>
            </w:pPr>
            <w:r>
              <w:rPr>
                <w:rFonts w:ascii="Calibri" w:hAnsi="Calibri" w:cs="Calibri"/>
                <w:sz w:val="20"/>
                <w:szCs w:val="20"/>
              </w:rPr>
              <w:t>Gwarancja minimum 24 miesiące.</w:t>
            </w:r>
          </w:p>
        </w:tc>
      </w:tr>
    </w:tbl>
    <w:p w:rsidR="0078639D" w:rsidRDefault="0078639D">
      <w:pPr>
        <w:spacing w:after="0"/>
        <w:outlineLvl w:val="0"/>
        <w:rPr>
          <w:b/>
        </w:rPr>
      </w:pPr>
    </w:p>
    <w:p w:rsidR="0078639D" w:rsidRDefault="004945CF">
      <w:pPr>
        <w:spacing w:after="0"/>
        <w:outlineLvl w:val="0"/>
        <w:rPr>
          <w:b/>
        </w:rPr>
      </w:pPr>
      <w:r>
        <w:rPr>
          <w:b/>
        </w:rPr>
        <w:t xml:space="preserve">Pakiet 14 Ssak medyczny elektryczny </w:t>
      </w:r>
    </w:p>
    <w:tbl>
      <w:tblPr>
        <w:tblStyle w:val="Tabela-Siatka"/>
        <w:tblW w:w="10368" w:type="dxa"/>
        <w:tblInd w:w="113" w:type="dxa"/>
        <w:tblLayout w:type="fixed"/>
        <w:tblLook w:val="04A0"/>
      </w:tblPr>
      <w:tblGrid>
        <w:gridCol w:w="533"/>
        <w:gridCol w:w="9835"/>
      </w:tblGrid>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w:t>
            </w:r>
          </w:p>
        </w:tc>
        <w:tc>
          <w:tcPr>
            <w:tcW w:w="9834" w:type="dxa"/>
            <w:vAlign w:val="center"/>
          </w:tcPr>
          <w:p w:rsidR="0078639D" w:rsidRDefault="004945CF">
            <w:pPr>
              <w:spacing w:after="0" w:line="276" w:lineRule="auto"/>
              <w:rPr>
                <w:rFonts w:ascii="Calibri" w:hAnsi="Calibri" w:cs="Calibri"/>
                <w:b/>
                <w:sz w:val="20"/>
                <w:szCs w:val="20"/>
              </w:rPr>
            </w:pPr>
            <w:r>
              <w:rPr>
                <w:rFonts w:ascii="Calibri" w:eastAsia="Times New Roman" w:hAnsi="Calibri" w:cs="Calibri"/>
                <w:sz w:val="20"/>
                <w:szCs w:val="20"/>
              </w:rPr>
              <w:t>Urządzenie fabrycznie nowe, rok produkcji nie starszy niż 2025 rok</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w:t>
            </w:r>
          </w:p>
        </w:tc>
        <w:tc>
          <w:tcPr>
            <w:tcW w:w="9834" w:type="dxa"/>
            <w:vAlign w:val="center"/>
          </w:tcPr>
          <w:p w:rsidR="0078639D" w:rsidRDefault="004945CF">
            <w:pPr>
              <w:spacing w:after="0" w:line="276" w:lineRule="auto"/>
              <w:rPr>
                <w:rFonts w:ascii="Calibri" w:hAnsi="Calibri" w:cs="Calibri"/>
                <w:sz w:val="20"/>
                <w:szCs w:val="20"/>
              </w:rPr>
            </w:pPr>
            <w:r>
              <w:rPr>
                <w:rFonts w:ascii="Calibri" w:eastAsia="Times New Roman" w:hAnsi="Calibri" w:cs="Calibri"/>
                <w:sz w:val="20"/>
                <w:szCs w:val="20"/>
              </w:rPr>
              <w:t>Zawartość zestawu dołączona do urządzenia:</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Kompletny zestaw drenów silikonowych,</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Filtr antybakteryjny i hydrofobowy,</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Łącznik stożkowy do cewników,</w:t>
            </w:r>
          </w:p>
          <w:p w:rsidR="0078639D" w:rsidRDefault="004945CF">
            <w:pPr>
              <w:pStyle w:val="Akapitzlist"/>
              <w:numPr>
                <w:ilvl w:val="0"/>
                <w:numId w:val="54"/>
              </w:numPr>
              <w:spacing w:line="276" w:lineRule="auto"/>
              <w:contextualSpacing/>
              <w:rPr>
                <w:rFonts w:ascii="Calibri" w:hAnsi="Calibri" w:cs="Calibri"/>
              </w:rPr>
            </w:pPr>
            <w:r>
              <w:rPr>
                <w:rFonts w:ascii="Calibri" w:hAnsi="Calibri" w:cs="Calibri"/>
              </w:rPr>
              <w:t>Przewód zasilający.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3.</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Maksymalne podciśnienie (ssanie)</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-0,80 bar (-80 kPa / 600 mmHg).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4.</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Maksymalny przepływ powietrza</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40 l/min (wolny przepływ).</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lastRenderedPageBreak/>
              <w:t>5.</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Tryb pracy</w:t>
            </w:r>
            <w:r>
              <w:rPr>
                <w:rStyle w:val="t286pc"/>
                <w:rFonts w:ascii="Calibri" w:eastAsia="Times New Roman" w:hAnsi="Calibri" w:cs="Calibri"/>
                <w:sz w:val="20"/>
                <w:szCs w:val="20"/>
              </w:rPr>
              <w:t>: Przystosowany do pracy ciągłej (</w:t>
            </w:r>
            <w:r>
              <w:rPr>
                <w:rStyle w:val="Pogrubienie"/>
                <w:rFonts w:ascii="Calibri" w:eastAsia="Times New Roman" w:hAnsi="Calibri" w:cs="Calibri"/>
                <w:sz w:val="20"/>
                <w:szCs w:val="20"/>
              </w:rPr>
              <w:t>non-stop</w:t>
            </w:r>
            <w:r>
              <w:rPr>
                <w:rStyle w:val="t286pc"/>
                <w:rFonts w:ascii="Calibri" w:eastAsia="Times New Roman" w:hAnsi="Calibri" w:cs="Calibri"/>
                <w:sz w:val="20"/>
                <w:szCs w:val="20"/>
              </w:rPr>
              <w:t>) bez ryzyka przegrzania.</w:t>
            </w:r>
          </w:p>
        </w:tc>
      </w:tr>
      <w:tr w:rsidR="0078639D">
        <w:trPr>
          <w:trHeight w:val="251"/>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6.</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Poziom hałasu</w:t>
            </w:r>
            <w:r>
              <w:rPr>
                <w:rStyle w:val="t286pc"/>
                <w:rFonts w:ascii="Calibri" w:eastAsia="Times New Roman" w:hAnsi="Calibri" w:cs="Calibri"/>
                <w:sz w:val="20"/>
                <w:szCs w:val="20"/>
              </w:rPr>
              <w:t>: 61,5 dBA.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7.</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Zbiorniki</w:t>
            </w:r>
            <w:r>
              <w:rPr>
                <w:rStyle w:val="t286pc"/>
                <w:rFonts w:ascii="Calibri" w:eastAsia="Times New Roman" w:hAnsi="Calibri" w:cs="Calibri"/>
                <w:sz w:val="20"/>
                <w:szCs w:val="20"/>
              </w:rPr>
              <w:t xml:space="preserve">: Dwa słoje o pojemności </w:t>
            </w:r>
            <w:r>
              <w:rPr>
                <w:rStyle w:val="Pogrubienie"/>
                <w:rFonts w:ascii="Calibri" w:eastAsia="Times New Roman" w:hAnsi="Calibri" w:cs="Calibri"/>
                <w:sz w:val="20"/>
                <w:szCs w:val="20"/>
              </w:rPr>
              <w:t>2 litry każdy</w:t>
            </w:r>
            <w:r>
              <w:rPr>
                <w:rStyle w:val="t286pc"/>
                <w:rFonts w:ascii="Calibri" w:eastAsia="Times New Roman" w:hAnsi="Calibri" w:cs="Calibri"/>
                <w:sz w:val="20"/>
                <w:szCs w:val="20"/>
              </w:rPr>
              <w:t xml:space="preserve"> (łącznie 4 litry), wykonane z poliwęglanu, z możliwością sterylizacji w autoklawie w temperaturze 121°C.</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8.</w:t>
            </w:r>
          </w:p>
        </w:tc>
        <w:tc>
          <w:tcPr>
            <w:tcW w:w="9834" w:type="dxa"/>
            <w:vAlign w:val="center"/>
          </w:tcPr>
          <w:p w:rsidR="0078639D" w:rsidRDefault="004945CF">
            <w:pPr>
              <w:spacing w:after="0" w:line="276" w:lineRule="auto"/>
              <w:rPr>
                <w:rFonts w:ascii="Calibri" w:hAnsi="Calibri" w:cs="Calibri"/>
                <w:sz w:val="20"/>
                <w:szCs w:val="20"/>
              </w:rPr>
            </w:pPr>
            <w:r>
              <w:rPr>
                <w:rStyle w:val="Pogrubienie"/>
                <w:rFonts w:ascii="Calibri" w:eastAsia="Times New Roman" w:hAnsi="Calibri" w:cs="Calibri"/>
                <w:sz w:val="20"/>
                <w:szCs w:val="20"/>
              </w:rPr>
              <w:t>System zabezpieczeń</w:t>
            </w:r>
            <w:r>
              <w:rPr>
                <w:rStyle w:val="t286pc"/>
                <w:rFonts w:ascii="Calibri" w:eastAsia="Times New Roman" w:hAnsi="Calibri" w:cs="Calibri"/>
                <w:sz w:val="20"/>
                <w:szCs w:val="20"/>
              </w:rPr>
              <w:t>: Każdy zbiornik wyposażony w zawór zabezpieczający przed przepełnieniem (pływakowy).</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9.</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Podstawa</w:t>
            </w:r>
            <w:r>
              <w:rPr>
                <w:rStyle w:val="t286pc"/>
                <w:rFonts w:ascii="Calibri" w:eastAsia="Times New Roman" w:hAnsi="Calibri" w:cs="Calibri"/>
                <w:sz w:val="20"/>
                <w:szCs w:val="20"/>
              </w:rPr>
              <w:t>: Mobilny wózek z 5-ramienną bazą na kółkach, z czego 3 kółka posiadają blokadę (hamulec).</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10.</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Materiał obudowy</w:t>
            </w:r>
            <w:r>
              <w:rPr>
                <w:rStyle w:val="t286pc"/>
                <w:rFonts w:ascii="Calibri" w:eastAsia="Times New Roman" w:hAnsi="Calibri" w:cs="Calibri"/>
                <w:sz w:val="20"/>
                <w:szCs w:val="20"/>
              </w:rPr>
              <w:t>: Tworzywo sztuczne o wysokiej odporności termicznej i izolacji elektrycznej.</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11.</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Wymiary i waga</w:t>
            </w:r>
            <w:r>
              <w:rPr>
                <w:rStyle w:val="t286pc"/>
                <w:rFonts w:ascii="Calibri" w:eastAsia="Times New Roman" w:hAnsi="Calibri" w:cs="Calibri"/>
                <w:sz w:val="20"/>
                <w:szCs w:val="20"/>
              </w:rPr>
              <w:t>: 32 x 30 x 90 cm; waga urządzenia to ok. 6,2 kg</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12.</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Regulacja</w:t>
            </w:r>
            <w:r>
              <w:rPr>
                <w:rStyle w:val="t286pc"/>
                <w:rFonts w:ascii="Calibri" w:eastAsia="Times New Roman" w:hAnsi="Calibri" w:cs="Calibri"/>
                <w:sz w:val="20"/>
                <w:szCs w:val="20"/>
              </w:rPr>
              <w:t>: Bezstopniowy regulator siły ssania z analogowym wskaźnikiem próżni (wakuometrem) na panelu przednim.</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13.</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Sterowanie</w:t>
            </w:r>
            <w:r>
              <w:rPr>
                <w:rStyle w:val="t286pc"/>
                <w:rFonts w:ascii="Calibri" w:eastAsia="Times New Roman" w:hAnsi="Calibri" w:cs="Calibri"/>
                <w:sz w:val="20"/>
                <w:szCs w:val="20"/>
              </w:rPr>
              <w:t xml:space="preserve">: Włącznik/wyłącznik główny na obudowie oraz </w:t>
            </w:r>
            <w:r>
              <w:rPr>
                <w:rStyle w:val="Pogrubienie"/>
                <w:rFonts w:ascii="Calibri" w:eastAsia="Times New Roman" w:hAnsi="Calibri" w:cs="Calibri"/>
                <w:sz w:val="20"/>
                <w:szCs w:val="20"/>
              </w:rPr>
              <w:t>wyłącznik nożny (pedał)</w:t>
            </w:r>
            <w:r>
              <w:rPr>
                <w:rStyle w:val="t286pc"/>
                <w:rFonts w:ascii="Calibri" w:eastAsia="Times New Roman" w:hAnsi="Calibri" w:cs="Calibri"/>
                <w:sz w:val="20"/>
                <w:szCs w:val="20"/>
              </w:rPr>
              <w:t xml:space="preserve"> pozwalający na pracę bez użycia rąk.</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14.</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Opcjonalnie</w:t>
            </w:r>
            <w:r>
              <w:rPr>
                <w:rStyle w:val="t286pc"/>
                <w:rFonts w:ascii="Calibri" w:eastAsia="Times New Roman" w:hAnsi="Calibri" w:cs="Calibri"/>
                <w:b/>
                <w:sz w:val="20"/>
                <w:szCs w:val="20"/>
              </w:rPr>
              <w:t>:</w:t>
            </w:r>
            <w:r>
              <w:rPr>
                <w:rStyle w:val="t286pc"/>
                <w:rFonts w:ascii="Calibri" w:eastAsia="Times New Roman" w:hAnsi="Calibri" w:cs="Calibri"/>
                <w:sz w:val="20"/>
                <w:szCs w:val="20"/>
              </w:rPr>
              <w:t xml:space="preserve"> Możliwość współpracy z jednorazowymi wkładami.</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15.</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Zasilanie</w:t>
            </w:r>
            <w:r>
              <w:rPr>
                <w:rStyle w:val="t286pc"/>
                <w:rFonts w:ascii="Calibri" w:eastAsia="Times New Roman" w:hAnsi="Calibri" w:cs="Calibri"/>
                <w:sz w:val="20"/>
                <w:szCs w:val="20"/>
              </w:rPr>
              <w:t>: 230 V ~ / 50 Hz, pobór mocy 110 VA.</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16.</w:t>
            </w:r>
          </w:p>
        </w:tc>
        <w:tc>
          <w:tcPr>
            <w:tcW w:w="9834" w:type="dxa"/>
            <w:vAlign w:val="center"/>
          </w:tcPr>
          <w:p w:rsidR="0078639D" w:rsidRDefault="004945CF">
            <w:pPr>
              <w:spacing w:after="0" w:line="276" w:lineRule="auto"/>
              <w:rPr>
                <w:rStyle w:val="Pogrubienie"/>
                <w:rFonts w:ascii="Calibri" w:hAnsi="Calibri" w:cs="Calibri"/>
                <w:sz w:val="20"/>
                <w:szCs w:val="20"/>
              </w:rPr>
            </w:pPr>
            <w:r>
              <w:rPr>
                <w:rStyle w:val="Pogrubienie"/>
                <w:rFonts w:ascii="Calibri" w:eastAsia="Times New Roman" w:hAnsi="Calibri" w:cs="Calibri"/>
                <w:sz w:val="20"/>
                <w:szCs w:val="20"/>
              </w:rPr>
              <w:t>Warunki pracy</w:t>
            </w:r>
            <w:r>
              <w:rPr>
                <w:rStyle w:val="t286pc"/>
                <w:rFonts w:ascii="Calibri" w:eastAsia="Times New Roman" w:hAnsi="Calibri" w:cs="Calibri"/>
                <w:sz w:val="20"/>
                <w:szCs w:val="20"/>
              </w:rPr>
              <w:t>: Temperatura 5 ÷ 35°C, wilgotność 30 ÷ 75% RH.</w:t>
            </w:r>
          </w:p>
        </w:tc>
      </w:tr>
      <w:tr w:rsidR="0078639D">
        <w:trPr>
          <w:trHeight w:val="84"/>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17.</w:t>
            </w:r>
          </w:p>
        </w:tc>
        <w:tc>
          <w:tcPr>
            <w:tcW w:w="983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Normy bezpieczeństwa: Zgodność z EN60601-1, EN60601-2, ISO10079-1 lub normą równoważną.</w:t>
            </w:r>
          </w:p>
        </w:tc>
      </w:tr>
      <w:tr w:rsidR="0078639D">
        <w:trPr>
          <w:trHeight w:val="168"/>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18.</w:t>
            </w:r>
          </w:p>
        </w:tc>
        <w:tc>
          <w:tcPr>
            <w:tcW w:w="983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eastAsia="Calibri" w:hAnsi="Calibri" w:cs="Calibri"/>
                <w:sz w:val="20"/>
                <w:szCs w:val="20"/>
              </w:rPr>
              <w:t>W celu potwierdzenia, iż oferowany wyrób spełnia parametry techniczne potwierdzone w niniejszej tabeli, Wykonawca dołączy do oferty karty katalogowe/ materiały handlowe potwierdzające spełnienie wymaganych parametrów.</w:t>
            </w:r>
          </w:p>
        </w:tc>
      </w:tr>
      <w:tr w:rsidR="0078639D">
        <w:trPr>
          <w:trHeight w:val="89"/>
        </w:trPr>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19.</w:t>
            </w:r>
          </w:p>
        </w:tc>
        <w:tc>
          <w:tcPr>
            <w:tcW w:w="9834" w:type="dxa"/>
            <w:vAlign w:val="center"/>
          </w:tcPr>
          <w:p w:rsidR="0078639D" w:rsidRDefault="004945CF">
            <w:pPr>
              <w:pStyle w:val="NormalnyWeb1"/>
              <w:spacing w:before="0" w:after="0" w:line="276" w:lineRule="auto"/>
              <w:rPr>
                <w:rFonts w:ascii="Calibri" w:eastAsia="Times New Roman" w:hAnsi="Calibri" w:cs="Calibri"/>
                <w:sz w:val="20"/>
                <w:szCs w:val="20"/>
              </w:rPr>
            </w:pPr>
            <w:r>
              <w:rPr>
                <w:rFonts w:ascii="Calibri" w:hAnsi="Calibri" w:cs="Calibri"/>
                <w:sz w:val="20"/>
                <w:szCs w:val="20"/>
              </w:rPr>
              <w:t>Certyfikat lub dokument potwierdzający stosowanie przez producenta przedmiotu zamówienia lub Wykonawcę systemu zarządzania środowiskiem np. ISO 14001 lub systemy równoważne.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20.</w:t>
            </w:r>
          </w:p>
        </w:tc>
        <w:tc>
          <w:tcPr>
            <w:tcW w:w="983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Deklaracja zgodności/oznaczenie CE.</w:t>
            </w:r>
          </w:p>
        </w:tc>
      </w:tr>
      <w:tr w:rsidR="0078639D">
        <w:tc>
          <w:tcPr>
            <w:tcW w:w="533" w:type="dxa"/>
            <w:vAlign w:val="center"/>
          </w:tcPr>
          <w:p w:rsidR="0078639D" w:rsidRDefault="004945CF">
            <w:pPr>
              <w:spacing w:after="0" w:line="276" w:lineRule="auto"/>
              <w:jc w:val="center"/>
              <w:rPr>
                <w:rFonts w:ascii="Calibri" w:hAnsi="Calibri" w:cs="Calibri"/>
                <w:b/>
                <w:sz w:val="20"/>
                <w:szCs w:val="20"/>
              </w:rPr>
            </w:pPr>
            <w:r>
              <w:rPr>
                <w:rFonts w:ascii="Calibri" w:eastAsia="Times New Roman" w:hAnsi="Calibri" w:cs="Calibri"/>
                <w:b/>
                <w:sz w:val="20"/>
                <w:szCs w:val="20"/>
              </w:rPr>
              <w:t>21.</w:t>
            </w:r>
          </w:p>
        </w:tc>
        <w:tc>
          <w:tcPr>
            <w:tcW w:w="9834" w:type="dxa"/>
            <w:vAlign w:val="center"/>
          </w:tcPr>
          <w:p w:rsidR="0078639D" w:rsidRDefault="004945CF">
            <w:pPr>
              <w:spacing w:after="0" w:line="276" w:lineRule="auto"/>
              <w:rPr>
                <w:rStyle w:val="Pogrubienie"/>
                <w:rFonts w:ascii="Calibri" w:hAnsi="Calibri" w:cs="Calibri"/>
                <w:b w:val="0"/>
                <w:sz w:val="20"/>
                <w:szCs w:val="20"/>
              </w:rPr>
            </w:pPr>
            <w:r>
              <w:rPr>
                <w:rStyle w:val="Pogrubienie"/>
                <w:rFonts w:ascii="Calibri" w:eastAsia="Times New Roman" w:hAnsi="Calibri" w:cs="Calibri"/>
                <w:sz w:val="20"/>
                <w:szCs w:val="20"/>
              </w:rPr>
              <w:t>Gwarancja minimum 24 miesiące.</w:t>
            </w:r>
          </w:p>
        </w:tc>
      </w:tr>
    </w:tbl>
    <w:p w:rsidR="0078639D" w:rsidRDefault="0078639D">
      <w:pPr>
        <w:rPr>
          <w:b/>
        </w:rPr>
      </w:pPr>
    </w:p>
    <w:p w:rsidR="0078639D" w:rsidRDefault="0078639D">
      <w:pPr>
        <w:pStyle w:val="Nagwek11"/>
        <w:spacing w:before="0"/>
        <w:jc w:val="left"/>
        <w:rPr>
          <w:rFonts w:asciiTheme="majorHAnsi" w:hAnsiTheme="majorHAnsi"/>
          <w:sz w:val="28"/>
          <w:u w:val="none"/>
        </w:rPr>
      </w:pPr>
    </w:p>
    <w:p w:rsidR="0078639D" w:rsidRDefault="004945CF">
      <w:pPr>
        <w:pStyle w:val="Nagwek11"/>
        <w:spacing w:before="0"/>
        <w:rPr>
          <w:rFonts w:asciiTheme="minorHAnsi" w:hAnsiTheme="minorHAnsi" w:cstheme="minorHAnsi"/>
          <w:sz w:val="28"/>
          <w:u w:val="none"/>
        </w:rPr>
      </w:pPr>
      <w:r>
        <w:rPr>
          <w:rFonts w:asciiTheme="minorHAnsi" w:hAnsiTheme="minorHAnsi" w:cstheme="minorHAnsi"/>
          <w:sz w:val="28"/>
          <w:u w:val="none"/>
        </w:rPr>
        <w:t>FORMULARZ ASORTYMENTOWO-CENOWY</w:t>
      </w:r>
    </w:p>
    <w:p w:rsidR="0078639D" w:rsidRDefault="0078639D">
      <w:pPr>
        <w:rPr>
          <w:rFonts w:cstheme="minorHAnsi"/>
        </w:rPr>
      </w:pPr>
    </w:p>
    <w:p w:rsidR="0078639D" w:rsidRDefault="004945CF">
      <w:pPr>
        <w:jc w:val="center"/>
        <w:rPr>
          <w:rFonts w:cstheme="minorHAnsi"/>
        </w:rPr>
      </w:pPr>
      <w:r>
        <w:rPr>
          <w:rFonts w:cstheme="minorHAnsi"/>
        </w:rPr>
        <w:t>(Tabele plik Excel – odrębny załącznik/załączniki dla Pakietu) – wypełnia Wykonawca i składa wraz z ofertą</w:t>
      </w:r>
    </w:p>
    <w:sectPr w:rsidR="0078639D" w:rsidSect="0078639D">
      <w:footerReference w:type="default" r:id="rId38"/>
      <w:footerReference w:type="first" r:id="rId39"/>
      <w:pgSz w:w="11906" w:h="16838"/>
      <w:pgMar w:top="720" w:right="1016" w:bottom="766" w:left="720" w:header="0" w:footer="709"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E69" w:rsidRDefault="00335E69" w:rsidP="0078639D">
      <w:pPr>
        <w:spacing w:after="0" w:line="240" w:lineRule="auto"/>
      </w:pPr>
      <w:r>
        <w:separator/>
      </w:r>
    </w:p>
  </w:endnote>
  <w:endnote w:type="continuationSeparator" w:id="0">
    <w:p w:rsidR="00335E69" w:rsidRDefault="00335E69" w:rsidP="00786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ont1044">
    <w:altName w:val="Cambria"/>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ndara">
    <w:panose1 w:val="020E0502030303020204"/>
    <w:charset w:val="EE"/>
    <w:family w:val="swiss"/>
    <w:pitch w:val="variable"/>
    <w:sig w:usb0="A00002EF" w:usb1="4000A44B" w:usb2="00000000" w:usb3="00000000" w:csb0="0000019F" w:csb1="00000000"/>
  </w:font>
  <w:font w:name="Aharoni">
    <w:charset w:val="B1"/>
    <w:family w:val="auto"/>
    <w:pitch w:val="variable"/>
    <w:sig w:usb0="00000803" w:usb1="00000000" w:usb2="00000000" w:usb3="00000000" w:csb0="0000002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ulimChe">
    <w:charset w:val="81"/>
    <w:family w:val="modern"/>
    <w:pitch w:val="fixed"/>
    <w:sig w:usb0="B00002AF" w:usb1="69D77CFB" w:usb2="00000030" w:usb3="00000000" w:csb0="0008009F" w:csb1="00000000"/>
  </w:font>
  <w:font w:name="Lato">
    <w:altName w:val="Calibri"/>
    <w:charset w:val="00"/>
    <w:family w:val="swiss"/>
    <w:pitch w:val="variable"/>
    <w:sig w:usb0="E10002FF" w:usb1="5000ECF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6B8" w:rsidRDefault="00E256B8">
    <w:pPr>
      <w:pStyle w:val="Stopka"/>
      <w:ind w:right="360"/>
    </w:pPr>
    <w:r w:rsidRPr="00165C1D">
      <w:rPr>
        <w:noProof/>
      </w:rPr>
      <w:pict>
        <v:rect id="Rectangle 10" o:spid="_x0000_s1026" style="position:absolute;margin-left:-127.75pt;margin-top:.05pt;width:1.15pt;height:1.15pt;z-index:251653120;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">
          <v:fill opacity="0"/>
          <v:path arrowok="t"/>
          <v:textbox style="mso-next-textbox:#Rectangle 10" inset="0,0,0,0">
            <w:txbxContent>
              <w:sdt>
                <w:sdtPr>
                  <w:id w:val="1982348347"/>
                  <w:docPartObj>
                    <w:docPartGallery w:val="Page Numbers (Bottom of Page)"/>
                    <w:docPartUnique/>
                  </w:docPartObj>
                </w:sdtPr>
                <w:sdtContent>
                  <w:p w:rsidR="00E256B8" w:rsidRDefault="00E256B8">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5</w:t>
                    </w:r>
                    <w:r>
                      <w:rPr>
                        <w:rStyle w:val="Numerstrony"/>
                      </w:rPr>
                      <w:fldChar w:fldCharType="end"/>
                    </w:r>
                  </w:p>
                </w:sdtContent>
              </w:sdt>
            </w:txbxContent>
          </v:textbox>
          <w10:wrap anchorx="margin"/>
        </v:rect>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6B8" w:rsidRDefault="00E256B8">
    <w:pPr>
      <w:pStyle w:val="Stopka"/>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5"/>
      <w:docPartObj>
        <w:docPartGallery w:val="Page Numbers (Bottom of Page)"/>
        <w:docPartUnique/>
      </w:docPartObj>
    </w:sdtPr>
    <w:sdtContent>
      <w:p w:rsidR="00E256B8" w:rsidRDefault="00E256B8">
        <w:pPr>
          <w:pStyle w:val="Stopka"/>
          <w:jc w:val="right"/>
        </w:pPr>
        <w:fldSimple w:instr=" PAGE   \* MERGEFORMAT ">
          <w:r w:rsidR="007E110C">
            <w:rPr>
              <w:noProof/>
            </w:rPr>
            <w:t>23</w:t>
          </w:r>
        </w:fldSimple>
      </w:p>
    </w:sdtContent>
  </w:sdt>
  <w:p w:rsidR="00E256B8" w:rsidRDefault="00E256B8">
    <w:pPr>
      <w:pStyle w:val="Stopka"/>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4"/>
      <w:docPartObj>
        <w:docPartGallery w:val="Page Numbers (Bottom of Page)"/>
        <w:docPartUnique/>
      </w:docPartObj>
    </w:sdtPr>
    <w:sdtContent>
      <w:p w:rsidR="00E256B8" w:rsidRDefault="00E256B8">
        <w:pPr>
          <w:pStyle w:val="Stopka"/>
          <w:jc w:val="right"/>
        </w:pPr>
        <w:fldSimple w:instr=" PAGE   \* MERGEFORMAT ">
          <w:r w:rsidR="007E110C">
            <w:rPr>
              <w:noProof/>
            </w:rPr>
            <w:t>21</w:t>
          </w:r>
        </w:fldSimple>
      </w:p>
    </w:sdtContent>
  </w:sdt>
  <w:p w:rsidR="00E256B8" w:rsidRDefault="00E256B8">
    <w:pPr>
      <w:tabs>
        <w:tab w:val="left" w:pos="4621"/>
      </w:tabs>
      <w:rPr>
        <w:sz w:val="1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7"/>
      <w:docPartObj>
        <w:docPartGallery w:val="Page Numbers (Bottom of Page)"/>
        <w:docPartUnique/>
      </w:docPartObj>
    </w:sdtPr>
    <w:sdtContent>
      <w:p w:rsidR="00E256B8" w:rsidRDefault="00E256B8">
        <w:pPr>
          <w:pStyle w:val="Stopka"/>
          <w:jc w:val="right"/>
        </w:pPr>
        <w:fldSimple w:instr=" PAGE   \* MERGEFORMAT ">
          <w:r w:rsidR="007E110C">
            <w:rPr>
              <w:noProof/>
            </w:rPr>
            <w:t>56</w:t>
          </w:r>
        </w:fldSimple>
      </w:p>
    </w:sdtContent>
  </w:sdt>
  <w:p w:rsidR="00E256B8" w:rsidRDefault="00E256B8">
    <w:pPr>
      <w:pStyle w:val="Stopka"/>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6"/>
      <w:docPartObj>
        <w:docPartGallery w:val="Page Numbers (Bottom of Page)"/>
        <w:docPartUnique/>
      </w:docPartObj>
    </w:sdtPr>
    <w:sdtContent>
      <w:p w:rsidR="00E256B8" w:rsidRDefault="00E256B8">
        <w:pPr>
          <w:pStyle w:val="Stopka"/>
          <w:jc w:val="right"/>
        </w:pPr>
        <w:fldSimple w:instr=" PAGE   \* MERGEFORMAT ">
          <w:r w:rsidR="007E110C">
            <w:rPr>
              <w:noProof/>
            </w:rPr>
            <w:t>24</w:t>
          </w:r>
        </w:fldSimple>
      </w:p>
    </w:sdtContent>
  </w:sdt>
  <w:p w:rsidR="00E256B8" w:rsidRDefault="00E256B8">
    <w:pPr>
      <w:tabs>
        <w:tab w:val="left" w:pos="4621"/>
      </w:tabs>
      <w:rPr>
        <w:sz w:val="1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10"/>
      <w:docPartObj>
        <w:docPartGallery w:val="Page Numbers (Bottom of Page)"/>
        <w:docPartUnique/>
      </w:docPartObj>
    </w:sdtPr>
    <w:sdtContent>
      <w:p w:rsidR="00E256B8" w:rsidRDefault="00E256B8">
        <w:pPr>
          <w:pStyle w:val="Stopka"/>
          <w:jc w:val="right"/>
        </w:pPr>
        <w:fldSimple w:instr=" PAGE   \* MERGEFORMAT ">
          <w:r w:rsidR="007E110C">
            <w:rPr>
              <w:noProof/>
            </w:rPr>
            <w:t>60</w:t>
          </w:r>
        </w:fldSimple>
      </w:p>
    </w:sdtContent>
  </w:sdt>
  <w:p w:rsidR="00E256B8" w:rsidRDefault="00E256B8">
    <w:pPr>
      <w:pStyle w:val="Stopka"/>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8"/>
      <w:docPartObj>
        <w:docPartGallery w:val="Page Numbers (Bottom of Page)"/>
        <w:docPartUnique/>
      </w:docPartObj>
    </w:sdtPr>
    <w:sdtContent>
      <w:p w:rsidR="00E256B8" w:rsidRDefault="00E256B8">
        <w:pPr>
          <w:pStyle w:val="Stopka"/>
          <w:jc w:val="right"/>
        </w:pPr>
        <w:fldSimple w:instr=" PAGE   \* MERGEFORMAT ">
          <w:r w:rsidR="007E110C">
            <w:rPr>
              <w:noProof/>
            </w:rPr>
            <w:t>57</w:t>
          </w:r>
        </w:fldSimple>
      </w:p>
    </w:sdtContent>
  </w:sdt>
  <w:p w:rsidR="00E256B8" w:rsidRDefault="00E256B8">
    <w:pPr>
      <w:tabs>
        <w:tab w:val="left" w:pos="4621"/>
      </w:tabs>
      <w:rPr>
        <w:sz w:val="12"/>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6B8" w:rsidRDefault="00E256B8">
    <w:pPr>
      <w:pStyle w:val="Stopka"/>
      <w:ind w:right="360"/>
      <w:jc w:val="right"/>
      <w:rPr>
        <w:sz w:val="20"/>
        <w:szCs w:val="20"/>
      </w:rPr>
    </w:pPr>
    <w:r w:rsidRPr="00165C1D">
      <w:rPr>
        <w:noProof/>
      </w:rPr>
      <w:pict>
        <v:rect id="Rectangle 2" o:spid="_x0000_s1034" style="position:absolute;left:0;text-align:left;margin-left:-127.75pt;margin-top:.05pt;width:1.15pt;height:1.15pt;z-index:251661312;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">
          <v:fill opacity="0"/>
          <v:path arrowok="t"/>
          <v:textbox inset="0,0,0,0">
            <w:txbxContent>
              <w:p w:rsidR="00E256B8" w:rsidRDefault="00E256B8">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anchorx="margin"/>
        </v:rect>
      </w:pict>
    </w:r>
  </w:p>
  <w:p w:rsidR="00E256B8" w:rsidRDefault="00E256B8">
    <w:pPr>
      <w:pStyle w:val="Stopka"/>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11"/>
      <w:docPartObj>
        <w:docPartGallery w:val="Page Numbers (Bottom of Page)"/>
        <w:docPartUnique/>
      </w:docPartObj>
    </w:sdtPr>
    <w:sdtContent>
      <w:p w:rsidR="00E256B8" w:rsidRDefault="00E256B8">
        <w:pPr>
          <w:pStyle w:val="Stopka"/>
          <w:jc w:val="right"/>
        </w:pPr>
        <w:fldSimple w:instr=" PAGE   \* MERGEFORMAT ">
          <w:r w:rsidR="007E110C">
            <w:rPr>
              <w:noProof/>
            </w:rPr>
            <w:t>61</w:t>
          </w:r>
        </w:fldSimple>
      </w:p>
    </w:sdtContent>
  </w:sdt>
  <w:p w:rsidR="00E256B8" w:rsidRDefault="00E256B8">
    <w:pPr>
      <w:tabs>
        <w:tab w:val="left" w:pos="4621"/>
      </w:tabs>
      <w:rPr>
        <w:sz w:val="12"/>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095"/>
      <w:docPartObj>
        <w:docPartGallery w:val="Page Numbers (Bottom of Page)"/>
        <w:docPartUnique/>
      </w:docPartObj>
    </w:sdtPr>
    <w:sdtContent>
      <w:p w:rsidR="00E256B8" w:rsidRDefault="00E256B8">
        <w:pPr>
          <w:pStyle w:val="Stopka"/>
          <w:jc w:val="right"/>
        </w:pPr>
        <w:fldSimple w:instr=" PAGE   \* MERGEFORMAT ">
          <w:r w:rsidR="007E110C">
            <w:rPr>
              <w:noProof/>
            </w:rPr>
            <w:t>85</w:t>
          </w:r>
        </w:fldSimple>
      </w:p>
    </w:sdtContent>
  </w:sdt>
  <w:p w:rsidR="00E256B8" w:rsidRDefault="00E256B8">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096"/>
      <w:docPartObj>
        <w:docPartGallery w:val="Page Numbers (Bottom of Page)"/>
        <w:docPartUnique/>
      </w:docPartObj>
    </w:sdtPr>
    <w:sdtContent>
      <w:p w:rsidR="00E256B8" w:rsidRDefault="00E256B8">
        <w:pPr>
          <w:pStyle w:val="Stopka"/>
          <w:jc w:val="right"/>
        </w:pPr>
        <w:fldSimple w:instr=" PAGE   \* MERGEFORMAT ">
          <w:r w:rsidR="007E110C">
            <w:rPr>
              <w:noProof/>
            </w:rPr>
            <w:t>14</w:t>
          </w:r>
        </w:fldSimple>
      </w:p>
    </w:sdtContent>
  </w:sdt>
  <w:p w:rsidR="00E256B8" w:rsidRDefault="00E256B8">
    <w:pPr>
      <w:pStyle w:val="Stopka"/>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12"/>
      <w:docPartObj>
        <w:docPartGallery w:val="Page Numbers (Bottom of Page)"/>
        <w:docPartUnique/>
      </w:docPartObj>
    </w:sdtPr>
    <w:sdtContent>
      <w:p w:rsidR="00E256B8" w:rsidRDefault="00E256B8">
        <w:pPr>
          <w:pStyle w:val="Stopka"/>
          <w:jc w:val="right"/>
        </w:pPr>
        <w:fldSimple w:instr=" PAGE   \* MERGEFORMAT ">
          <w:r w:rsidR="007E110C">
            <w:rPr>
              <w:noProof/>
            </w:rPr>
            <w:t>62</w:t>
          </w:r>
        </w:fldSimple>
      </w:p>
    </w:sdtContent>
  </w:sdt>
  <w:p w:rsidR="00E256B8" w:rsidRDefault="00E256B8">
    <w:pPr>
      <w:tabs>
        <w:tab w:val="left" w:pos="4621"/>
      </w:tabs>
      <w:rPr>
        <w:sz w:val="1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0"/>
      <w:docPartObj>
        <w:docPartGallery w:val="Page Numbers (Bottom of Page)"/>
        <w:docPartUnique/>
      </w:docPartObj>
    </w:sdtPr>
    <w:sdtContent>
      <w:p w:rsidR="00E256B8" w:rsidRDefault="00E256B8">
        <w:pPr>
          <w:pStyle w:val="Stopka"/>
          <w:jc w:val="right"/>
        </w:pPr>
        <w:fldSimple w:instr=" PAGE   \* MERGEFORMAT ">
          <w:r w:rsidR="007E110C">
            <w:rPr>
              <w:noProof/>
            </w:rPr>
            <w:t>16</w:t>
          </w:r>
        </w:fldSimple>
      </w:p>
    </w:sdtContent>
  </w:sdt>
  <w:p w:rsidR="00E256B8" w:rsidRDefault="00E256B8">
    <w:pPr>
      <w:pStyle w:val="Stopk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097"/>
      <w:docPartObj>
        <w:docPartGallery w:val="Page Numbers (Bottom of Page)"/>
        <w:docPartUnique/>
      </w:docPartObj>
    </w:sdtPr>
    <w:sdtContent>
      <w:p w:rsidR="00E256B8" w:rsidRDefault="00E256B8">
        <w:pPr>
          <w:pStyle w:val="Stopka"/>
          <w:jc w:val="right"/>
        </w:pPr>
        <w:fldSimple w:instr=" PAGE   \* MERGEFORMAT ">
          <w:r w:rsidR="007E110C">
            <w:rPr>
              <w:noProof/>
            </w:rPr>
            <w:t>15</w:t>
          </w:r>
        </w:fldSimple>
      </w:p>
    </w:sdtContent>
  </w:sdt>
  <w:p w:rsidR="00E256B8" w:rsidRDefault="00E256B8">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6B8" w:rsidRDefault="00E256B8">
    <w:pPr>
      <w:pStyle w:val="Stopk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6B8" w:rsidRDefault="00E256B8">
    <w:pPr>
      <w:pStyle w:val="Stopka"/>
      <w:ind w:right="360"/>
      <w:jc w:val="right"/>
      <w:rPr>
        <w:sz w:val="20"/>
        <w:szCs w:val="20"/>
      </w:rPr>
    </w:pPr>
    <w:r w:rsidRPr="00165C1D">
      <w:rPr>
        <w:noProof/>
      </w:rPr>
      <w:pict>
        <v:rect id="Rectangle 7" o:spid="_x0000_s1029" style="position:absolute;left:0;text-align:left;margin-left:-127.75pt;margin-top:.05pt;width:1.15pt;height:1.15pt;z-index:251656192;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">
          <v:fill opacity="0"/>
          <v:path arrowok="t"/>
          <v:textbox style="mso-next-textbox:#Rectangle 7" inset="0,0,0,0">
            <w:txbxContent>
              <w:p w:rsidR="00E256B8" w:rsidRDefault="00E256B8">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anchorx="margin"/>
        </v:rect>
      </w:pict>
    </w:r>
  </w:p>
  <w:p w:rsidR="00E256B8" w:rsidRDefault="00E256B8">
    <w:pPr>
      <w:pStyle w:val="Stopk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1"/>
      <w:docPartObj>
        <w:docPartGallery w:val="Page Numbers (Bottom of Page)"/>
        <w:docPartUnique/>
      </w:docPartObj>
    </w:sdtPr>
    <w:sdtContent>
      <w:p w:rsidR="00E256B8" w:rsidRDefault="00E256B8">
        <w:pPr>
          <w:pStyle w:val="Stopka"/>
          <w:jc w:val="right"/>
        </w:pPr>
        <w:fldSimple w:instr=" PAGE   \* MERGEFORMAT ">
          <w:r w:rsidR="007E110C">
            <w:rPr>
              <w:noProof/>
            </w:rPr>
            <w:t>17</w:t>
          </w:r>
        </w:fldSimple>
      </w:p>
    </w:sdtContent>
  </w:sdt>
  <w:p w:rsidR="00E256B8" w:rsidRDefault="00E256B8">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3"/>
      <w:docPartObj>
        <w:docPartGallery w:val="Page Numbers (Bottom of Page)"/>
        <w:docPartUnique/>
      </w:docPartObj>
    </w:sdtPr>
    <w:sdtContent>
      <w:p w:rsidR="00E256B8" w:rsidRDefault="00E256B8">
        <w:pPr>
          <w:pStyle w:val="Stopka"/>
          <w:jc w:val="right"/>
        </w:pPr>
        <w:fldSimple w:instr=" PAGE   \* MERGEFORMAT ">
          <w:r w:rsidR="007E110C">
            <w:rPr>
              <w:noProof/>
            </w:rPr>
            <w:t>20</w:t>
          </w:r>
        </w:fldSimple>
      </w:p>
    </w:sdtContent>
  </w:sdt>
  <w:p w:rsidR="00E256B8" w:rsidRDefault="00E256B8">
    <w:pPr>
      <w:pStyle w:val="Stopk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87102"/>
      <w:docPartObj>
        <w:docPartGallery w:val="Page Numbers (Bottom of Page)"/>
        <w:docPartUnique/>
      </w:docPartObj>
    </w:sdtPr>
    <w:sdtContent>
      <w:p w:rsidR="00E256B8" w:rsidRDefault="00E256B8">
        <w:pPr>
          <w:pStyle w:val="Stopka"/>
          <w:jc w:val="right"/>
        </w:pPr>
        <w:fldSimple w:instr=" PAGE   \* MERGEFORMAT ">
          <w:r w:rsidR="007E110C">
            <w:rPr>
              <w:noProof/>
            </w:rPr>
            <w:t>18</w:t>
          </w:r>
        </w:fldSimple>
      </w:p>
    </w:sdtContent>
  </w:sdt>
  <w:p w:rsidR="00E256B8" w:rsidRDefault="00E256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E69" w:rsidRDefault="00335E69">
      <w:r>
        <w:separator/>
      </w:r>
    </w:p>
  </w:footnote>
  <w:footnote w:type="continuationSeparator" w:id="0">
    <w:p w:rsidR="00335E69" w:rsidRDefault="00335E69">
      <w:r>
        <w:continuationSeparator/>
      </w:r>
    </w:p>
  </w:footnote>
  <w:footnote w:id="1">
    <w:p w:rsidR="00E256B8" w:rsidRDefault="00E256B8">
      <w:pPr>
        <w:pStyle w:val="Tekstprzypisudolnego"/>
        <w:ind w:left="142" w:hanging="142"/>
        <w:rPr>
          <w:rFonts w:cs="Calibri"/>
          <w:b/>
          <w:sz w:val="16"/>
          <w:szCs w:val="16"/>
        </w:rPr>
      </w:pPr>
      <w:r>
        <w:rPr>
          <w:rStyle w:val="Znakiprzypiswdolnych"/>
        </w:rPr>
        <w:footnoteRef/>
      </w:r>
      <w:r>
        <w:rPr>
          <w:rFonts w:cs="Calibri"/>
          <w:b/>
          <w:sz w:val="16"/>
          <w:szCs w:val="16"/>
        </w:rPr>
        <w:t>zatrudnia mniej niż 10 osób i którego roczny obrót lub roczna suma bilansowa nie przekracza 2 milionów EUR.</w:t>
      </w:r>
    </w:p>
  </w:footnote>
  <w:footnote w:id="2">
    <w:p w:rsidR="00E256B8" w:rsidRDefault="00E256B8">
      <w:pPr>
        <w:pStyle w:val="Tekstprzypisudolnego"/>
        <w:ind w:left="142" w:hanging="142"/>
        <w:rPr>
          <w:rFonts w:cs="Calibri"/>
          <w:b/>
          <w:sz w:val="16"/>
          <w:szCs w:val="16"/>
        </w:rPr>
      </w:pPr>
      <w:r>
        <w:rPr>
          <w:rStyle w:val="Znakiprzypiswdolnych"/>
        </w:rPr>
        <w:footnoteRef/>
      </w:r>
      <w:r>
        <w:rPr>
          <w:rFonts w:cs="Calibri"/>
          <w:b/>
          <w:sz w:val="16"/>
          <w:szCs w:val="16"/>
        </w:rPr>
        <w:t>zatrudnia mniej niż 50 osób i którego roczny obrót lub roczna suma bilansowa nie przekracza 10 milionów EUR.</w:t>
      </w:r>
    </w:p>
  </w:footnote>
  <w:footnote w:id="3">
    <w:p w:rsidR="00E256B8" w:rsidRDefault="00E256B8">
      <w:pPr>
        <w:pStyle w:val="Tekstprzypisudolnego"/>
        <w:ind w:left="142" w:hanging="142"/>
        <w:rPr>
          <w:rFonts w:cs="Calibri"/>
          <w:sz w:val="16"/>
          <w:szCs w:val="16"/>
        </w:rPr>
      </w:pPr>
      <w:r>
        <w:rPr>
          <w:rStyle w:val="Znakiprzypiswdolnych"/>
        </w:rPr>
        <w:footnoteRef/>
      </w:r>
      <w:r>
        <w:rPr>
          <w:rFonts w:cs="Calibri"/>
          <w:b/>
          <w:sz w:val="16"/>
          <w:szCs w:val="16"/>
        </w:rPr>
        <w:t>przedsiębiorstwa, które nie są mikroprzedsiębiorstwami ani małymi przedsiębiorstwami</w:t>
      </w:r>
      <w:r>
        <w:rPr>
          <w:rFonts w:cs="Calibri"/>
          <w:sz w:val="16"/>
          <w:szCs w:val="16"/>
        </w:rPr>
        <w:t xml:space="preserve"> i które zatrudniają mniej niż 250 osób i których roczny obrót nie  przekracza 50 milionów EUR lub roczna suma bilansowa nie przekracza 43 milionów EUR.</w:t>
      </w:r>
    </w:p>
  </w:footnote>
  <w:footnote w:id="4">
    <w:p w:rsidR="00E256B8" w:rsidRDefault="00E256B8">
      <w:pPr>
        <w:pStyle w:val="Tekstprzypisudolnego"/>
        <w:ind w:left="142" w:hanging="142"/>
        <w:jc w:val="both"/>
        <w:rPr>
          <w:rFonts w:ascii="Lato" w:hAnsi="Lato"/>
        </w:rPr>
      </w:pPr>
      <w:r>
        <w:rPr>
          <w:rStyle w:val="Znakiprzypiswdolnych"/>
        </w:rPr>
        <w:footnoteRef/>
      </w:r>
      <w:r>
        <w:rPr>
          <w:rFonts w:cstheme="minorHAnsi"/>
        </w:rPr>
        <w:tab/>
      </w:r>
      <w:r>
        <w:rPr>
          <w:rFonts w:cstheme="minorHAnsi"/>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(„rozporządzenie 2018/1046”).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502C"/>
    <w:multiLevelType w:val="multilevel"/>
    <w:tmpl w:val="D42A039A"/>
    <w:lvl w:ilvl="0">
      <w:start w:val="1"/>
      <w:numFmt w:val="lowerLetter"/>
      <w:lvlText w:val="%1)"/>
      <w:lvlJc w:val="left"/>
      <w:pPr>
        <w:tabs>
          <w:tab w:val="num" w:pos="0"/>
        </w:tabs>
        <w:ind w:left="1146" w:hanging="360"/>
      </w:pPr>
      <w:rPr>
        <w:rFonts w:cs="Times New Roman"/>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nsid w:val="047D643F"/>
    <w:multiLevelType w:val="multilevel"/>
    <w:tmpl w:val="1C1E19F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nsid w:val="05FB22D1"/>
    <w:multiLevelType w:val="multilevel"/>
    <w:tmpl w:val="A94674F6"/>
    <w:lvl w:ilvl="0">
      <w:start w:val="1"/>
      <w:numFmt w:val="decimal"/>
      <w:lvlText w:val="%1."/>
      <w:lvlJc w:val="left"/>
      <w:pPr>
        <w:tabs>
          <w:tab w:val="num" w:pos="0"/>
        </w:tabs>
        <w:ind w:left="1280" w:hanging="360"/>
      </w:pPr>
    </w:lvl>
    <w:lvl w:ilvl="1">
      <w:start w:val="1"/>
      <w:numFmt w:val="decimal"/>
      <w:lvlText w:val="%2."/>
      <w:lvlJc w:val="left"/>
      <w:pPr>
        <w:tabs>
          <w:tab w:val="num" w:pos="0"/>
        </w:tabs>
        <w:ind w:left="2000" w:hanging="360"/>
      </w:pPr>
    </w:lvl>
    <w:lvl w:ilvl="2">
      <w:start w:val="1"/>
      <w:numFmt w:val="lowerRoman"/>
      <w:lvlText w:val="%3."/>
      <w:lvlJc w:val="right"/>
      <w:pPr>
        <w:tabs>
          <w:tab w:val="num" w:pos="0"/>
        </w:tabs>
        <w:ind w:left="2720" w:hanging="180"/>
      </w:pPr>
    </w:lvl>
    <w:lvl w:ilvl="3">
      <w:start w:val="1"/>
      <w:numFmt w:val="decimal"/>
      <w:lvlText w:val="%4."/>
      <w:lvlJc w:val="left"/>
      <w:pPr>
        <w:tabs>
          <w:tab w:val="num" w:pos="0"/>
        </w:tabs>
        <w:ind w:left="3440" w:hanging="360"/>
      </w:pPr>
    </w:lvl>
    <w:lvl w:ilvl="4">
      <w:start w:val="1"/>
      <w:numFmt w:val="lowerLetter"/>
      <w:lvlText w:val="%5."/>
      <w:lvlJc w:val="left"/>
      <w:pPr>
        <w:tabs>
          <w:tab w:val="num" w:pos="0"/>
        </w:tabs>
        <w:ind w:left="4160" w:hanging="360"/>
      </w:pPr>
    </w:lvl>
    <w:lvl w:ilvl="5">
      <w:start w:val="1"/>
      <w:numFmt w:val="lowerRoman"/>
      <w:lvlText w:val="%6."/>
      <w:lvlJc w:val="right"/>
      <w:pPr>
        <w:tabs>
          <w:tab w:val="num" w:pos="0"/>
        </w:tabs>
        <w:ind w:left="4880" w:hanging="180"/>
      </w:pPr>
    </w:lvl>
    <w:lvl w:ilvl="6">
      <w:start w:val="1"/>
      <w:numFmt w:val="decimal"/>
      <w:lvlText w:val="%7."/>
      <w:lvlJc w:val="left"/>
      <w:pPr>
        <w:tabs>
          <w:tab w:val="num" w:pos="0"/>
        </w:tabs>
        <w:ind w:left="5600" w:hanging="360"/>
      </w:pPr>
    </w:lvl>
    <w:lvl w:ilvl="7">
      <w:start w:val="1"/>
      <w:numFmt w:val="lowerLetter"/>
      <w:lvlText w:val="%8."/>
      <w:lvlJc w:val="left"/>
      <w:pPr>
        <w:tabs>
          <w:tab w:val="num" w:pos="0"/>
        </w:tabs>
        <w:ind w:left="6320" w:hanging="360"/>
      </w:pPr>
    </w:lvl>
    <w:lvl w:ilvl="8">
      <w:start w:val="1"/>
      <w:numFmt w:val="lowerRoman"/>
      <w:lvlText w:val="%9."/>
      <w:lvlJc w:val="right"/>
      <w:pPr>
        <w:tabs>
          <w:tab w:val="num" w:pos="0"/>
        </w:tabs>
        <w:ind w:left="7040" w:hanging="180"/>
      </w:pPr>
    </w:lvl>
  </w:abstractNum>
  <w:abstractNum w:abstractNumId="3">
    <w:nsid w:val="08C467D3"/>
    <w:multiLevelType w:val="multilevel"/>
    <w:tmpl w:val="A26EDFBE"/>
    <w:lvl w:ilvl="0">
      <w:start w:val="1"/>
      <w:numFmt w:val="bullet"/>
      <w:lvlText w:val=""/>
      <w:lvlJc w:val="left"/>
      <w:pPr>
        <w:tabs>
          <w:tab w:val="num" w:pos="0"/>
        </w:tabs>
        <w:ind w:left="720" w:hanging="360"/>
      </w:pPr>
      <w:rPr>
        <w:rFonts w:ascii="Symbol" w:hAnsi="Symbol" w:cs="Symbol" w:hint="default"/>
        <w:sz w:val="22"/>
        <w:szCs w:val="22"/>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AE17ADF"/>
    <w:multiLevelType w:val="multilevel"/>
    <w:tmpl w:val="225693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BFC64A2"/>
    <w:multiLevelType w:val="multilevel"/>
    <w:tmpl w:val="B09A98C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E550431"/>
    <w:multiLevelType w:val="multilevel"/>
    <w:tmpl w:val="E7AEA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6614A0"/>
    <w:multiLevelType w:val="multilevel"/>
    <w:tmpl w:val="C5D413B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nsid w:val="0FA73681"/>
    <w:multiLevelType w:val="multilevel"/>
    <w:tmpl w:val="6AB2AE0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0AD67E1"/>
    <w:multiLevelType w:val="multilevel"/>
    <w:tmpl w:val="CE3A0692"/>
    <w:lvl w:ilvl="0">
      <w:start w:val="1"/>
      <w:numFmt w:val="bullet"/>
      <w:lvlText w:val=""/>
      <w:lvlJc w:val="left"/>
      <w:pPr>
        <w:tabs>
          <w:tab w:val="num" w:pos="0"/>
        </w:tabs>
        <w:ind w:left="720" w:hanging="360"/>
      </w:pPr>
      <w:rPr>
        <w:rFonts w:ascii="Symbol" w:hAnsi="Symbol" w:cs="Symbol" w:hint="default"/>
        <w:sz w:val="22"/>
        <w:szCs w:val="22"/>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112B4DE7"/>
    <w:multiLevelType w:val="hybridMultilevel"/>
    <w:tmpl w:val="809ED110"/>
    <w:lvl w:ilvl="0" w:tplc="DC0685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7C6F3F"/>
    <w:multiLevelType w:val="multilevel"/>
    <w:tmpl w:val="28CC8876"/>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15465C6F"/>
    <w:multiLevelType w:val="multilevel"/>
    <w:tmpl w:val="B9128596"/>
    <w:lvl w:ilvl="0">
      <w:start w:val="1"/>
      <w:numFmt w:val="decimal"/>
      <w:lvlText w:val="%1."/>
      <w:lvlJc w:val="left"/>
      <w:pPr>
        <w:tabs>
          <w:tab w:val="num" w:pos="0"/>
        </w:tabs>
        <w:ind w:left="720" w:hanging="360"/>
      </w:pPr>
      <w:rPr>
        <w:rFonts w:ascii="Calibri" w:hAnsi="Calibri"/>
        <w:b w:val="0"/>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16BF4A93"/>
    <w:multiLevelType w:val="multilevel"/>
    <w:tmpl w:val="38162736"/>
    <w:lvl w:ilvl="0">
      <w:start w:val="1"/>
      <w:numFmt w:val="bullet"/>
      <w:lvlText w:val=""/>
      <w:lvlJc w:val="left"/>
      <w:pPr>
        <w:tabs>
          <w:tab w:val="num" w:pos="0"/>
        </w:tabs>
        <w:ind w:left="720" w:hanging="360"/>
      </w:pPr>
      <w:rPr>
        <w:rFonts w:ascii="Symbol" w:hAnsi="Symbol" w:cs="Symbol" w:hint="default"/>
        <w:b/>
        <w:i w:val="0"/>
        <w:sz w:val="18"/>
        <w:szCs w:val="20"/>
      </w:rPr>
    </w:lvl>
    <w:lvl w:ilvl="1">
      <w:start w:val="1"/>
      <w:numFmt w:val="bullet"/>
      <w:lvlText w:val=""/>
      <w:lvlJc w:val="left"/>
      <w:pPr>
        <w:tabs>
          <w:tab w:val="num" w:pos="197"/>
        </w:tabs>
        <w:ind w:left="1637" w:hanging="360"/>
      </w:pPr>
      <w:rPr>
        <w:rFonts w:ascii="Symbol" w:hAnsi="Symbol" w:cs="Symbol" w:hint="default"/>
        <w:b w:val="0"/>
        <w:i w:val="0"/>
        <w:iCs w:val="0"/>
        <w:color w:val="7030A0"/>
        <w:sz w:val="20"/>
        <w:szCs w:val="20"/>
      </w:rPr>
    </w:lvl>
    <w:lvl w:ilvl="2">
      <w:start w:val="1"/>
      <w:numFmt w:val="lowerRoman"/>
      <w:lvlText w:val="%3."/>
      <w:lvlJc w:val="right"/>
      <w:pPr>
        <w:tabs>
          <w:tab w:val="num" w:pos="0"/>
        </w:tabs>
        <w:ind w:left="2160" w:hanging="180"/>
      </w:pPr>
      <w:rPr>
        <w:b w:val="0"/>
        <w:i w:val="0"/>
        <w:iCs w:val="0"/>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18565C23"/>
    <w:multiLevelType w:val="multilevel"/>
    <w:tmpl w:val="CC08CF5C"/>
    <w:lvl w:ilvl="0">
      <w:start w:val="1"/>
      <w:numFmt w:val="lowerLetter"/>
      <w:lvlText w:val="%1)"/>
      <w:lvlJc w:val="left"/>
      <w:pPr>
        <w:tabs>
          <w:tab w:val="num" w:pos="0"/>
        </w:tabs>
        <w:ind w:left="720" w:hanging="360"/>
      </w:pPr>
      <w:rPr>
        <w:b w:val="0"/>
        <w:bCs/>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188D1536"/>
    <w:multiLevelType w:val="multilevel"/>
    <w:tmpl w:val="C6820486"/>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19080646"/>
    <w:multiLevelType w:val="multilevel"/>
    <w:tmpl w:val="9F4CBAD0"/>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19D11F63"/>
    <w:multiLevelType w:val="multilevel"/>
    <w:tmpl w:val="898646AE"/>
    <w:lvl w:ilvl="0">
      <w:start w:val="1"/>
      <w:numFmt w:val="bullet"/>
      <w:lvlText w:val=""/>
      <w:lvlJc w:val="left"/>
      <w:pPr>
        <w:tabs>
          <w:tab w:val="num" w:pos="0"/>
        </w:tabs>
        <w:ind w:left="767" w:hanging="360"/>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1C8C5C16"/>
    <w:multiLevelType w:val="multilevel"/>
    <w:tmpl w:val="E5CE955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1D3477F0"/>
    <w:multiLevelType w:val="multilevel"/>
    <w:tmpl w:val="1842E0BC"/>
    <w:lvl w:ilvl="0">
      <w:start w:val="1"/>
      <w:numFmt w:val="decimal"/>
      <w:lvlText w:val="%1. "/>
      <w:lvlJc w:val="left"/>
      <w:pPr>
        <w:tabs>
          <w:tab w:val="num" w:pos="720"/>
        </w:tabs>
        <w:ind w:left="643" w:hanging="283"/>
      </w:pPr>
      <w:rPr>
        <w:rFonts w:cs="Times New Roman"/>
        <w:b/>
        <w:bCs w:val="0"/>
        <w:i w:val="0"/>
        <w:i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1EA7280A"/>
    <w:multiLevelType w:val="multilevel"/>
    <w:tmpl w:val="960E265E"/>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1F0E1909"/>
    <w:multiLevelType w:val="multilevel"/>
    <w:tmpl w:val="6B16BC10"/>
    <w:lvl w:ilvl="0">
      <w:start w:val="1"/>
      <w:numFmt w:val="decimal"/>
      <w:lvlText w:val="%1."/>
      <w:lvlJc w:val="left"/>
      <w:pPr>
        <w:tabs>
          <w:tab w:val="num" w:pos="0"/>
        </w:tabs>
        <w:ind w:left="720" w:hanging="360"/>
      </w:pPr>
      <w:rPr>
        <w:rFonts w:ascii="Calibri" w:hAnsi="Calibri"/>
        <w:b w:val="0"/>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1F721921"/>
    <w:multiLevelType w:val="multilevel"/>
    <w:tmpl w:val="8C06542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225E2314"/>
    <w:multiLevelType w:val="multilevel"/>
    <w:tmpl w:val="F67809DE"/>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23C02B7A"/>
    <w:multiLevelType w:val="multilevel"/>
    <w:tmpl w:val="2CA8ABF6"/>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24476684"/>
    <w:multiLevelType w:val="multilevel"/>
    <w:tmpl w:val="5B9CCFA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250B50ED"/>
    <w:multiLevelType w:val="multilevel"/>
    <w:tmpl w:val="D65284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25236CB2"/>
    <w:multiLevelType w:val="multilevel"/>
    <w:tmpl w:val="5844C274"/>
    <w:lvl w:ilvl="0">
      <w:start w:val="1"/>
      <w:numFmt w:val="bullet"/>
      <w:lvlText w:val=""/>
      <w:lvlJc w:val="left"/>
      <w:pPr>
        <w:tabs>
          <w:tab w:val="num" w:pos="0"/>
        </w:tabs>
        <w:ind w:left="720" w:hanging="360"/>
      </w:pPr>
      <w:rPr>
        <w:rFonts w:ascii="Symbol" w:hAnsi="Symbol" w:cs="Symbol" w:hint="default"/>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27291AAA"/>
    <w:multiLevelType w:val="multilevel"/>
    <w:tmpl w:val="219E12AE"/>
    <w:lvl w:ilvl="0">
      <w:start w:val="1"/>
      <w:numFmt w:val="bullet"/>
      <w:lvlText w:val=""/>
      <w:lvlJc w:val="left"/>
      <w:pPr>
        <w:tabs>
          <w:tab w:val="num" w:pos="0"/>
        </w:tabs>
        <w:ind w:left="720" w:hanging="360"/>
      </w:pPr>
      <w:rPr>
        <w:rFonts w:ascii="Symbol" w:hAnsi="Symbol" w:cs="Symbol" w:hint="default"/>
        <w:sz w:val="22"/>
        <w:szCs w:val="22"/>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2A676F8D"/>
    <w:multiLevelType w:val="multilevel"/>
    <w:tmpl w:val="7DDE34A8"/>
    <w:lvl w:ilvl="0">
      <w:start w:val="1"/>
      <w:numFmt w:val="decimal"/>
      <w:lvlText w:val="%1."/>
      <w:lvlJc w:val="left"/>
      <w:pPr>
        <w:tabs>
          <w:tab w:val="num" w:pos="0"/>
        </w:tabs>
        <w:ind w:left="720" w:hanging="360"/>
      </w:pPr>
      <w:rPr>
        <w:rFonts w:cs="Times New Roman"/>
        <w:b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nsid w:val="2F080E95"/>
    <w:multiLevelType w:val="multilevel"/>
    <w:tmpl w:val="4E8CBCF0"/>
    <w:lvl w:ilvl="0">
      <w:start w:val="1"/>
      <w:numFmt w:val="lowerLetter"/>
      <w:lvlText w:val="%1)"/>
      <w:lvlJc w:val="left"/>
      <w:pPr>
        <w:tabs>
          <w:tab w:val="num" w:pos="0"/>
        </w:tabs>
        <w:ind w:left="720" w:hanging="360"/>
      </w:pPr>
      <w:rPr>
        <w:rFonts w:cs="Times New Roman"/>
        <w:b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nsid w:val="2F4E74AB"/>
    <w:multiLevelType w:val="multilevel"/>
    <w:tmpl w:val="410CB9F2"/>
    <w:lvl w:ilvl="0">
      <w:start w:val="1"/>
      <w:numFmt w:val="bullet"/>
      <w:lvlText w:val=""/>
      <w:lvlJc w:val="left"/>
      <w:pPr>
        <w:tabs>
          <w:tab w:val="num" w:pos="0"/>
        </w:tabs>
        <w:ind w:left="720" w:hanging="360"/>
      </w:pPr>
      <w:rPr>
        <w:rFonts w:ascii="Symbol" w:hAnsi="Symbol" w:cs="Symbol" w:hint="default"/>
        <w:sz w:val="22"/>
        <w:szCs w:val="22"/>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307C48B0"/>
    <w:multiLevelType w:val="multilevel"/>
    <w:tmpl w:val="9244BA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330C1330"/>
    <w:multiLevelType w:val="multilevel"/>
    <w:tmpl w:val="9C10B5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332670ED"/>
    <w:multiLevelType w:val="multilevel"/>
    <w:tmpl w:val="04942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34527DC0"/>
    <w:multiLevelType w:val="multilevel"/>
    <w:tmpl w:val="2B84DD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35C91099"/>
    <w:multiLevelType w:val="multilevel"/>
    <w:tmpl w:val="028AA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36731CFA"/>
    <w:multiLevelType w:val="multilevel"/>
    <w:tmpl w:val="B86A7468"/>
    <w:lvl w:ilvl="0">
      <w:start w:val="1"/>
      <w:numFmt w:val="decimal"/>
      <w:lvlText w:val="%1."/>
      <w:lvlJc w:val="left"/>
      <w:pPr>
        <w:tabs>
          <w:tab w:val="num" w:pos="360"/>
        </w:tabs>
        <w:ind w:left="360" w:hanging="360"/>
      </w:pPr>
      <w:rPr>
        <w:rFonts w:asciiTheme="minorHAnsi" w:eastAsia="Calibri" w:hAnsiTheme="minorHAnsi" w:cstheme="minorHAnsi"/>
        <w:b w:val="0"/>
        <w:color w:val="auto"/>
        <w:sz w:val="18"/>
        <w:szCs w:val="18"/>
      </w:rPr>
    </w:lvl>
    <w:lvl w:ilvl="1">
      <w:start w:val="1"/>
      <w:numFmt w:val="lowerLetter"/>
      <w:lvlText w:val="%2)"/>
      <w:lvlJc w:val="left"/>
      <w:pPr>
        <w:tabs>
          <w:tab w:val="num" w:pos="1530"/>
        </w:tabs>
        <w:ind w:left="1530" w:hanging="45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Verdana" w:hAnsi="Verdana" w:cs="Arial"/>
        <w:b/>
        <w:bCs w:val="0"/>
        <w:sz w:val="20"/>
        <w:u w:val="none"/>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rFonts w:ascii="Verdana" w:hAnsi="Verdana" w:cs="Arial"/>
        <w:b w:val="0"/>
        <w:bCs w:val="0"/>
        <w:i/>
        <w:iCs/>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
    <w:nsid w:val="36FC21BE"/>
    <w:multiLevelType w:val="multilevel"/>
    <w:tmpl w:val="49AA87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nsid w:val="379A53F0"/>
    <w:multiLevelType w:val="multilevel"/>
    <w:tmpl w:val="D6201E6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nsid w:val="391B01F7"/>
    <w:multiLevelType w:val="multilevel"/>
    <w:tmpl w:val="020E1CEE"/>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1">
    <w:nsid w:val="3B7E106C"/>
    <w:multiLevelType w:val="multilevel"/>
    <w:tmpl w:val="529469B0"/>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nsid w:val="3C055237"/>
    <w:multiLevelType w:val="multilevel"/>
    <w:tmpl w:val="97DC3B18"/>
    <w:lvl w:ilvl="0">
      <w:start w:val="1"/>
      <w:numFmt w:val="bullet"/>
      <w:lvlText w:val=""/>
      <w:lvlJc w:val="left"/>
      <w:pPr>
        <w:tabs>
          <w:tab w:val="num" w:pos="0"/>
        </w:tabs>
        <w:ind w:left="720" w:hanging="360"/>
      </w:pPr>
      <w:rPr>
        <w:rFonts w:ascii="Symbol" w:hAnsi="Symbol" w:cs="Symbol" w:hint="default"/>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3C3B5E4A"/>
    <w:multiLevelType w:val="multilevel"/>
    <w:tmpl w:val="0C22BC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3F8A42F0"/>
    <w:multiLevelType w:val="multilevel"/>
    <w:tmpl w:val="7374CA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40874745"/>
    <w:multiLevelType w:val="multilevel"/>
    <w:tmpl w:val="A94A2E96"/>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nsid w:val="40BE037A"/>
    <w:multiLevelType w:val="multilevel"/>
    <w:tmpl w:val="09A2ED44"/>
    <w:lvl w:ilvl="0">
      <w:start w:val="1"/>
      <w:numFmt w:val="decimal"/>
      <w:lvlText w:val="%1)"/>
      <w:lvlJc w:val="left"/>
      <w:pPr>
        <w:tabs>
          <w:tab w:val="num" w:pos="0"/>
        </w:tabs>
        <w:ind w:left="1280" w:hanging="360"/>
      </w:pPr>
    </w:lvl>
    <w:lvl w:ilvl="1">
      <w:start w:val="1"/>
      <w:numFmt w:val="lowerLetter"/>
      <w:lvlText w:val="%2."/>
      <w:lvlJc w:val="left"/>
      <w:pPr>
        <w:tabs>
          <w:tab w:val="num" w:pos="0"/>
        </w:tabs>
        <w:ind w:left="2000" w:hanging="360"/>
      </w:pPr>
    </w:lvl>
    <w:lvl w:ilvl="2">
      <w:start w:val="1"/>
      <w:numFmt w:val="lowerRoman"/>
      <w:lvlText w:val="%3."/>
      <w:lvlJc w:val="right"/>
      <w:pPr>
        <w:tabs>
          <w:tab w:val="num" w:pos="0"/>
        </w:tabs>
        <w:ind w:left="2720" w:hanging="180"/>
      </w:pPr>
    </w:lvl>
    <w:lvl w:ilvl="3">
      <w:start w:val="1"/>
      <w:numFmt w:val="decimal"/>
      <w:lvlText w:val="%4."/>
      <w:lvlJc w:val="left"/>
      <w:pPr>
        <w:tabs>
          <w:tab w:val="num" w:pos="0"/>
        </w:tabs>
        <w:ind w:left="3440" w:hanging="360"/>
      </w:pPr>
    </w:lvl>
    <w:lvl w:ilvl="4">
      <w:start w:val="1"/>
      <w:numFmt w:val="lowerLetter"/>
      <w:lvlText w:val="%5."/>
      <w:lvlJc w:val="left"/>
      <w:pPr>
        <w:tabs>
          <w:tab w:val="num" w:pos="0"/>
        </w:tabs>
        <w:ind w:left="4160" w:hanging="360"/>
      </w:pPr>
    </w:lvl>
    <w:lvl w:ilvl="5">
      <w:start w:val="1"/>
      <w:numFmt w:val="lowerRoman"/>
      <w:lvlText w:val="%6."/>
      <w:lvlJc w:val="right"/>
      <w:pPr>
        <w:tabs>
          <w:tab w:val="num" w:pos="0"/>
        </w:tabs>
        <w:ind w:left="4880" w:hanging="180"/>
      </w:pPr>
    </w:lvl>
    <w:lvl w:ilvl="6">
      <w:start w:val="1"/>
      <w:numFmt w:val="decimal"/>
      <w:lvlText w:val="%7."/>
      <w:lvlJc w:val="left"/>
      <w:pPr>
        <w:tabs>
          <w:tab w:val="num" w:pos="0"/>
        </w:tabs>
        <w:ind w:left="5600" w:hanging="360"/>
      </w:pPr>
    </w:lvl>
    <w:lvl w:ilvl="7">
      <w:start w:val="1"/>
      <w:numFmt w:val="lowerLetter"/>
      <w:lvlText w:val="%8."/>
      <w:lvlJc w:val="left"/>
      <w:pPr>
        <w:tabs>
          <w:tab w:val="num" w:pos="0"/>
        </w:tabs>
        <w:ind w:left="6320" w:hanging="360"/>
      </w:pPr>
    </w:lvl>
    <w:lvl w:ilvl="8">
      <w:start w:val="1"/>
      <w:numFmt w:val="lowerRoman"/>
      <w:lvlText w:val="%9."/>
      <w:lvlJc w:val="right"/>
      <w:pPr>
        <w:tabs>
          <w:tab w:val="num" w:pos="0"/>
        </w:tabs>
        <w:ind w:left="7040" w:hanging="180"/>
      </w:pPr>
    </w:lvl>
  </w:abstractNum>
  <w:abstractNum w:abstractNumId="47">
    <w:nsid w:val="4170206A"/>
    <w:multiLevelType w:val="multilevel"/>
    <w:tmpl w:val="6E52CB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5DF4850"/>
    <w:multiLevelType w:val="multilevel"/>
    <w:tmpl w:val="BFB658D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nsid w:val="460A2D77"/>
    <w:multiLevelType w:val="multilevel"/>
    <w:tmpl w:val="BD0AA6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nsid w:val="463F1C3A"/>
    <w:multiLevelType w:val="multilevel"/>
    <w:tmpl w:val="17EAD68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nsid w:val="464E6EC5"/>
    <w:multiLevelType w:val="multilevel"/>
    <w:tmpl w:val="83BC69C8"/>
    <w:lvl w:ilvl="0">
      <w:start w:val="1"/>
      <w:numFmt w:val="lowerLetter"/>
      <w:lvlText w:val="%1)"/>
      <w:lvlJc w:val="left"/>
      <w:pPr>
        <w:tabs>
          <w:tab w:val="num" w:pos="0"/>
        </w:tabs>
        <w:ind w:left="720" w:hanging="360"/>
      </w:pPr>
      <w:rPr>
        <w:rFonts w:asciiTheme="minorHAnsi" w:eastAsia="Times New Roman" w:hAnsiTheme="minorHAnsi" w:cstheme="minorHAnsi"/>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47623216"/>
    <w:multiLevelType w:val="multilevel"/>
    <w:tmpl w:val="874A836C"/>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asciiTheme="minorHAnsi" w:eastAsia="Times New Roman" w:hAnsiTheme="minorHAnsi" w:cstheme="minorHAnsi"/>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489F37E9"/>
    <w:multiLevelType w:val="multilevel"/>
    <w:tmpl w:val="6CA8FC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nsid w:val="4B5F4660"/>
    <w:multiLevelType w:val="multilevel"/>
    <w:tmpl w:val="237EF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4BE96F5A"/>
    <w:multiLevelType w:val="multilevel"/>
    <w:tmpl w:val="30E89F20"/>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4C93578D"/>
    <w:multiLevelType w:val="multilevel"/>
    <w:tmpl w:val="0C66134A"/>
    <w:lvl w:ilvl="0">
      <w:start w:val="1"/>
      <w:numFmt w:val="bullet"/>
      <w:lvlText w:val=""/>
      <w:lvlJc w:val="left"/>
      <w:pPr>
        <w:tabs>
          <w:tab w:val="num" w:pos="0"/>
        </w:tabs>
        <w:ind w:left="720" w:hanging="360"/>
      </w:pPr>
      <w:rPr>
        <w:rFonts w:ascii="Symbol" w:hAnsi="Symbol" w:cs="Symbol" w:hint="default"/>
        <w:sz w:val="22"/>
        <w:szCs w:val="22"/>
        <w:lang w:val="pl-P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4E4874FF"/>
    <w:multiLevelType w:val="multilevel"/>
    <w:tmpl w:val="73422886"/>
    <w:lvl w:ilvl="0">
      <w:start w:val="1"/>
      <w:numFmt w:val="decimal"/>
      <w:lvlText w:val="%1."/>
      <w:lvlJc w:val="left"/>
      <w:pPr>
        <w:tabs>
          <w:tab w:val="num" w:pos="0"/>
        </w:tabs>
        <w:ind w:left="720" w:hanging="360"/>
      </w:pPr>
      <w:rPr>
        <w:rFonts w:ascii="Calibri" w:hAnsi="Calibri" w:cs="Calibri"/>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nsid w:val="51F74078"/>
    <w:multiLevelType w:val="multilevel"/>
    <w:tmpl w:val="E7322C10"/>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nsid w:val="524F6B9E"/>
    <w:multiLevelType w:val="multilevel"/>
    <w:tmpl w:val="93A224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nsid w:val="528323F6"/>
    <w:multiLevelType w:val="multilevel"/>
    <w:tmpl w:val="8EFCEC60"/>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nsid w:val="53400264"/>
    <w:multiLevelType w:val="multilevel"/>
    <w:tmpl w:val="D3D416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nsid w:val="535E0045"/>
    <w:multiLevelType w:val="multilevel"/>
    <w:tmpl w:val="03587F38"/>
    <w:lvl w:ilvl="0">
      <w:start w:val="1"/>
      <w:numFmt w:val="upperRoman"/>
      <w:lvlText w:val="%1."/>
      <w:lvlJc w:val="left"/>
      <w:pPr>
        <w:tabs>
          <w:tab w:val="num" w:pos="0"/>
        </w:tabs>
        <w:ind w:left="1080" w:hanging="720"/>
      </w:pPr>
      <w:rPr>
        <w:rFonts w:cs="Calibri"/>
        <w:sz w:val="20"/>
        <w:szCs w:val="20"/>
      </w:rPr>
    </w:lvl>
    <w:lvl w:ilvl="1">
      <w:start w:val="1"/>
      <w:numFmt w:val="decimal"/>
      <w:lvlText w:val="%2."/>
      <w:lvlJc w:val="left"/>
      <w:pPr>
        <w:tabs>
          <w:tab w:val="num" w:pos="0"/>
        </w:tabs>
        <w:ind w:left="1500" w:hanging="420"/>
      </w:pPr>
      <w:rPr>
        <w:rFonts w:ascii="Calibri" w:eastAsia="Calibri" w:hAnsi="Calibri" w:cs="Calibri"/>
        <w:b w:val="0"/>
        <w:bCs/>
        <w:position w:val="0"/>
        <w:sz w:val="18"/>
        <w:szCs w:val="20"/>
        <w:vertAlign w:val="baseline"/>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cs="Calibri"/>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nsid w:val="556F59EE"/>
    <w:multiLevelType w:val="multilevel"/>
    <w:tmpl w:val="7EB2D3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57261ED8"/>
    <w:multiLevelType w:val="multilevel"/>
    <w:tmpl w:val="1AAC9BE0"/>
    <w:lvl w:ilvl="0">
      <w:start w:val="1"/>
      <w:numFmt w:val="upperRoman"/>
      <w:lvlText w:val="%1."/>
      <w:lvlJc w:val="right"/>
      <w:pPr>
        <w:tabs>
          <w:tab w:val="num" w:pos="284"/>
        </w:tabs>
        <w:ind w:left="644" w:hanging="360"/>
      </w:pPr>
      <w:rPr>
        <w:rFonts w:cs="Calibri"/>
        <w:b/>
        <w:i w:val="0"/>
        <w:sz w:val="20"/>
        <w:szCs w:val="20"/>
      </w:rPr>
    </w:lvl>
    <w:lvl w:ilvl="1">
      <w:start w:val="1"/>
      <w:numFmt w:val="lowerLetter"/>
      <w:lvlText w:val="%2)"/>
      <w:lvlJc w:val="left"/>
      <w:pPr>
        <w:tabs>
          <w:tab w:val="num" w:pos="0"/>
        </w:tabs>
        <w:ind w:left="2148" w:hanging="360"/>
      </w:pPr>
      <w:rPr>
        <w:rFonts w:cs="Calibri"/>
        <w:b w:val="0"/>
        <w:i w:val="0"/>
        <w:iCs w:val="0"/>
        <w:sz w:val="20"/>
        <w:szCs w:val="20"/>
      </w:rPr>
    </w:lvl>
    <w:lvl w:ilvl="2">
      <w:start w:val="1"/>
      <w:numFmt w:val="decimal"/>
      <w:lvlText w:val="%3."/>
      <w:lvlJc w:val="left"/>
      <w:pPr>
        <w:tabs>
          <w:tab w:val="num" w:pos="0"/>
        </w:tabs>
        <w:ind w:left="3048" w:hanging="360"/>
      </w:pPr>
      <w:rPr>
        <w:rFonts w:ascii="Calibri" w:hAnsi="Calibri" w:cs="Calibri"/>
        <w:b w:val="0"/>
        <w:i w:val="0"/>
        <w:iCs w:val="0"/>
        <w:color w:val="00000A"/>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65">
    <w:nsid w:val="58922382"/>
    <w:multiLevelType w:val="multilevel"/>
    <w:tmpl w:val="D85E40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nsid w:val="5ACF0630"/>
    <w:multiLevelType w:val="multilevel"/>
    <w:tmpl w:val="2FB0B906"/>
    <w:lvl w:ilvl="0">
      <w:start w:val="1"/>
      <w:numFmt w:val="decimal"/>
      <w:lvlText w:val="%1."/>
      <w:lvlJc w:val="left"/>
      <w:pPr>
        <w:tabs>
          <w:tab w:val="num" w:pos="720"/>
        </w:tabs>
        <w:ind w:left="720" w:hanging="360"/>
      </w:pPr>
      <w:rPr>
        <w:rFonts w:ascii="Calibri" w:hAnsi="Calibri" w:cs="Calibri"/>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Bookman Old Style" w:hAnsi="Bookman Old Style" w:cs="Bookman Old Style"/>
        <w:sz w:val="22"/>
        <w:szCs w:val="22"/>
      </w:rPr>
    </w:lvl>
    <w:lvl w:ilvl="3">
      <w:start w:val="1"/>
      <w:numFmt w:val="decimal"/>
      <w:lvlText w:val="%4."/>
      <w:lvlJc w:val="left"/>
      <w:pPr>
        <w:tabs>
          <w:tab w:val="num" w:pos="2880"/>
        </w:tabs>
        <w:ind w:left="2880" w:hanging="360"/>
      </w:pPr>
      <w:rPr>
        <w:rFonts w:ascii="Calibri" w:hAnsi="Calibri" w:cs="Calibri"/>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5BD708F9"/>
    <w:multiLevelType w:val="multilevel"/>
    <w:tmpl w:val="BB38DB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nsid w:val="601001B3"/>
    <w:multiLevelType w:val="multilevel"/>
    <w:tmpl w:val="C360ECF0"/>
    <w:lvl w:ilvl="0">
      <w:start w:val="1"/>
      <w:numFmt w:val="upperRoman"/>
      <w:lvlText w:val="%1."/>
      <w:lvlJc w:val="left"/>
      <w:pPr>
        <w:tabs>
          <w:tab w:val="num" w:pos="0"/>
        </w:tabs>
        <w:ind w:left="768" w:hanging="720"/>
      </w:pPr>
    </w:lvl>
    <w:lvl w:ilvl="1">
      <w:start w:val="1"/>
      <w:numFmt w:val="lowerLetter"/>
      <w:lvlText w:val="%2."/>
      <w:lvlJc w:val="left"/>
      <w:pPr>
        <w:tabs>
          <w:tab w:val="num" w:pos="0"/>
        </w:tabs>
        <w:ind w:left="1128" w:hanging="360"/>
      </w:pPr>
    </w:lvl>
    <w:lvl w:ilvl="2">
      <w:start w:val="1"/>
      <w:numFmt w:val="lowerRoman"/>
      <w:lvlText w:val="%3."/>
      <w:lvlJc w:val="right"/>
      <w:pPr>
        <w:tabs>
          <w:tab w:val="num" w:pos="0"/>
        </w:tabs>
        <w:ind w:left="1848" w:hanging="180"/>
      </w:pPr>
    </w:lvl>
    <w:lvl w:ilvl="3">
      <w:start w:val="1"/>
      <w:numFmt w:val="decimal"/>
      <w:lvlText w:val="%4."/>
      <w:lvlJc w:val="left"/>
      <w:pPr>
        <w:tabs>
          <w:tab w:val="num" w:pos="0"/>
        </w:tabs>
        <w:ind w:left="2568" w:hanging="360"/>
      </w:pPr>
    </w:lvl>
    <w:lvl w:ilvl="4">
      <w:start w:val="1"/>
      <w:numFmt w:val="lowerLetter"/>
      <w:lvlText w:val="%5."/>
      <w:lvlJc w:val="left"/>
      <w:pPr>
        <w:tabs>
          <w:tab w:val="num" w:pos="0"/>
        </w:tabs>
        <w:ind w:left="3288" w:hanging="360"/>
      </w:pPr>
    </w:lvl>
    <w:lvl w:ilvl="5">
      <w:start w:val="1"/>
      <w:numFmt w:val="lowerRoman"/>
      <w:lvlText w:val="%6."/>
      <w:lvlJc w:val="right"/>
      <w:pPr>
        <w:tabs>
          <w:tab w:val="num" w:pos="0"/>
        </w:tabs>
        <w:ind w:left="4008" w:hanging="180"/>
      </w:pPr>
    </w:lvl>
    <w:lvl w:ilvl="6">
      <w:start w:val="1"/>
      <w:numFmt w:val="decimal"/>
      <w:lvlText w:val="%7."/>
      <w:lvlJc w:val="left"/>
      <w:pPr>
        <w:tabs>
          <w:tab w:val="num" w:pos="0"/>
        </w:tabs>
        <w:ind w:left="4728" w:hanging="360"/>
      </w:pPr>
    </w:lvl>
    <w:lvl w:ilvl="7">
      <w:start w:val="1"/>
      <w:numFmt w:val="lowerLetter"/>
      <w:lvlText w:val="%8."/>
      <w:lvlJc w:val="left"/>
      <w:pPr>
        <w:tabs>
          <w:tab w:val="num" w:pos="0"/>
        </w:tabs>
        <w:ind w:left="5448" w:hanging="360"/>
      </w:pPr>
    </w:lvl>
    <w:lvl w:ilvl="8">
      <w:start w:val="1"/>
      <w:numFmt w:val="lowerRoman"/>
      <w:lvlText w:val="%9."/>
      <w:lvlJc w:val="right"/>
      <w:pPr>
        <w:tabs>
          <w:tab w:val="num" w:pos="0"/>
        </w:tabs>
        <w:ind w:left="6168" w:hanging="180"/>
      </w:pPr>
    </w:lvl>
  </w:abstractNum>
  <w:abstractNum w:abstractNumId="69">
    <w:nsid w:val="66CE3088"/>
    <w:multiLevelType w:val="multilevel"/>
    <w:tmpl w:val="18B660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nsid w:val="67E1016F"/>
    <w:multiLevelType w:val="multilevel"/>
    <w:tmpl w:val="5B7E64A8"/>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nsid w:val="68775C72"/>
    <w:multiLevelType w:val="multilevel"/>
    <w:tmpl w:val="B930EFFE"/>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nsid w:val="68997C05"/>
    <w:multiLevelType w:val="multilevel"/>
    <w:tmpl w:val="5CCA4F68"/>
    <w:lvl w:ilvl="0">
      <w:start w:val="1"/>
      <w:numFmt w:val="lowerLetter"/>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nsid w:val="712B4D3D"/>
    <w:multiLevelType w:val="multilevel"/>
    <w:tmpl w:val="E424ED6E"/>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nsid w:val="71550777"/>
    <w:multiLevelType w:val="multilevel"/>
    <w:tmpl w:val="FB385804"/>
    <w:lvl w:ilvl="0">
      <w:start w:val="1"/>
      <w:numFmt w:val="decimal"/>
      <w:lvlText w:val="%1)"/>
      <w:lvlJc w:val="left"/>
      <w:pPr>
        <w:tabs>
          <w:tab w:val="num" w:pos="360"/>
        </w:tabs>
        <w:ind w:left="0" w:firstLine="0"/>
      </w:pPr>
      <w:rPr>
        <w:rFonts w:cs="Times New Roman"/>
        <w:i/>
        <w:iCs/>
      </w:rPr>
    </w:lvl>
    <w:lvl w:ilvl="1">
      <w:start w:val="1"/>
      <w:numFmt w:val="lowerLetter"/>
      <w:lvlText w:val="%2."/>
      <w:lvlJc w:val="left"/>
      <w:pPr>
        <w:tabs>
          <w:tab w:val="num" w:pos="0"/>
        </w:tabs>
        <w:ind w:left="2700" w:hanging="360"/>
      </w:pPr>
      <w:rPr>
        <w:rFonts w:cs="Times New Roman"/>
      </w:rPr>
    </w:lvl>
    <w:lvl w:ilvl="2">
      <w:start w:val="1"/>
      <w:numFmt w:val="lowerRoman"/>
      <w:lvlText w:val="%3."/>
      <w:lvlJc w:val="right"/>
      <w:pPr>
        <w:tabs>
          <w:tab w:val="num" w:pos="0"/>
        </w:tabs>
        <w:ind w:left="3420" w:hanging="180"/>
      </w:pPr>
      <w:rPr>
        <w:rFonts w:cs="Times New Roman"/>
      </w:rPr>
    </w:lvl>
    <w:lvl w:ilvl="3">
      <w:start w:val="1"/>
      <w:numFmt w:val="decimal"/>
      <w:lvlText w:val="%4."/>
      <w:lvlJc w:val="left"/>
      <w:pPr>
        <w:tabs>
          <w:tab w:val="num" w:pos="0"/>
        </w:tabs>
        <w:ind w:left="4140" w:hanging="360"/>
      </w:pPr>
      <w:rPr>
        <w:rFonts w:cs="Times New Roman"/>
      </w:rPr>
    </w:lvl>
    <w:lvl w:ilvl="4">
      <w:start w:val="1"/>
      <w:numFmt w:val="lowerLetter"/>
      <w:lvlText w:val="%5."/>
      <w:lvlJc w:val="left"/>
      <w:pPr>
        <w:tabs>
          <w:tab w:val="num" w:pos="0"/>
        </w:tabs>
        <w:ind w:left="4860" w:hanging="360"/>
      </w:pPr>
      <w:rPr>
        <w:rFonts w:cs="Times New Roman"/>
      </w:rPr>
    </w:lvl>
    <w:lvl w:ilvl="5">
      <w:start w:val="1"/>
      <w:numFmt w:val="lowerRoman"/>
      <w:lvlText w:val="%6."/>
      <w:lvlJc w:val="right"/>
      <w:pPr>
        <w:tabs>
          <w:tab w:val="num" w:pos="0"/>
        </w:tabs>
        <w:ind w:left="5580" w:hanging="180"/>
      </w:pPr>
      <w:rPr>
        <w:rFonts w:cs="Times New Roman"/>
      </w:rPr>
    </w:lvl>
    <w:lvl w:ilvl="6">
      <w:start w:val="1"/>
      <w:numFmt w:val="decimal"/>
      <w:lvlText w:val="%7."/>
      <w:lvlJc w:val="left"/>
      <w:pPr>
        <w:tabs>
          <w:tab w:val="num" w:pos="0"/>
        </w:tabs>
        <w:ind w:left="6300" w:hanging="360"/>
      </w:pPr>
      <w:rPr>
        <w:rFonts w:cs="Times New Roman"/>
      </w:rPr>
    </w:lvl>
    <w:lvl w:ilvl="7">
      <w:start w:val="1"/>
      <w:numFmt w:val="lowerLetter"/>
      <w:lvlText w:val="%8."/>
      <w:lvlJc w:val="left"/>
      <w:pPr>
        <w:tabs>
          <w:tab w:val="num" w:pos="0"/>
        </w:tabs>
        <w:ind w:left="7020" w:hanging="360"/>
      </w:pPr>
      <w:rPr>
        <w:rFonts w:cs="Times New Roman"/>
      </w:rPr>
    </w:lvl>
    <w:lvl w:ilvl="8">
      <w:start w:val="1"/>
      <w:numFmt w:val="lowerRoman"/>
      <w:lvlText w:val="%9."/>
      <w:lvlJc w:val="right"/>
      <w:pPr>
        <w:tabs>
          <w:tab w:val="num" w:pos="0"/>
        </w:tabs>
        <w:ind w:left="7740" w:hanging="180"/>
      </w:pPr>
      <w:rPr>
        <w:rFonts w:cs="Times New Roman"/>
      </w:rPr>
    </w:lvl>
  </w:abstractNum>
  <w:abstractNum w:abstractNumId="75">
    <w:nsid w:val="738D2E99"/>
    <w:multiLevelType w:val="multilevel"/>
    <w:tmpl w:val="AA60CA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nsid w:val="763233AD"/>
    <w:multiLevelType w:val="multilevel"/>
    <w:tmpl w:val="60D66348"/>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791A1F6A"/>
    <w:multiLevelType w:val="multilevel"/>
    <w:tmpl w:val="C3E49B3A"/>
    <w:lvl w:ilvl="0">
      <w:start w:val="1"/>
      <w:numFmt w:val="decimal"/>
      <w:lvlText w:val="%1)"/>
      <w:lvlJc w:val="left"/>
      <w:pPr>
        <w:tabs>
          <w:tab w:val="num" w:pos="0"/>
        </w:tabs>
        <w:ind w:left="1080" w:hanging="360"/>
      </w:pPr>
      <w:rPr>
        <w:color w:val="7030A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8">
    <w:nsid w:val="79230A31"/>
    <w:multiLevelType w:val="multilevel"/>
    <w:tmpl w:val="4A18E5F0"/>
    <w:lvl w:ilvl="0">
      <w:start w:val="1"/>
      <w:numFmt w:val="decimal"/>
      <w:lvlText w:val="%1."/>
      <w:lvlJc w:val="left"/>
      <w:pPr>
        <w:tabs>
          <w:tab w:val="num" w:pos="0"/>
        </w:tabs>
        <w:ind w:left="720" w:hanging="72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9">
    <w:nsid w:val="7D3E198F"/>
    <w:multiLevelType w:val="multilevel"/>
    <w:tmpl w:val="9356D23E"/>
    <w:lvl w:ilvl="0">
      <w:start w:val="1"/>
      <w:numFmt w:val="upperRoman"/>
      <w:lvlText w:val="%1."/>
      <w:lvlJc w:val="right"/>
      <w:pPr>
        <w:tabs>
          <w:tab w:val="num" w:pos="284"/>
        </w:tabs>
        <w:ind w:left="644" w:hanging="360"/>
      </w:pPr>
      <w:rPr>
        <w:rFonts w:ascii="Calibri" w:hAnsi="Calibri" w:cs="Calibri"/>
        <w:b/>
        <w:i w:val="0"/>
        <w:sz w:val="20"/>
        <w:szCs w:val="20"/>
      </w:rPr>
    </w:lvl>
    <w:lvl w:ilvl="1">
      <w:start w:val="1"/>
      <w:numFmt w:val="lowerLetter"/>
      <w:lvlText w:val="%2)"/>
      <w:lvlJc w:val="left"/>
      <w:pPr>
        <w:tabs>
          <w:tab w:val="num" w:pos="0"/>
        </w:tabs>
        <w:ind w:left="2148" w:hanging="360"/>
      </w:pPr>
      <w:rPr>
        <w:rFonts w:ascii="Calibri" w:hAnsi="Calibri" w:cs="Calibri"/>
        <w:b w:val="0"/>
        <w:i w:val="0"/>
        <w:iCs w:val="0"/>
        <w:sz w:val="20"/>
        <w:szCs w:val="20"/>
      </w:rPr>
    </w:lvl>
    <w:lvl w:ilvl="2">
      <w:start w:val="1"/>
      <w:numFmt w:val="decimal"/>
      <w:lvlText w:val="%3."/>
      <w:lvlJc w:val="left"/>
      <w:pPr>
        <w:tabs>
          <w:tab w:val="num" w:pos="0"/>
        </w:tabs>
        <w:ind w:left="3048" w:hanging="360"/>
      </w:pPr>
      <w:rPr>
        <w:rFonts w:ascii="Calibri" w:hAnsi="Calibri" w:cs="Calibri"/>
        <w:b w:val="0"/>
        <w:i w:val="0"/>
        <w:iCs w:val="0"/>
        <w:color w:val="auto"/>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80">
    <w:nsid w:val="7F1A5625"/>
    <w:multiLevelType w:val="multilevel"/>
    <w:tmpl w:val="3BD015B6"/>
    <w:lvl w:ilvl="0">
      <w:start w:val="1"/>
      <w:numFmt w:val="decimal"/>
      <w:lvlText w:val="%1. "/>
      <w:lvlJc w:val="left"/>
      <w:pPr>
        <w:tabs>
          <w:tab w:val="num" w:pos="720"/>
        </w:tabs>
        <w:ind w:left="643" w:hanging="283"/>
      </w:pPr>
      <w:rPr>
        <w:rFonts w:cs="Times New Roman"/>
        <w:b/>
        <w:bCs w:val="0"/>
        <w:i w:val="0"/>
        <w:iCs w:val="0"/>
        <w:sz w:val="20"/>
        <w:szCs w:val="2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nsid w:val="7F4D1026"/>
    <w:multiLevelType w:val="multilevel"/>
    <w:tmpl w:val="8A52F04E"/>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74"/>
  </w:num>
  <w:num w:numId="3">
    <w:abstractNumId w:val="80"/>
  </w:num>
  <w:num w:numId="4">
    <w:abstractNumId w:val="19"/>
  </w:num>
  <w:num w:numId="5">
    <w:abstractNumId w:val="11"/>
  </w:num>
  <w:num w:numId="6">
    <w:abstractNumId w:val="68"/>
  </w:num>
  <w:num w:numId="7">
    <w:abstractNumId w:val="22"/>
  </w:num>
  <w:num w:numId="8">
    <w:abstractNumId w:val="58"/>
  </w:num>
  <w:num w:numId="9">
    <w:abstractNumId w:val="71"/>
  </w:num>
  <w:num w:numId="10">
    <w:abstractNumId w:val="60"/>
  </w:num>
  <w:num w:numId="11">
    <w:abstractNumId w:val="73"/>
  </w:num>
  <w:num w:numId="12">
    <w:abstractNumId w:val="15"/>
  </w:num>
  <w:num w:numId="13">
    <w:abstractNumId w:val="72"/>
  </w:num>
  <w:num w:numId="14">
    <w:abstractNumId w:val="55"/>
  </w:num>
  <w:num w:numId="15">
    <w:abstractNumId w:val="8"/>
  </w:num>
  <w:num w:numId="16">
    <w:abstractNumId w:val="16"/>
  </w:num>
  <w:num w:numId="17">
    <w:abstractNumId w:val="20"/>
  </w:num>
  <w:num w:numId="18">
    <w:abstractNumId w:val="18"/>
  </w:num>
  <w:num w:numId="19">
    <w:abstractNumId w:val="76"/>
  </w:num>
  <w:num w:numId="20">
    <w:abstractNumId w:val="23"/>
  </w:num>
  <w:num w:numId="21">
    <w:abstractNumId w:val="70"/>
  </w:num>
  <w:num w:numId="22">
    <w:abstractNumId w:val="5"/>
  </w:num>
  <w:num w:numId="23">
    <w:abstractNumId w:val="24"/>
  </w:num>
  <w:num w:numId="24">
    <w:abstractNumId w:val="45"/>
  </w:num>
  <w:num w:numId="25">
    <w:abstractNumId w:val="63"/>
  </w:num>
  <w:num w:numId="26">
    <w:abstractNumId w:val="79"/>
  </w:num>
  <w:num w:numId="27">
    <w:abstractNumId w:val="17"/>
  </w:num>
  <w:num w:numId="28">
    <w:abstractNumId w:val="0"/>
  </w:num>
  <w:num w:numId="29">
    <w:abstractNumId w:val="40"/>
  </w:num>
  <w:num w:numId="30">
    <w:abstractNumId w:val="25"/>
  </w:num>
  <w:num w:numId="31">
    <w:abstractNumId w:val="62"/>
  </w:num>
  <w:num w:numId="32">
    <w:abstractNumId w:val="4"/>
  </w:num>
  <w:num w:numId="33">
    <w:abstractNumId w:val="13"/>
  </w:num>
  <w:num w:numId="34">
    <w:abstractNumId w:val="57"/>
  </w:num>
  <w:num w:numId="35">
    <w:abstractNumId w:val="12"/>
  </w:num>
  <w:num w:numId="36">
    <w:abstractNumId w:val="21"/>
  </w:num>
  <w:num w:numId="37">
    <w:abstractNumId w:val="14"/>
  </w:num>
  <w:num w:numId="38">
    <w:abstractNumId w:val="44"/>
  </w:num>
  <w:num w:numId="39">
    <w:abstractNumId w:val="33"/>
  </w:num>
  <w:num w:numId="40">
    <w:abstractNumId w:val="29"/>
  </w:num>
  <w:num w:numId="41">
    <w:abstractNumId w:val="30"/>
  </w:num>
  <w:num w:numId="42">
    <w:abstractNumId w:val="66"/>
  </w:num>
  <w:num w:numId="43">
    <w:abstractNumId w:val="51"/>
  </w:num>
  <w:num w:numId="44">
    <w:abstractNumId w:val="50"/>
  </w:num>
  <w:num w:numId="45">
    <w:abstractNumId w:val="81"/>
  </w:num>
  <w:num w:numId="46">
    <w:abstractNumId w:val="48"/>
  </w:num>
  <w:num w:numId="47">
    <w:abstractNumId w:val="65"/>
  </w:num>
  <w:num w:numId="48">
    <w:abstractNumId w:val="59"/>
  </w:num>
  <w:num w:numId="49">
    <w:abstractNumId w:val="27"/>
  </w:num>
  <w:num w:numId="50">
    <w:abstractNumId w:val="52"/>
  </w:num>
  <w:num w:numId="51">
    <w:abstractNumId w:val="37"/>
  </w:num>
  <w:num w:numId="52">
    <w:abstractNumId w:val="31"/>
  </w:num>
  <w:num w:numId="53">
    <w:abstractNumId w:val="9"/>
  </w:num>
  <w:num w:numId="54">
    <w:abstractNumId w:val="38"/>
  </w:num>
  <w:num w:numId="55">
    <w:abstractNumId w:val="78"/>
  </w:num>
  <w:num w:numId="56">
    <w:abstractNumId w:val="61"/>
  </w:num>
  <w:num w:numId="57">
    <w:abstractNumId w:val="7"/>
  </w:num>
  <w:num w:numId="58">
    <w:abstractNumId w:val="39"/>
  </w:num>
  <w:num w:numId="59">
    <w:abstractNumId w:val="67"/>
  </w:num>
  <w:num w:numId="60">
    <w:abstractNumId w:val="1"/>
  </w:num>
  <w:num w:numId="61">
    <w:abstractNumId w:val="77"/>
  </w:num>
  <w:num w:numId="62">
    <w:abstractNumId w:val="64"/>
  </w:num>
  <w:num w:numId="63">
    <w:abstractNumId w:val="46"/>
  </w:num>
  <w:num w:numId="64">
    <w:abstractNumId w:val="2"/>
  </w:num>
  <w:num w:numId="65">
    <w:abstractNumId w:val="49"/>
  </w:num>
  <w:num w:numId="66">
    <w:abstractNumId w:val="54"/>
  </w:num>
  <w:num w:numId="67">
    <w:abstractNumId w:val="26"/>
  </w:num>
  <w:num w:numId="68">
    <w:abstractNumId w:val="75"/>
  </w:num>
  <w:num w:numId="69">
    <w:abstractNumId w:val="36"/>
  </w:num>
  <w:num w:numId="70">
    <w:abstractNumId w:val="47"/>
  </w:num>
  <w:num w:numId="71">
    <w:abstractNumId w:val="35"/>
  </w:num>
  <w:num w:numId="72">
    <w:abstractNumId w:val="34"/>
  </w:num>
  <w:num w:numId="73">
    <w:abstractNumId w:val="69"/>
  </w:num>
  <w:num w:numId="74">
    <w:abstractNumId w:val="32"/>
  </w:num>
  <w:num w:numId="75">
    <w:abstractNumId w:val="53"/>
  </w:num>
  <w:num w:numId="76">
    <w:abstractNumId w:val="43"/>
  </w:num>
  <w:num w:numId="77">
    <w:abstractNumId w:val="42"/>
  </w:num>
  <w:num w:numId="78">
    <w:abstractNumId w:val="56"/>
  </w:num>
  <w:num w:numId="79">
    <w:abstractNumId w:val="28"/>
  </w:num>
  <w:num w:numId="80">
    <w:abstractNumId w:val="3"/>
  </w:num>
  <w:num w:numId="81">
    <w:abstractNumId w:val="6"/>
  </w:num>
  <w:num w:numId="82">
    <w:abstractNumId w:val="10"/>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0"/>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78639D"/>
    <w:rsid w:val="00043D71"/>
    <w:rsid w:val="000522D8"/>
    <w:rsid w:val="000C3956"/>
    <w:rsid w:val="00111183"/>
    <w:rsid w:val="0014213C"/>
    <w:rsid w:val="00165C1D"/>
    <w:rsid w:val="00171ADE"/>
    <w:rsid w:val="001B555E"/>
    <w:rsid w:val="001F242A"/>
    <w:rsid w:val="00206F80"/>
    <w:rsid w:val="00284CEE"/>
    <w:rsid w:val="00296BC0"/>
    <w:rsid w:val="002A68DF"/>
    <w:rsid w:val="003255F8"/>
    <w:rsid w:val="00335E69"/>
    <w:rsid w:val="00342CF7"/>
    <w:rsid w:val="003511CF"/>
    <w:rsid w:val="00381BD8"/>
    <w:rsid w:val="003E6BD9"/>
    <w:rsid w:val="003E75D3"/>
    <w:rsid w:val="004233A5"/>
    <w:rsid w:val="00430EB9"/>
    <w:rsid w:val="00433E8F"/>
    <w:rsid w:val="00471EBF"/>
    <w:rsid w:val="0048590C"/>
    <w:rsid w:val="004945CF"/>
    <w:rsid w:val="004D1E18"/>
    <w:rsid w:val="004D4B50"/>
    <w:rsid w:val="005A67F1"/>
    <w:rsid w:val="005C5C64"/>
    <w:rsid w:val="005E5D1D"/>
    <w:rsid w:val="005F206D"/>
    <w:rsid w:val="00630AA5"/>
    <w:rsid w:val="006F5606"/>
    <w:rsid w:val="00720A79"/>
    <w:rsid w:val="00737B67"/>
    <w:rsid w:val="007425A6"/>
    <w:rsid w:val="007578EC"/>
    <w:rsid w:val="0078639D"/>
    <w:rsid w:val="007D10C9"/>
    <w:rsid w:val="007E110C"/>
    <w:rsid w:val="0081626F"/>
    <w:rsid w:val="00857A66"/>
    <w:rsid w:val="008E1532"/>
    <w:rsid w:val="008E2926"/>
    <w:rsid w:val="00912856"/>
    <w:rsid w:val="009226A9"/>
    <w:rsid w:val="009B102F"/>
    <w:rsid w:val="00A27E03"/>
    <w:rsid w:val="00A340FF"/>
    <w:rsid w:val="00A45AB0"/>
    <w:rsid w:val="00A77A22"/>
    <w:rsid w:val="00AB1509"/>
    <w:rsid w:val="00AB4B17"/>
    <w:rsid w:val="00AC122B"/>
    <w:rsid w:val="00AC34FA"/>
    <w:rsid w:val="00BF1F10"/>
    <w:rsid w:val="00C45275"/>
    <w:rsid w:val="00CF6629"/>
    <w:rsid w:val="00D27D83"/>
    <w:rsid w:val="00DD075F"/>
    <w:rsid w:val="00E256B8"/>
    <w:rsid w:val="00E37977"/>
    <w:rsid w:val="00E753B5"/>
    <w:rsid w:val="00E82E6F"/>
    <w:rsid w:val="00EF5EBD"/>
    <w:rsid w:val="00F0038E"/>
    <w:rsid w:val="00F46A64"/>
    <w:rsid w:val="00F64601"/>
    <w:rsid w:val="00FA1209"/>
    <w:rsid w:val="00FB0E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81701"/>
    <w:pPr>
      <w:spacing w:after="160" w:line="259" w:lineRule="auto"/>
    </w:pPr>
    <w:rPr>
      <w:sz w:val="22"/>
      <w:szCs w:val="22"/>
    </w:rPr>
  </w:style>
  <w:style w:type="paragraph" w:styleId="Nagwek1">
    <w:name w:val="heading 1"/>
    <w:basedOn w:val="Normalny"/>
    <w:next w:val="Normalny"/>
    <w:link w:val="Nagwek1Znak"/>
    <w:uiPriority w:val="9"/>
    <w:qFormat/>
    <w:rsid w:val="00552245"/>
    <w:pPr>
      <w:keepNext/>
      <w:keepLines/>
      <w:spacing w:before="240" w:after="0"/>
      <w:jc w:val="center"/>
      <w:outlineLvl w:val="0"/>
    </w:pPr>
    <w:rPr>
      <w:rFonts w:ascii="Calibri" w:eastAsiaTheme="majorEastAsia" w:hAnsi="Calibri" w:cstheme="majorBidi"/>
      <w:b/>
      <w:szCs w:val="32"/>
      <w:u w:val="single"/>
    </w:rPr>
  </w:style>
  <w:style w:type="paragraph" w:styleId="Nagwek2">
    <w:name w:val="heading 2"/>
    <w:basedOn w:val="Normalny"/>
    <w:next w:val="Normalny"/>
    <w:link w:val="Nagwek2Znak"/>
    <w:unhideWhenUsed/>
    <w:qFormat/>
    <w:rsid w:val="00856466"/>
    <w:pPr>
      <w:keepNext/>
      <w:keepLines/>
      <w:spacing w:before="40" w:after="0"/>
      <w:outlineLvl w:val="1"/>
    </w:pPr>
    <w:rPr>
      <w:rFonts w:ascii="Calibri" w:eastAsiaTheme="majorEastAsia" w:hAnsi="Calibri" w:cstheme="majorBidi"/>
      <w:b/>
      <w:szCs w:val="26"/>
    </w:rPr>
  </w:style>
  <w:style w:type="paragraph" w:styleId="Nagwek3">
    <w:name w:val="heading 3"/>
    <w:basedOn w:val="Normalny"/>
    <w:next w:val="Normalny"/>
    <w:link w:val="Nagwek3Znak"/>
    <w:unhideWhenUsed/>
    <w:qFormat/>
    <w:rsid w:val="00C945B3"/>
    <w:pPr>
      <w:keepNext/>
      <w:keepLines/>
      <w:spacing w:before="40" w:after="0"/>
      <w:jc w:val="right"/>
      <w:outlineLvl w:val="2"/>
    </w:pPr>
    <w:rPr>
      <w:rFonts w:ascii="Calibri" w:eastAsiaTheme="majorEastAsia" w:hAnsi="Calibri" w:cstheme="majorBidi"/>
      <w:b/>
      <w:i/>
      <w:color w:val="7030A0"/>
      <w:szCs w:val="24"/>
    </w:rPr>
  </w:style>
  <w:style w:type="paragraph" w:styleId="Nagwek4">
    <w:name w:val="heading 4"/>
    <w:basedOn w:val="Normalny"/>
    <w:next w:val="Normalny"/>
    <w:link w:val="Nagwek4Znak"/>
    <w:uiPriority w:val="9"/>
    <w:semiHidden/>
    <w:unhideWhenUsed/>
    <w:qFormat/>
    <w:rsid w:val="00C9436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9"/>
    <w:unhideWhenUsed/>
    <w:qFormat/>
    <w:rsid w:val="00144E9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basedOn w:val="Domylnaczcionkaakapitu"/>
    <w:link w:val="Tekstpodstawowywcity"/>
    <w:uiPriority w:val="99"/>
    <w:qFormat/>
    <w:rsid w:val="00A81701"/>
    <w:rPr>
      <w:rFonts w:ascii="Calibri" w:eastAsia="Times New Roman" w:hAnsi="Calibri" w:cs="Times New Roman"/>
      <w:sz w:val="22"/>
      <w:szCs w:val="20"/>
    </w:rPr>
  </w:style>
  <w:style w:type="character" w:styleId="Hipercze">
    <w:name w:val="Hyperlink"/>
    <w:uiPriority w:val="99"/>
    <w:rsid w:val="00A81701"/>
    <w:rPr>
      <w:rFonts w:cs="Times New Roman"/>
      <w:color w:val="0000FF"/>
      <w:u w:val="single"/>
    </w:rPr>
  </w:style>
  <w:style w:type="character" w:customStyle="1" w:styleId="StopkaZnak">
    <w:name w:val="Stopka Znak"/>
    <w:basedOn w:val="Domylnaczcionkaakapitu"/>
    <w:link w:val="Stopka"/>
    <w:uiPriority w:val="99"/>
    <w:qFormat/>
    <w:rsid w:val="00A81701"/>
    <w:rPr>
      <w:sz w:val="22"/>
      <w:szCs w:val="22"/>
    </w:rPr>
  </w:style>
  <w:style w:type="character" w:styleId="Numerstrony">
    <w:name w:val="page number"/>
    <w:basedOn w:val="Domylnaczcionkaakapitu"/>
    <w:uiPriority w:val="99"/>
    <w:semiHidden/>
    <w:unhideWhenUsed/>
    <w:rsid w:val="00A81701"/>
  </w:style>
  <w:style w:type="character" w:styleId="Pogrubienie">
    <w:name w:val="Strong"/>
    <w:uiPriority w:val="22"/>
    <w:qFormat/>
    <w:rsid w:val="00A81701"/>
    <w:rPr>
      <w:rFonts w:cs="Times New Roman"/>
      <w:b/>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81701"/>
    <w:rPr>
      <w:rFonts w:ascii="Times New Roman" w:eastAsia="Times New Roman" w:hAnsi="Times New Roman" w:cs="Times New Roman"/>
      <w:sz w:val="20"/>
      <w:szCs w:val="20"/>
      <w:lang w:eastAsia="pl-PL"/>
    </w:rPr>
  </w:style>
  <w:style w:type="character" w:customStyle="1" w:styleId="highlight">
    <w:name w:val="highlight"/>
    <w:qFormat/>
    <w:rsid w:val="00A81701"/>
    <w:rPr>
      <w:rFonts w:cs="Times New Roman"/>
    </w:rPr>
  </w:style>
  <w:style w:type="character" w:customStyle="1" w:styleId="Ciemnalistaakcent5Znak">
    <w:name w:val="Ciemna lista — akcent 5 Znak"/>
    <w:link w:val="Ciemnalistaakcent51"/>
    <w:uiPriority w:val="99"/>
    <w:qFormat/>
    <w:locked/>
    <w:rsid w:val="00BA6A70"/>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qFormat/>
    <w:rsid w:val="00174742"/>
    <w:rPr>
      <w:sz w:val="22"/>
      <w:szCs w:val="22"/>
    </w:rPr>
  </w:style>
  <w:style w:type="character" w:customStyle="1" w:styleId="Nagwek2Znak">
    <w:name w:val="Nagłówek 2 Znak"/>
    <w:basedOn w:val="Domylnaczcionkaakapitu"/>
    <w:link w:val="Nagwek2"/>
    <w:qFormat/>
    <w:rsid w:val="00856466"/>
    <w:rPr>
      <w:rFonts w:ascii="Calibri" w:eastAsiaTheme="majorEastAsia" w:hAnsi="Calibri" w:cstheme="majorBidi"/>
      <w:b/>
      <w:sz w:val="22"/>
      <w:szCs w:val="26"/>
    </w:rPr>
  </w:style>
  <w:style w:type="character" w:customStyle="1" w:styleId="Nagwek1Znak">
    <w:name w:val="Nagłówek 1 Znak"/>
    <w:basedOn w:val="Domylnaczcionkaakapitu"/>
    <w:link w:val="Nagwek1"/>
    <w:uiPriority w:val="9"/>
    <w:qFormat/>
    <w:rsid w:val="00552245"/>
    <w:rPr>
      <w:rFonts w:ascii="Calibri" w:eastAsiaTheme="majorEastAsia" w:hAnsi="Calibri" w:cstheme="majorBidi"/>
      <w:b/>
      <w:sz w:val="22"/>
      <w:szCs w:val="32"/>
      <w:u w:val="single"/>
    </w:rPr>
  </w:style>
  <w:style w:type="character" w:customStyle="1" w:styleId="TekstpodstawowyZnak">
    <w:name w:val="Tekst podstawowy Znak"/>
    <w:basedOn w:val="Domylnaczcionkaakapitu"/>
    <w:link w:val="Tekstpodstawowy"/>
    <w:uiPriority w:val="99"/>
    <w:qFormat/>
    <w:rsid w:val="00F342CA"/>
    <w:rPr>
      <w:sz w:val="22"/>
      <w:szCs w:val="22"/>
    </w:rPr>
  </w:style>
  <w:style w:type="character" w:customStyle="1" w:styleId="NormalnyWebZnak">
    <w:name w:val="Normalny (Web) Znak"/>
    <w:link w:val="NormalnyWeb"/>
    <w:uiPriority w:val="99"/>
    <w:qFormat/>
    <w:locked/>
    <w:rsid w:val="00F342CA"/>
    <w:rPr>
      <w:rFonts w:ascii="Times New Roman" w:eastAsia="Times New Roman" w:hAnsi="Times New Roman" w:cs="Times New Roman"/>
      <w:szCs w:val="20"/>
      <w:lang w:eastAsia="pl-PL"/>
    </w:rPr>
  </w:style>
  <w:style w:type="character" w:customStyle="1" w:styleId="TekstkomentarzaZnak">
    <w:name w:val="Tekst komentarza Znak"/>
    <w:basedOn w:val="Domylnaczcionkaakapitu"/>
    <w:link w:val="Tekstkomentarza"/>
    <w:uiPriority w:val="99"/>
    <w:semiHidden/>
    <w:qFormat/>
    <w:rsid w:val="003126E6"/>
    <w:rPr>
      <w:sz w:val="20"/>
      <w:szCs w:val="20"/>
    </w:rPr>
  </w:style>
  <w:style w:type="character" w:customStyle="1" w:styleId="TematkomentarzaZnak">
    <w:name w:val="Temat komentarza Znak"/>
    <w:basedOn w:val="TekstkomentarzaZnak"/>
    <w:link w:val="Tematkomentarza"/>
    <w:uiPriority w:val="99"/>
    <w:qFormat/>
    <w:rsid w:val="003126E6"/>
    <w:rPr>
      <w:rFonts w:ascii="Times New Roman" w:eastAsia="Arial Unicode MS" w:hAnsi="Times New Roman" w:cs="Times New Roman"/>
      <w:b/>
      <w:color w:val="000000"/>
      <w:sz w:val="20"/>
      <w:szCs w:val="20"/>
      <w:u w:val="none" w:color="000000"/>
      <w:lang w:eastAsia="pl-PL"/>
    </w:rPr>
  </w:style>
  <w:style w:type="character" w:customStyle="1" w:styleId="Kolorowalistaakcent1Znak">
    <w:name w:val="Kolorowa lista — akcent 1 Znak"/>
    <w:link w:val="Kolorowalistaakcent11"/>
    <w:uiPriority w:val="99"/>
    <w:qFormat/>
    <w:locked/>
    <w:rsid w:val="003126E6"/>
    <w:rPr>
      <w:rFonts w:ascii="Arial" w:eastAsia="Times New Roman" w:hAnsi="Arial" w:cs="Times New Roman"/>
      <w:sz w:val="20"/>
      <w:szCs w:val="20"/>
      <w:lang w:eastAsia="pl-PL"/>
    </w:rPr>
  </w:style>
  <w:style w:type="character" w:customStyle="1" w:styleId="NagwekZnak">
    <w:name w:val="Nagłówek Znak"/>
    <w:basedOn w:val="Domylnaczcionkaakapitu"/>
    <w:link w:val="Nagwek"/>
    <w:qFormat/>
    <w:rsid w:val="003126E6"/>
    <w:rPr>
      <w:sz w:val="22"/>
      <w:szCs w:val="22"/>
    </w:rPr>
  </w:style>
  <w:style w:type="character" w:customStyle="1" w:styleId="Nagwek5Znak">
    <w:name w:val="Nagłówek 5 Znak"/>
    <w:basedOn w:val="Domylnaczcionkaakapitu"/>
    <w:link w:val="Nagwek5"/>
    <w:uiPriority w:val="99"/>
    <w:qFormat/>
    <w:rsid w:val="00144E98"/>
    <w:rPr>
      <w:rFonts w:asciiTheme="majorHAnsi" w:eastAsiaTheme="majorEastAsia" w:hAnsiTheme="majorHAnsi" w:cstheme="majorBidi"/>
      <w:color w:val="2F5496" w:themeColor="accent1" w:themeShade="BF"/>
      <w:sz w:val="22"/>
      <w:szCs w:val="22"/>
    </w:rPr>
  </w:style>
  <w:style w:type="character" w:customStyle="1" w:styleId="Jasnasiatkaakcent3Znak">
    <w:name w:val="Jasna siatka — akcent 3 Znak"/>
    <w:link w:val="Jasnasiatkaakcent31"/>
    <w:uiPriority w:val="99"/>
    <w:qFormat/>
    <w:locked/>
    <w:rsid w:val="00144E98"/>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qFormat/>
    <w:rsid w:val="00144E98"/>
    <w:rPr>
      <w:rFonts w:ascii="Calibri" w:eastAsia="Times New Roman" w:hAnsi="Calibri" w:cs="Times New Roman"/>
      <w:sz w:val="20"/>
      <w:szCs w:val="20"/>
    </w:rPr>
  </w:style>
  <w:style w:type="character" w:customStyle="1" w:styleId="Kolorowecieniowanieakcent3Znak">
    <w:name w:val="Kolorowe cieniowanie — akcent 3 Znak"/>
    <w:link w:val="Kolorowecieniowanieakcent31"/>
    <w:uiPriority w:val="99"/>
    <w:qFormat/>
    <w:locked/>
    <w:rsid w:val="00C9436E"/>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semiHidden/>
    <w:qFormat/>
    <w:rsid w:val="00C9436E"/>
    <w:rPr>
      <w:rFonts w:asciiTheme="majorHAnsi" w:eastAsiaTheme="majorEastAsia" w:hAnsiTheme="majorHAnsi" w:cstheme="majorBidi"/>
      <w:i/>
      <w:iCs/>
      <w:color w:val="2F5496" w:themeColor="accent1" w:themeShade="BF"/>
      <w:sz w:val="22"/>
      <w:szCs w:val="22"/>
    </w:rPr>
  </w:style>
  <w:style w:type="character" w:customStyle="1" w:styleId="Znakiprzypiswdolnych">
    <w:name w:val="Znaki przypisów dolnych"/>
    <w:uiPriority w:val="99"/>
    <w:qFormat/>
    <w:rsid w:val="00C9436E"/>
    <w:rPr>
      <w:rFonts w:cs="Times New Roman"/>
      <w:vertAlign w:val="superscript"/>
    </w:rPr>
  </w:style>
  <w:style w:type="character" w:styleId="Odwoanieprzypisudolnego">
    <w:name w:val="footnote reference"/>
    <w:rsid w:val="0078639D"/>
    <w:rPr>
      <w:rFonts w:cs="Times New Roman"/>
      <w:vertAlign w:val="superscript"/>
    </w:rPr>
  </w:style>
  <w:style w:type="character" w:customStyle="1" w:styleId="Nagwek3Znak">
    <w:name w:val="Nagłówek 3 Znak"/>
    <w:basedOn w:val="Domylnaczcionkaakapitu"/>
    <w:link w:val="Nagwek3"/>
    <w:qFormat/>
    <w:rsid w:val="00C945B3"/>
    <w:rPr>
      <w:rFonts w:ascii="Calibri" w:eastAsiaTheme="majorEastAsia" w:hAnsi="Calibri" w:cstheme="majorBidi"/>
      <w:b/>
      <w:i/>
      <w:color w:val="7030A0"/>
      <w:sz w:val="22"/>
    </w:rPr>
  </w:style>
  <w:style w:type="character" w:customStyle="1" w:styleId="Nierozpoznanawzmianka1">
    <w:name w:val="Nierozpoznana wzmianka1"/>
    <w:basedOn w:val="Domylnaczcionkaakapitu"/>
    <w:uiPriority w:val="99"/>
    <w:semiHidden/>
    <w:unhideWhenUsed/>
    <w:qFormat/>
    <w:rsid w:val="003D3A8F"/>
    <w:rPr>
      <w:color w:val="605E5C"/>
      <w:shd w:val="clear" w:color="auto" w:fill="E1DFDD"/>
    </w:rPr>
  </w:style>
  <w:style w:type="character" w:styleId="Odwoaniedokomentarza">
    <w:name w:val="annotation reference"/>
    <w:basedOn w:val="Domylnaczcionkaakapitu"/>
    <w:uiPriority w:val="99"/>
    <w:semiHidden/>
    <w:unhideWhenUsed/>
    <w:qFormat/>
    <w:rsid w:val="00D26A6B"/>
    <w:rPr>
      <w:sz w:val="16"/>
      <w:szCs w:val="16"/>
    </w:rPr>
  </w:style>
  <w:style w:type="character" w:customStyle="1" w:styleId="TekstdymkaZnak">
    <w:name w:val="Tekst dymka Znak"/>
    <w:basedOn w:val="Domylnaczcionkaakapitu"/>
    <w:link w:val="Tekstdymka"/>
    <w:uiPriority w:val="99"/>
    <w:semiHidden/>
    <w:qFormat/>
    <w:rsid w:val="006422EF"/>
    <w:rPr>
      <w:rFonts w:ascii="Segoe UI" w:hAnsi="Segoe UI" w:cs="Segoe UI"/>
      <w:sz w:val="18"/>
      <w:szCs w:val="18"/>
    </w:rPr>
  </w:style>
  <w:style w:type="character" w:styleId="Tytuksiki">
    <w:name w:val="Book Title"/>
    <w:basedOn w:val="Domylnaczcionkaakapitu"/>
    <w:uiPriority w:val="33"/>
    <w:qFormat/>
    <w:rsid w:val="00762146"/>
    <w:rPr>
      <w:b/>
      <w:bCs/>
      <w:i/>
      <w:iCs/>
      <w:spacing w:val="5"/>
    </w:rPr>
  </w:style>
  <w:style w:type="character" w:customStyle="1" w:styleId="TytuZnak">
    <w:name w:val="Tytuł Znak"/>
    <w:basedOn w:val="Domylnaczcionkaakapitu"/>
    <w:link w:val="Tytu"/>
    <w:uiPriority w:val="10"/>
    <w:qFormat/>
    <w:rsid w:val="00762146"/>
    <w:rPr>
      <w:rFonts w:asciiTheme="majorHAnsi" w:eastAsiaTheme="majorEastAsia" w:hAnsiTheme="majorHAnsi" w:cstheme="majorBidi"/>
      <w:spacing w:val="-10"/>
      <w:kern w:val="2"/>
      <w:sz w:val="56"/>
      <w:szCs w:val="56"/>
    </w:rPr>
  </w:style>
  <w:style w:type="character" w:styleId="UyteHipercze">
    <w:name w:val="FollowedHyperlink"/>
    <w:basedOn w:val="Domylnaczcionkaakapitu"/>
    <w:uiPriority w:val="99"/>
    <w:semiHidden/>
    <w:unhideWhenUsed/>
    <w:rsid w:val="00FD07F0"/>
    <w:rPr>
      <w:color w:val="954F72" w:themeColor="followedHyperlink"/>
      <w:u w:val="single"/>
    </w:rPr>
  </w:style>
  <w:style w:type="character" w:customStyle="1" w:styleId="hgkelc">
    <w:name w:val="hgkelc"/>
    <w:basedOn w:val="Domylnaczcionkaakapitu"/>
    <w:qFormat/>
    <w:rsid w:val="000059FB"/>
  </w:style>
  <w:style w:type="character" w:customStyle="1" w:styleId="redniasiatka1akcent2Znak1">
    <w:name w:val="Średnia siatka 1 — akcent 2 Znak1"/>
    <w:link w:val="redniasiatka1akcent22"/>
    <w:uiPriority w:val="99"/>
    <w:qFormat/>
    <w:locked/>
    <w:rsid w:val="000059FB"/>
    <w:rPr>
      <w:rFonts w:ascii="Times New Roman" w:eastAsia="Times New Roman" w:hAnsi="Times New Roman" w:cs="Times New Roman"/>
      <w:sz w:val="20"/>
      <w:szCs w:val="20"/>
      <w:lang w:eastAsia="pl-PL"/>
    </w:rPr>
  </w:style>
  <w:style w:type="character" w:styleId="Tekstzastpczy">
    <w:name w:val="Placeholder Text"/>
    <w:basedOn w:val="Domylnaczcionkaakapitu"/>
    <w:uiPriority w:val="99"/>
    <w:semiHidden/>
    <w:qFormat/>
    <w:rsid w:val="00DF28CB"/>
    <w:rPr>
      <w:color w:val="808080"/>
    </w:rPr>
  </w:style>
  <w:style w:type="character" w:customStyle="1" w:styleId="TekstprzypisukocowegoZnak">
    <w:name w:val="Tekst przypisu końcowego Znak"/>
    <w:basedOn w:val="Domylnaczcionkaakapitu"/>
    <w:link w:val="Tekstprzypisukocowego"/>
    <w:uiPriority w:val="99"/>
    <w:semiHidden/>
    <w:qFormat/>
    <w:rsid w:val="008C5ECB"/>
    <w:rPr>
      <w:sz w:val="20"/>
      <w:szCs w:val="20"/>
    </w:rPr>
  </w:style>
  <w:style w:type="character" w:customStyle="1" w:styleId="Znakiprzypiswkocowych">
    <w:name w:val="Znaki przypisów końcowych"/>
    <w:basedOn w:val="Domylnaczcionkaakapitu"/>
    <w:uiPriority w:val="99"/>
    <w:semiHidden/>
    <w:unhideWhenUsed/>
    <w:qFormat/>
    <w:rsid w:val="008C5ECB"/>
    <w:rPr>
      <w:vertAlign w:val="superscript"/>
    </w:rPr>
  </w:style>
  <w:style w:type="character" w:styleId="Odwoanieprzypisukocowego">
    <w:name w:val="endnote reference"/>
    <w:rsid w:val="0078639D"/>
    <w:rPr>
      <w:vertAlign w:val="superscript"/>
    </w:rPr>
  </w:style>
  <w:style w:type="character" w:styleId="Uwydatnienie">
    <w:name w:val="Emphasis"/>
    <w:basedOn w:val="Domylnaczcionkaakapitu"/>
    <w:uiPriority w:val="20"/>
    <w:qFormat/>
    <w:rsid w:val="001F259D"/>
    <w:rPr>
      <w:i/>
      <w:iCs/>
    </w:rPr>
  </w:style>
  <w:style w:type="character" w:customStyle="1" w:styleId="czeinternetoweuser">
    <w:name w:val="Łącze internetowe (user)"/>
    <w:uiPriority w:val="99"/>
    <w:qFormat/>
    <w:rsid w:val="00906CFB"/>
    <w:rPr>
      <w:rFonts w:cs="Times New Roman"/>
      <w:color w:val="0000FF"/>
      <w:u w:val="single"/>
    </w:rPr>
  </w:style>
  <w:style w:type="character" w:customStyle="1" w:styleId="TekstkomentarzaZnak2">
    <w:name w:val="Tekst komentarza Znak2"/>
    <w:uiPriority w:val="99"/>
    <w:semiHidden/>
    <w:qFormat/>
    <w:rsid w:val="00D00B21"/>
    <w:rPr>
      <w:lang w:eastAsia="zh-CN"/>
    </w:rPr>
  </w:style>
  <w:style w:type="character" w:customStyle="1" w:styleId="Domylnaczcionkaakapitu3">
    <w:name w:val="Domyślna czcionka akapitu3"/>
    <w:qFormat/>
    <w:rsid w:val="007B008F"/>
  </w:style>
  <w:style w:type="character" w:customStyle="1" w:styleId="normaltextrun">
    <w:name w:val="normaltextrun"/>
    <w:basedOn w:val="Domylnaczcionkaakapitu"/>
    <w:qFormat/>
    <w:rsid w:val="006C6687"/>
  </w:style>
  <w:style w:type="character" w:customStyle="1" w:styleId="eop">
    <w:name w:val="eop"/>
    <w:basedOn w:val="Domylnaczcionkaakapitu"/>
    <w:qFormat/>
    <w:rsid w:val="006C6687"/>
  </w:style>
  <w:style w:type="character" w:customStyle="1" w:styleId="contextualspellingandgrammarerror">
    <w:name w:val="contextualspellingandgrammarerror"/>
    <w:basedOn w:val="Domylnaczcionkaakapitu"/>
    <w:qFormat/>
    <w:rsid w:val="006C6687"/>
  </w:style>
  <w:style w:type="character" w:customStyle="1" w:styleId="spellingerror">
    <w:name w:val="spellingerror"/>
    <w:basedOn w:val="Domylnaczcionkaakapitu"/>
    <w:qFormat/>
    <w:rsid w:val="006C6687"/>
  </w:style>
  <w:style w:type="character" w:customStyle="1" w:styleId="t286pc">
    <w:name w:val="t286pc"/>
    <w:basedOn w:val="Domylnaczcionkaakapitu"/>
    <w:qFormat/>
    <w:rsid w:val="006C6687"/>
  </w:style>
  <w:style w:type="character" w:customStyle="1" w:styleId="vkekvd">
    <w:name w:val="vkekvd"/>
    <w:basedOn w:val="Domylnaczcionkaakapitu"/>
    <w:qFormat/>
    <w:rsid w:val="006C6687"/>
  </w:style>
  <w:style w:type="character" w:customStyle="1" w:styleId="hps">
    <w:name w:val="hps"/>
    <w:basedOn w:val="Domylnaczcionkaakapitu"/>
    <w:qFormat/>
    <w:rsid w:val="006C6687"/>
  </w:style>
  <w:style w:type="character" w:customStyle="1" w:styleId="TekstprzypisudolnegoZnak1">
    <w:name w:val="Tekst przypisu dolnego Znak1"/>
    <w:basedOn w:val="Domylnaczcionkaakapitu"/>
    <w:uiPriority w:val="99"/>
    <w:qFormat/>
    <w:rsid w:val="000407D2"/>
    <w:rPr>
      <w:rFonts w:ascii="Times New Roman" w:eastAsia="Times New Roman" w:hAnsi="Times New Roman" w:cs="Times New Roman"/>
      <w:lang w:eastAsia="zh-CN"/>
    </w:rPr>
  </w:style>
  <w:style w:type="character" w:customStyle="1" w:styleId="Nierozpoznanawzmianka2">
    <w:name w:val="Nierozpoznana wzmianka2"/>
    <w:basedOn w:val="Domylnaczcionkaakapitu"/>
    <w:uiPriority w:val="99"/>
    <w:semiHidden/>
    <w:unhideWhenUsed/>
    <w:qFormat/>
    <w:rsid w:val="00800855"/>
    <w:rPr>
      <w:color w:val="605E5C"/>
      <w:shd w:val="clear" w:color="auto" w:fill="E1DFDD"/>
    </w:rPr>
  </w:style>
  <w:style w:type="character" w:customStyle="1" w:styleId="PlandokumentuZnak">
    <w:name w:val="Plan dokumentu Znak"/>
    <w:basedOn w:val="Domylnaczcionkaakapitu"/>
    <w:link w:val="Plandokumentu"/>
    <w:uiPriority w:val="99"/>
    <w:semiHidden/>
    <w:qFormat/>
    <w:rsid w:val="0075055D"/>
    <w:rPr>
      <w:rFonts w:ascii="Tahoma" w:hAnsi="Tahoma" w:cs="Tahoma"/>
      <w:sz w:val="16"/>
      <w:szCs w:val="16"/>
    </w:rPr>
  </w:style>
  <w:style w:type="paragraph" w:styleId="Nagwek">
    <w:name w:val="header"/>
    <w:basedOn w:val="Normalny"/>
    <w:next w:val="Tekstpodstawowy"/>
    <w:link w:val="NagwekZnak"/>
    <w:unhideWhenUsed/>
    <w:rsid w:val="003126E6"/>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F342CA"/>
    <w:pPr>
      <w:spacing w:after="120"/>
    </w:pPr>
  </w:style>
  <w:style w:type="paragraph" w:styleId="Lista">
    <w:name w:val="List"/>
    <w:basedOn w:val="Tekstpodstawowy"/>
    <w:rsid w:val="0078639D"/>
    <w:rPr>
      <w:rFonts w:cs="Arial"/>
    </w:rPr>
  </w:style>
  <w:style w:type="paragraph" w:styleId="Legenda">
    <w:name w:val="caption"/>
    <w:basedOn w:val="Normalny"/>
    <w:qFormat/>
    <w:rsid w:val="0078639D"/>
    <w:pPr>
      <w:suppressLineNumbers/>
      <w:spacing w:before="120" w:after="120"/>
    </w:pPr>
    <w:rPr>
      <w:rFonts w:cs="Arial"/>
      <w:i/>
      <w:iCs/>
      <w:sz w:val="24"/>
      <w:szCs w:val="24"/>
    </w:rPr>
  </w:style>
  <w:style w:type="paragraph" w:customStyle="1" w:styleId="Indeks">
    <w:name w:val="Indeks"/>
    <w:basedOn w:val="Normalny"/>
    <w:qFormat/>
    <w:rsid w:val="0078639D"/>
    <w:pPr>
      <w:suppressLineNumbers/>
    </w:pPr>
    <w:rPr>
      <w:rFonts w:cs="Arial"/>
    </w:rPr>
  </w:style>
  <w:style w:type="paragraph" w:styleId="Tekstpodstawowywcity">
    <w:name w:val="Body Text Indent"/>
    <w:basedOn w:val="Normalny"/>
    <w:link w:val="TekstpodstawowywcityZnak"/>
    <w:uiPriority w:val="99"/>
    <w:rsid w:val="00A81701"/>
    <w:pPr>
      <w:spacing w:after="120" w:line="276" w:lineRule="auto"/>
      <w:ind w:left="283"/>
    </w:pPr>
    <w:rPr>
      <w:rFonts w:ascii="Calibri" w:eastAsia="Times New Roman" w:hAnsi="Calibri" w:cs="Times New Roman"/>
      <w:szCs w:val="20"/>
    </w:rPr>
  </w:style>
  <w:style w:type="paragraph" w:customStyle="1" w:styleId="Gwkaistopka">
    <w:name w:val="Główka i stopka"/>
    <w:basedOn w:val="Normalny"/>
    <w:qFormat/>
    <w:rsid w:val="0078639D"/>
  </w:style>
  <w:style w:type="paragraph" w:styleId="Stopka">
    <w:name w:val="footer"/>
    <w:basedOn w:val="Normalny"/>
    <w:link w:val="StopkaZnak"/>
    <w:uiPriority w:val="99"/>
    <w:unhideWhenUsed/>
    <w:rsid w:val="00A81701"/>
    <w:pPr>
      <w:tabs>
        <w:tab w:val="center" w:pos="4536"/>
        <w:tab w:val="right" w:pos="9072"/>
      </w:tabs>
      <w:spacing w:after="0" w:line="240" w:lineRule="auto"/>
    </w:p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A81701"/>
    <w:pPr>
      <w:spacing w:after="0" w:line="240" w:lineRule="auto"/>
      <w:ind w:left="708"/>
    </w:pPr>
    <w:rPr>
      <w:rFonts w:ascii="Times New Roman" w:eastAsia="Times New Roman" w:hAnsi="Times New Roman" w:cs="Times New Roman"/>
      <w:sz w:val="20"/>
      <w:szCs w:val="20"/>
      <w:lang w:eastAsia="pl-PL"/>
    </w:rPr>
  </w:style>
  <w:style w:type="paragraph" w:customStyle="1" w:styleId="Ciemnalistaakcent51">
    <w:name w:val="Ciemna lista — akcent 51"/>
    <w:basedOn w:val="Normalny"/>
    <w:link w:val="Ciemnalistaakcent5Znak"/>
    <w:uiPriority w:val="99"/>
    <w:qFormat/>
    <w:rsid w:val="00BA6A70"/>
    <w:pPr>
      <w:spacing w:after="0" w:line="240" w:lineRule="auto"/>
      <w:ind w:left="708"/>
    </w:pPr>
    <w:rPr>
      <w:rFonts w:ascii="Times New Roman" w:eastAsia="Times New Roman" w:hAnsi="Times New Roman" w:cs="Times New Roman"/>
      <w:sz w:val="20"/>
      <w:szCs w:val="20"/>
      <w:lang w:eastAsia="pl-PL"/>
    </w:rPr>
  </w:style>
  <w:style w:type="paragraph" w:customStyle="1" w:styleId="Default">
    <w:name w:val="Default"/>
    <w:qFormat/>
    <w:rsid w:val="005854FB"/>
    <w:rPr>
      <w:rFonts w:ascii="Arial" w:eastAsia="Times New Roman" w:hAnsi="Arial" w:cs="Arial"/>
      <w:color w:val="000000"/>
      <w:lang w:eastAsia="pl-PL"/>
    </w:rPr>
  </w:style>
  <w:style w:type="paragraph" w:styleId="Tekstpodstawowy2">
    <w:name w:val="Body Text 2"/>
    <w:basedOn w:val="Normalny"/>
    <w:link w:val="Tekstpodstawowy2Znak"/>
    <w:unhideWhenUsed/>
    <w:qFormat/>
    <w:rsid w:val="00174742"/>
    <w:pPr>
      <w:spacing w:after="120" w:line="480" w:lineRule="auto"/>
    </w:pPr>
  </w:style>
  <w:style w:type="paragraph" w:styleId="Nagwekindeksu">
    <w:name w:val="index heading"/>
    <w:basedOn w:val="Nagwek"/>
    <w:rsid w:val="0078639D"/>
  </w:style>
  <w:style w:type="paragraph" w:styleId="Nagwekspisutreci">
    <w:name w:val="TOC Heading"/>
    <w:basedOn w:val="Nagwek1"/>
    <w:next w:val="Normalny"/>
    <w:uiPriority w:val="39"/>
    <w:unhideWhenUsed/>
    <w:qFormat/>
    <w:rsid w:val="00182F8F"/>
    <w:pPr>
      <w:outlineLvl w:val="9"/>
    </w:pPr>
    <w:rPr>
      <w:lang w:eastAsia="pl-PL"/>
    </w:rPr>
  </w:style>
  <w:style w:type="paragraph" w:styleId="Spistreci1">
    <w:name w:val="toc 1"/>
    <w:basedOn w:val="Normalny"/>
    <w:next w:val="Normalny"/>
    <w:autoRedefine/>
    <w:uiPriority w:val="39"/>
    <w:unhideWhenUsed/>
    <w:rsid w:val="00460AED"/>
    <w:pPr>
      <w:tabs>
        <w:tab w:val="right" w:leader="dot" w:pos="10456"/>
      </w:tabs>
      <w:spacing w:after="100" w:line="276" w:lineRule="auto"/>
    </w:pPr>
    <w:rPr>
      <w:rFonts w:cstheme="minorHAnsi"/>
      <w:sz w:val="20"/>
      <w:szCs w:val="20"/>
    </w:rPr>
  </w:style>
  <w:style w:type="paragraph" w:styleId="Spistreci2">
    <w:name w:val="toc 2"/>
    <w:basedOn w:val="Normalny"/>
    <w:next w:val="Normalny"/>
    <w:autoRedefine/>
    <w:uiPriority w:val="39"/>
    <w:unhideWhenUsed/>
    <w:rsid w:val="00182F8F"/>
    <w:pPr>
      <w:spacing w:after="100"/>
      <w:ind w:left="220"/>
    </w:pPr>
  </w:style>
  <w:style w:type="paragraph" w:styleId="NormalnyWeb">
    <w:name w:val="Normal (Web)"/>
    <w:basedOn w:val="Normalny"/>
    <w:link w:val="NormalnyWebZnak"/>
    <w:uiPriority w:val="99"/>
    <w:qFormat/>
    <w:rsid w:val="00F342CA"/>
    <w:pPr>
      <w:spacing w:beforeAutospacing="1" w:afterAutospacing="1" w:line="240" w:lineRule="auto"/>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99"/>
    <w:semiHidden/>
    <w:unhideWhenUsed/>
    <w:rsid w:val="003126E6"/>
    <w:pPr>
      <w:spacing w:after="100"/>
      <w:ind w:left="660"/>
    </w:pPr>
  </w:style>
  <w:style w:type="paragraph" w:styleId="Tekstkomentarza">
    <w:name w:val="annotation text"/>
    <w:basedOn w:val="Normalny"/>
    <w:link w:val="TekstkomentarzaZnak"/>
    <w:uiPriority w:val="99"/>
    <w:semiHidden/>
    <w:unhideWhenUsed/>
    <w:rsid w:val="003126E6"/>
    <w:pPr>
      <w:spacing w:line="240" w:lineRule="auto"/>
    </w:pPr>
    <w:rPr>
      <w:sz w:val="20"/>
      <w:szCs w:val="20"/>
    </w:rPr>
  </w:style>
  <w:style w:type="paragraph" w:styleId="Tematkomentarza">
    <w:name w:val="annotation subject"/>
    <w:basedOn w:val="Tekstkomentarza"/>
    <w:next w:val="Tekstkomentarza"/>
    <w:link w:val="TematkomentarzaZnak"/>
    <w:uiPriority w:val="99"/>
    <w:qFormat/>
    <w:rsid w:val="003126E6"/>
    <w:pPr>
      <w:spacing w:after="0"/>
    </w:pPr>
    <w:rPr>
      <w:rFonts w:ascii="Times New Roman" w:eastAsia="Arial Unicode MS" w:hAnsi="Times New Roman" w:cs="Times New Roman"/>
      <w:b/>
      <w:color w:val="000000"/>
      <w:u w:color="000000"/>
      <w:lang w:eastAsia="pl-PL"/>
    </w:rPr>
  </w:style>
  <w:style w:type="paragraph" w:customStyle="1" w:styleId="Kolorowalistaakcent11">
    <w:name w:val="Kolorowa lista — akcent 11"/>
    <w:basedOn w:val="Normalny"/>
    <w:link w:val="Kolorowalistaakcent1Znak"/>
    <w:uiPriority w:val="99"/>
    <w:qFormat/>
    <w:rsid w:val="003126E6"/>
    <w:pPr>
      <w:spacing w:after="120" w:line="360" w:lineRule="auto"/>
      <w:ind w:left="720"/>
    </w:pPr>
    <w:rPr>
      <w:rFonts w:ascii="Arial" w:eastAsia="Times New Roman" w:hAnsi="Arial" w:cs="Times New Roman"/>
      <w:sz w:val="20"/>
      <w:szCs w:val="20"/>
      <w:lang w:eastAsia="pl-PL"/>
    </w:rPr>
  </w:style>
  <w:style w:type="paragraph" w:customStyle="1" w:styleId="Jasnasiatkaakcent31">
    <w:name w:val="Jasna siatka — akcent 31"/>
    <w:basedOn w:val="Normalny"/>
    <w:link w:val="Jasnasiatkaakcent3Znak"/>
    <w:uiPriority w:val="99"/>
    <w:qFormat/>
    <w:rsid w:val="00144E98"/>
    <w:pPr>
      <w:spacing w:after="120" w:line="360" w:lineRule="auto"/>
      <w:ind w:left="708"/>
    </w:pPr>
    <w:rPr>
      <w:rFonts w:ascii="Arial" w:eastAsia="Times New Roman" w:hAnsi="Arial" w:cs="Times New Roman"/>
      <w:sz w:val="20"/>
      <w:szCs w:val="20"/>
      <w:lang w:eastAsia="pl-PL"/>
    </w:rPr>
  </w:style>
  <w:style w:type="paragraph" w:styleId="Tekstprzypisudolnego">
    <w:name w:val="footnote text"/>
    <w:basedOn w:val="Normalny"/>
    <w:link w:val="TekstprzypisudolnegoZnak"/>
    <w:uiPriority w:val="99"/>
    <w:rsid w:val="00144E98"/>
    <w:pPr>
      <w:spacing w:after="0" w:line="240" w:lineRule="auto"/>
    </w:pPr>
    <w:rPr>
      <w:rFonts w:ascii="Calibri" w:eastAsia="Times New Roman" w:hAnsi="Calibri" w:cs="Times New Roman"/>
      <w:sz w:val="20"/>
      <w:szCs w:val="20"/>
    </w:rPr>
  </w:style>
  <w:style w:type="paragraph" w:customStyle="1" w:styleId="Standardowy2">
    <w:name w:val="Standardowy2"/>
    <w:uiPriority w:val="99"/>
    <w:qFormat/>
    <w:rsid w:val="00144E98"/>
    <w:rPr>
      <w:rFonts w:ascii="Arial" w:eastAsia="Times New Roman" w:hAnsi="Arial" w:cs="Times New Roman"/>
      <w:lang w:eastAsia="pl-PL"/>
    </w:rPr>
  </w:style>
  <w:style w:type="paragraph" w:customStyle="1" w:styleId="Kolorowecieniowanieakcent31">
    <w:name w:val="Kolorowe cieniowanie — akcent 31"/>
    <w:basedOn w:val="Normalny"/>
    <w:link w:val="Kolorowecieniowanieakcent3Znak"/>
    <w:uiPriority w:val="99"/>
    <w:qFormat/>
    <w:rsid w:val="00C9436E"/>
    <w:pPr>
      <w:spacing w:after="0" w:line="240" w:lineRule="auto"/>
      <w:ind w:left="720"/>
      <w:contextualSpacing/>
    </w:pPr>
    <w:rPr>
      <w:rFonts w:ascii="Times New Roman" w:eastAsia="Times New Roman" w:hAnsi="Times New Roman" w:cs="Times New Roman"/>
      <w:sz w:val="20"/>
      <w:szCs w:val="20"/>
      <w:lang w:eastAsia="pl-PL"/>
    </w:rPr>
  </w:style>
  <w:style w:type="paragraph" w:styleId="Spistreci3">
    <w:name w:val="toc 3"/>
    <w:basedOn w:val="Normalny"/>
    <w:next w:val="Normalny"/>
    <w:autoRedefine/>
    <w:uiPriority w:val="39"/>
    <w:unhideWhenUsed/>
    <w:rsid w:val="00A75F63"/>
    <w:pPr>
      <w:spacing w:after="100"/>
      <w:ind w:left="440"/>
    </w:pPr>
  </w:style>
  <w:style w:type="paragraph" w:styleId="Tekstdymka">
    <w:name w:val="Balloon Text"/>
    <w:basedOn w:val="Normalny"/>
    <w:link w:val="TekstdymkaZnak"/>
    <w:uiPriority w:val="99"/>
    <w:semiHidden/>
    <w:unhideWhenUsed/>
    <w:qFormat/>
    <w:rsid w:val="006422EF"/>
    <w:pPr>
      <w:spacing w:after="0" w:line="240" w:lineRule="auto"/>
    </w:pPr>
    <w:rPr>
      <w:rFonts w:ascii="Segoe UI" w:hAnsi="Segoe UI" w:cs="Segoe UI"/>
      <w:sz w:val="18"/>
      <w:szCs w:val="18"/>
    </w:rPr>
  </w:style>
  <w:style w:type="paragraph" w:styleId="Tytu">
    <w:name w:val="Title"/>
    <w:basedOn w:val="Normalny"/>
    <w:next w:val="Normalny"/>
    <w:link w:val="TytuZnak"/>
    <w:uiPriority w:val="10"/>
    <w:qFormat/>
    <w:rsid w:val="00762146"/>
    <w:pPr>
      <w:spacing w:after="0" w:line="240" w:lineRule="auto"/>
      <w:contextualSpacing/>
    </w:pPr>
    <w:rPr>
      <w:rFonts w:asciiTheme="majorHAnsi" w:eastAsiaTheme="majorEastAsia" w:hAnsiTheme="majorHAnsi" w:cstheme="majorBidi"/>
      <w:spacing w:val="-10"/>
      <w:kern w:val="2"/>
      <w:sz w:val="56"/>
      <w:szCs w:val="56"/>
    </w:rPr>
  </w:style>
  <w:style w:type="paragraph" w:customStyle="1" w:styleId="redniasiatka1akcent22">
    <w:name w:val="Średnia siatka 1 — akcent 22"/>
    <w:basedOn w:val="Normalny"/>
    <w:link w:val="redniasiatka1akcent2Znak1"/>
    <w:uiPriority w:val="99"/>
    <w:qFormat/>
    <w:rsid w:val="000059FB"/>
    <w:pPr>
      <w:spacing w:after="0" w:line="240" w:lineRule="auto"/>
      <w:ind w:left="708"/>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8C5ECB"/>
    <w:pPr>
      <w:spacing w:after="0" w:line="240" w:lineRule="auto"/>
    </w:pPr>
    <w:rPr>
      <w:sz w:val="20"/>
      <w:szCs w:val="20"/>
    </w:rPr>
  </w:style>
  <w:style w:type="paragraph" w:customStyle="1" w:styleId="Nagwek10">
    <w:name w:val="Nagłówek1"/>
    <w:basedOn w:val="Normalny"/>
    <w:unhideWhenUsed/>
    <w:qFormat/>
    <w:rsid w:val="00906CFB"/>
    <w:pPr>
      <w:tabs>
        <w:tab w:val="center" w:pos="4536"/>
        <w:tab w:val="right" w:pos="9072"/>
      </w:tabs>
      <w:spacing w:after="0" w:line="240" w:lineRule="auto"/>
    </w:pPr>
    <w:rPr>
      <w:rFonts w:ascii="Calibri" w:eastAsia="Calibri" w:hAnsi="Calibri" w:cs="Times New Roman"/>
      <w:color w:val="00000A"/>
    </w:rPr>
  </w:style>
  <w:style w:type="paragraph" w:customStyle="1" w:styleId="Tekstpodstawowywcity21">
    <w:name w:val="Tekst podstawowy wcięty 21"/>
    <w:basedOn w:val="Normalny"/>
    <w:qFormat/>
    <w:rsid w:val="00D00B21"/>
    <w:pPr>
      <w:tabs>
        <w:tab w:val="left" w:pos="284"/>
      </w:tabs>
      <w:spacing w:after="0" w:line="240" w:lineRule="auto"/>
      <w:ind w:left="284" w:hanging="284"/>
      <w:jc w:val="both"/>
    </w:pPr>
    <w:rPr>
      <w:rFonts w:ascii="Times New Roman" w:eastAsia="Times New Roman" w:hAnsi="Times New Roman" w:cs="Times New Roman"/>
      <w:sz w:val="24"/>
      <w:szCs w:val="20"/>
      <w:lang w:eastAsia="zh-CN"/>
    </w:rPr>
  </w:style>
  <w:style w:type="paragraph" w:customStyle="1" w:styleId="WW-Tekstpodstawowywcity3">
    <w:name w:val="WW-Tekst podstawowy wcięty 3"/>
    <w:basedOn w:val="Normalny"/>
    <w:qFormat/>
    <w:rsid w:val="00D00B21"/>
    <w:pPr>
      <w:spacing w:after="0" w:line="240" w:lineRule="auto"/>
      <w:ind w:left="708"/>
    </w:pPr>
    <w:rPr>
      <w:rFonts w:ascii="Arial" w:eastAsia="Times New Roman" w:hAnsi="Arial" w:cs="Arial"/>
      <w:szCs w:val="20"/>
      <w:lang w:eastAsia="zh-CN"/>
    </w:rPr>
  </w:style>
  <w:style w:type="paragraph" w:customStyle="1" w:styleId="Zwykytekst1">
    <w:name w:val="Zwykły tekst1"/>
    <w:basedOn w:val="Normalny"/>
    <w:qFormat/>
    <w:rsid w:val="00D00B21"/>
    <w:pPr>
      <w:spacing w:after="0" w:line="240" w:lineRule="auto"/>
    </w:pPr>
    <w:rPr>
      <w:rFonts w:ascii="font1044" w:eastAsia="font1044" w:hAnsi="font1044" w:cs="font1044"/>
      <w:sz w:val="24"/>
      <w:szCs w:val="24"/>
      <w:lang w:eastAsia="zh-CN"/>
    </w:rPr>
  </w:style>
  <w:style w:type="paragraph" w:customStyle="1" w:styleId="Standard">
    <w:name w:val="Standard"/>
    <w:qFormat/>
    <w:rsid w:val="007B008F"/>
    <w:pPr>
      <w:spacing w:after="200" w:line="276" w:lineRule="auto"/>
      <w:textAlignment w:val="baseline"/>
    </w:pPr>
    <w:rPr>
      <w:rFonts w:eastAsia="SimSun" w:cs="Tahoma"/>
      <w:kern w:val="2"/>
      <w:sz w:val="22"/>
      <w:szCs w:val="22"/>
      <w:lang w:eastAsia="zh-CN"/>
    </w:rPr>
  </w:style>
  <w:style w:type="paragraph" w:styleId="Poprawka">
    <w:name w:val="Revision"/>
    <w:uiPriority w:val="99"/>
    <w:semiHidden/>
    <w:qFormat/>
    <w:rsid w:val="00E7542E"/>
    <w:rPr>
      <w:sz w:val="22"/>
      <w:szCs w:val="22"/>
    </w:rPr>
  </w:style>
  <w:style w:type="paragraph" w:customStyle="1" w:styleId="Nagwek11">
    <w:name w:val="Nagłówek 11"/>
    <w:basedOn w:val="Normalny"/>
    <w:uiPriority w:val="9"/>
    <w:qFormat/>
    <w:rsid w:val="00B44D1F"/>
    <w:pPr>
      <w:keepNext/>
      <w:keepLines/>
      <w:spacing w:before="240" w:after="0"/>
      <w:jc w:val="center"/>
      <w:outlineLvl w:val="0"/>
    </w:pPr>
    <w:rPr>
      <w:rFonts w:ascii="Calibri" w:eastAsiaTheme="majorEastAsia" w:hAnsi="Calibri" w:cstheme="majorBidi"/>
      <w:b/>
      <w:color w:val="00000A"/>
      <w:szCs w:val="32"/>
      <w:u w:val="single"/>
    </w:rPr>
  </w:style>
  <w:style w:type="paragraph" w:customStyle="1" w:styleId="Akapitzlist1">
    <w:name w:val="Akapit z listą1"/>
    <w:basedOn w:val="Normalny"/>
    <w:qFormat/>
    <w:rsid w:val="006C6687"/>
    <w:pPr>
      <w:spacing w:after="200" w:line="276" w:lineRule="auto"/>
      <w:ind w:left="720"/>
    </w:pPr>
    <w:rPr>
      <w:rFonts w:ascii="Calibri" w:eastAsia="Times New Roman" w:hAnsi="Calibri" w:cs="Times New Roman"/>
      <w:lang w:eastAsia="ar-SA"/>
    </w:rPr>
  </w:style>
  <w:style w:type="paragraph" w:customStyle="1" w:styleId="paragraph">
    <w:name w:val="paragraph"/>
    <w:basedOn w:val="Normalny"/>
    <w:qFormat/>
    <w:rsid w:val="006C6687"/>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qFormat/>
    <w:rsid w:val="006C6687"/>
    <w:pPr>
      <w:spacing w:after="0" w:line="240" w:lineRule="auto"/>
      <w:jc w:val="center"/>
    </w:pPr>
    <w:rPr>
      <w:rFonts w:ascii="Times New Roman" w:eastAsia="Times New Roman" w:hAnsi="Times New Roman" w:cs="Times New Roman"/>
      <w:b/>
      <w:kern w:val="2"/>
      <w:sz w:val="24"/>
      <w:szCs w:val="20"/>
      <w:lang w:eastAsia="pl-PL"/>
    </w:rPr>
  </w:style>
  <w:style w:type="paragraph" w:styleId="Bezodstpw">
    <w:name w:val="No Spacing"/>
    <w:uiPriority w:val="1"/>
    <w:qFormat/>
    <w:rsid w:val="006C6687"/>
    <w:rPr>
      <w:sz w:val="22"/>
      <w:szCs w:val="22"/>
    </w:rPr>
  </w:style>
  <w:style w:type="paragraph" w:customStyle="1" w:styleId="Nagwek31">
    <w:name w:val="Nagłówek 31"/>
    <w:basedOn w:val="Normalny"/>
    <w:next w:val="Normalny"/>
    <w:unhideWhenUsed/>
    <w:qFormat/>
    <w:rsid w:val="0055443D"/>
    <w:pPr>
      <w:keepNext/>
      <w:keepLines/>
      <w:spacing w:before="40" w:after="0"/>
      <w:jc w:val="right"/>
      <w:outlineLvl w:val="2"/>
    </w:pPr>
    <w:rPr>
      <w:rFonts w:ascii="Calibri" w:eastAsiaTheme="majorEastAsia" w:hAnsi="Calibri" w:cstheme="majorBidi"/>
      <w:b/>
      <w:i/>
      <w:color w:val="7030A0"/>
      <w:szCs w:val="24"/>
    </w:rPr>
  </w:style>
  <w:style w:type="paragraph" w:customStyle="1" w:styleId="NormalnyWeb1">
    <w:name w:val="Normalny (Web)1"/>
    <w:basedOn w:val="Normalny"/>
    <w:qFormat/>
    <w:rsid w:val="00CC338B"/>
    <w:pPr>
      <w:widowControl w:val="0"/>
      <w:spacing w:before="280" w:after="280" w:line="100" w:lineRule="atLeast"/>
    </w:pPr>
    <w:rPr>
      <w:rFonts w:ascii="Times New Roman" w:eastAsia="Lucida Sans Unicode" w:hAnsi="Times New Roman" w:cs="Times New Roman"/>
      <w:kern w:val="2"/>
      <w:sz w:val="24"/>
      <w:szCs w:val="24"/>
      <w:lang w:eastAsia="ar-SA"/>
    </w:rPr>
  </w:style>
  <w:style w:type="paragraph" w:customStyle="1" w:styleId="TableParagraph">
    <w:name w:val="Table Paragraph"/>
    <w:basedOn w:val="Normalny"/>
    <w:uiPriority w:val="1"/>
    <w:qFormat/>
    <w:rsid w:val="0075055D"/>
    <w:pPr>
      <w:widowControl w:val="0"/>
      <w:spacing w:after="0" w:line="240" w:lineRule="auto"/>
      <w:ind w:left="69"/>
    </w:pPr>
    <w:rPr>
      <w:rFonts w:ascii="Times New Roman" w:eastAsia="Times New Roman" w:hAnsi="Times New Roman" w:cs="Times New Roman"/>
    </w:rPr>
  </w:style>
  <w:style w:type="paragraph" w:customStyle="1" w:styleId="western">
    <w:name w:val="western"/>
    <w:basedOn w:val="Normalny"/>
    <w:qFormat/>
    <w:rsid w:val="0075055D"/>
    <w:pPr>
      <w:spacing w:before="280" w:after="142" w:line="276" w:lineRule="auto"/>
    </w:pPr>
    <w:rPr>
      <w:rFonts w:ascii="Times New Roman" w:eastAsia="Times New Roman" w:hAnsi="Times New Roman" w:cs="Times New Roman"/>
      <w:sz w:val="24"/>
      <w:szCs w:val="24"/>
      <w:lang w:eastAsia="pl-PL"/>
    </w:rPr>
  </w:style>
  <w:style w:type="paragraph" w:styleId="Plandokumentu">
    <w:name w:val="Document Map"/>
    <w:basedOn w:val="Normalny"/>
    <w:link w:val="PlandokumentuZnak"/>
    <w:uiPriority w:val="99"/>
    <w:semiHidden/>
    <w:unhideWhenUsed/>
    <w:qFormat/>
    <w:rsid w:val="0075055D"/>
    <w:pPr>
      <w:spacing w:after="0" w:line="240" w:lineRule="auto"/>
    </w:pPr>
    <w:rPr>
      <w:rFonts w:ascii="Tahoma" w:hAnsi="Tahoma" w:cs="Tahoma"/>
      <w:sz w:val="16"/>
      <w:szCs w:val="16"/>
    </w:rPr>
  </w:style>
  <w:style w:type="paragraph" w:customStyle="1" w:styleId="Zawartoramki">
    <w:name w:val="Zawartość ramki"/>
    <w:basedOn w:val="Normalny"/>
    <w:qFormat/>
    <w:rsid w:val="0078639D"/>
  </w:style>
  <w:style w:type="numbering" w:customStyle="1" w:styleId="Bezlisty1">
    <w:name w:val="Bez listy1"/>
    <w:uiPriority w:val="99"/>
    <w:semiHidden/>
    <w:unhideWhenUsed/>
    <w:qFormat/>
    <w:rsid w:val="001F259D"/>
  </w:style>
  <w:style w:type="numbering" w:customStyle="1" w:styleId="Bezlisty2">
    <w:name w:val="Bez listy2"/>
    <w:uiPriority w:val="99"/>
    <w:semiHidden/>
    <w:unhideWhenUsed/>
    <w:qFormat/>
    <w:rsid w:val="008F540D"/>
  </w:style>
  <w:style w:type="table" w:styleId="Tabela-Siatka">
    <w:name w:val="Table Grid"/>
    <w:basedOn w:val="Standardowy"/>
    <w:uiPriority w:val="59"/>
    <w:rsid w:val="003126E6"/>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uiPriority w:val="59"/>
    <w:rsid w:val="00634399"/>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uiPriority w:val="39"/>
    <w:rsid w:val="00937BC8"/>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D5061C"/>
    <w:rPr>
      <w:sz w:val="22"/>
      <w:szCs w:val="22"/>
      <w:lang w:eastAsia="pl-PL"/>
    </w:rPr>
    <w:tblPr>
      <w:tblCellMar>
        <w:top w:w="0" w:type="dxa"/>
        <w:left w:w="0" w:type="dxa"/>
        <w:bottom w:w="0" w:type="dxa"/>
        <w:right w:w="0" w:type="dxa"/>
      </w:tblCellMar>
    </w:tblPr>
  </w:style>
  <w:style w:type="table" w:customStyle="1" w:styleId="Tabela-Siatka3">
    <w:name w:val="Tabela - Siatka3"/>
    <w:basedOn w:val="Standardowy"/>
    <w:uiPriority w:val="99"/>
    <w:rsid w:val="001F259D"/>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59"/>
    <w:rsid w:val="001F259D"/>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uiPriority w:val="39"/>
    <w:rsid w:val="001F259D"/>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1F259D"/>
    <w:rPr>
      <w:sz w:val="22"/>
      <w:szCs w:val="22"/>
      <w:lang w:eastAsia="pl-PL"/>
    </w:rPr>
    <w:tblPr>
      <w:tblCellMar>
        <w:top w:w="0" w:type="dxa"/>
        <w:left w:w="0" w:type="dxa"/>
        <w:bottom w:w="0" w:type="dxa"/>
        <w:right w:w="0" w:type="dxa"/>
      </w:tblCellMar>
    </w:tblPr>
  </w:style>
  <w:style w:type="table" w:customStyle="1" w:styleId="Tabela-Siatka5">
    <w:name w:val="Tabela - Siatka5"/>
    <w:basedOn w:val="Standardowy"/>
    <w:uiPriority w:val="39"/>
    <w:rsid w:val="001F259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8F540D"/>
    <w:rPr>
      <w:sz w:val="22"/>
      <w:szCs w:val="22"/>
      <w:lang w:eastAsia="pl-PL"/>
    </w:rPr>
    <w:tblPr>
      <w:tblCellMar>
        <w:top w:w="0" w:type="dxa"/>
        <w:left w:w="0" w:type="dxa"/>
        <w:bottom w:w="0" w:type="dxa"/>
        <w:right w:w="0" w:type="dxa"/>
      </w:tblCellMar>
    </w:tblPr>
  </w:style>
  <w:style w:type="table" w:customStyle="1" w:styleId="Tabela-Siatka31">
    <w:name w:val="Tabela - Siatka31"/>
    <w:basedOn w:val="Standardowy"/>
    <w:uiPriority w:val="99"/>
    <w:rsid w:val="00CA6DAC"/>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zetargi@szpitalgostyn.pl" TargetMode="External"/><Relationship Id="rId18" Type="http://schemas.openxmlformats.org/officeDocument/2006/relationships/hyperlink" Target="https://platformazakupowa.pl/pn/szpitalgostyn" TargetMode="External"/><Relationship Id="rId26" Type="http://schemas.openxmlformats.org/officeDocument/2006/relationships/footer" Target="footer8.xml"/><Relationship Id="rId39" Type="http://schemas.openxmlformats.org/officeDocument/2006/relationships/footer" Target="footer20.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1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szpitalgostyn" TargetMode="External"/><Relationship Id="rId17" Type="http://schemas.openxmlformats.org/officeDocument/2006/relationships/hyperlink" Target="https://platformazakupowa.pl/pn/szpitalgostyn" TargetMode="External"/><Relationship Id="rId25" Type="http://schemas.openxmlformats.org/officeDocument/2006/relationships/footer" Target="footer7.xml"/><Relationship Id="rId33" Type="http://schemas.openxmlformats.org/officeDocument/2006/relationships/footer" Target="footer14.xml"/><Relationship Id="rId38"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hyperlink" Target="https://platformazakupowa.pl/pn/szpitalgostyn" TargetMode="External"/><Relationship Id="rId20" Type="http://schemas.openxmlformats.org/officeDocument/2006/relationships/footer" Target="footer2.xml"/><Relationship Id="rId29" Type="http://schemas.openxmlformats.org/officeDocument/2006/relationships/footer" Target="footer10.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szpitalgostyn.pl" TargetMode="External"/><Relationship Id="rId24" Type="http://schemas.openxmlformats.org/officeDocument/2006/relationships/footer" Target="footer6.xml"/><Relationship Id="rId32" Type="http://schemas.openxmlformats.org/officeDocument/2006/relationships/footer" Target="footer13.xml"/><Relationship Id="rId37" Type="http://schemas.openxmlformats.org/officeDocument/2006/relationships/footer" Target="footer1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footer" Target="footer5.xml"/><Relationship Id="rId28" Type="http://schemas.openxmlformats.org/officeDocument/2006/relationships/image" Target="media/image3.jpeg"/><Relationship Id="rId36" Type="http://schemas.openxmlformats.org/officeDocument/2006/relationships/footer" Target="footer17.xml"/><Relationship Id="rId10" Type="http://schemas.openxmlformats.org/officeDocument/2006/relationships/hyperlink" Target="https://platformazakupowa.pl/pn/szpitalgostyn" TargetMode="External"/><Relationship Id="rId19" Type="http://schemas.openxmlformats.org/officeDocument/2006/relationships/footer" Target="footer1.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sip.legalis.pl/document-view.seam?documentId=mfrxilrtg4ytimjzhe4tiltqmfyc4njrga4damrshe&amp;refSource=hyp" TargetMode="External"/><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4345BEB88284B96B60915F870FDC92C"/>
        <w:category>
          <w:name w:val="Ogólne"/>
          <w:gallery w:val="placeholder"/>
        </w:category>
        <w:types>
          <w:type w:val="bbPlcHdr"/>
        </w:types>
        <w:behaviors>
          <w:behavior w:val="content"/>
        </w:behaviors>
        <w:guid w:val="{FC5B3909-D14F-470A-B242-96FD1C55AEEA}"/>
      </w:docPartPr>
      <w:docPartBody>
        <w:p w:rsidR="00406743" w:rsidRDefault="00BF34A6">
          <w:pPr>
            <w:pStyle w:val="B4345BEB88284B96B60915F870FDC92C5"/>
          </w:pPr>
          <w:r w:rsidRPr="007A4853">
            <w:rPr>
              <w:rFonts w:ascii="Calibri" w:eastAsia="Calibri" w:hAnsi="Calibri" w:cs="Calibri"/>
              <w:i/>
              <w:sz w:val="20"/>
              <w:szCs w:val="20"/>
            </w:rPr>
            <w:t>NAZWA WYKONAWCY</w:t>
          </w:r>
          <w:r w:rsidRPr="007A4853">
            <w:rPr>
              <w:rFonts w:ascii="Calibri" w:eastAsia="Calibri" w:hAnsi="Calibri" w:cs="Times New Roman"/>
              <w:color w:val="808080"/>
              <w:sz w:val="20"/>
              <w:szCs w:val="20"/>
            </w:rPr>
            <w:t>(wprowadzić tekst)</w:t>
          </w:r>
        </w:p>
      </w:docPartBody>
    </w:docPart>
    <w:docPart>
      <w:docPartPr>
        <w:name w:val="138813C4B49546AC86606957F67B7431"/>
        <w:category>
          <w:name w:val="Ogólne"/>
          <w:gallery w:val="placeholder"/>
        </w:category>
        <w:types>
          <w:type w:val="bbPlcHdr"/>
        </w:types>
        <w:behaviors>
          <w:behavior w:val="content"/>
        </w:behaviors>
        <w:guid w:val="{36A850C6-40C7-42F3-A923-CF7788AA7D4F}"/>
      </w:docPartPr>
      <w:docPartBody>
        <w:p w:rsidR="00406743" w:rsidRDefault="00BF34A6">
          <w:pPr>
            <w:pStyle w:val="138813C4B49546AC86606957F67B74315"/>
          </w:pPr>
          <w:r w:rsidRPr="007A4853">
            <w:rPr>
              <w:rFonts w:ascii="Calibri" w:eastAsia="Calibri" w:hAnsi="Calibri" w:cs="Calibri"/>
              <w:i/>
              <w:sz w:val="20"/>
              <w:szCs w:val="20"/>
            </w:rPr>
            <w:t>SIEDZIBA WYKONAWCY</w:t>
          </w:r>
          <w:r w:rsidRPr="007A4853">
            <w:rPr>
              <w:rFonts w:ascii="Calibri" w:eastAsia="Calibri" w:hAnsi="Calibri" w:cs="Times New Roman"/>
              <w:color w:val="808080"/>
              <w:sz w:val="20"/>
              <w:szCs w:val="20"/>
            </w:rPr>
            <w:t>(wprowadzić tekst)</w:t>
          </w:r>
        </w:p>
      </w:docPartBody>
    </w:docPart>
    <w:docPart>
      <w:docPartPr>
        <w:name w:val="813D678526164F8FA3D45776D8D32BB0"/>
        <w:category>
          <w:name w:val="Ogólne"/>
          <w:gallery w:val="placeholder"/>
        </w:category>
        <w:types>
          <w:type w:val="bbPlcHdr"/>
        </w:types>
        <w:behaviors>
          <w:behavior w:val="content"/>
        </w:behaviors>
        <w:guid w:val="{BCF19452-B721-42D5-B707-1D18F810228B}"/>
      </w:docPartPr>
      <w:docPartBody>
        <w:p w:rsidR="00DF6C08" w:rsidRDefault="00BF34A6">
          <w:pPr>
            <w:pStyle w:val="813D678526164F8FA3D45776D8D32BB03"/>
          </w:pPr>
          <w:r w:rsidRPr="00DF28CB">
            <w:rPr>
              <w:rStyle w:val="Tekstzastpczy"/>
              <w:b/>
              <w:color w:val="FF0000"/>
            </w:rPr>
            <w:t>DATA</w:t>
          </w:r>
        </w:p>
      </w:docPartBody>
    </w:docPart>
    <w:docPart>
      <w:docPartPr>
        <w:name w:val="8A2081EB252C4228967A2742C10D6DA1"/>
        <w:category>
          <w:name w:val="Ogólne"/>
          <w:gallery w:val="placeholder"/>
        </w:category>
        <w:types>
          <w:type w:val="bbPlcHdr"/>
        </w:types>
        <w:behaviors>
          <w:behavior w:val="content"/>
        </w:behaviors>
        <w:guid w:val="{1B1D04BD-34D2-49F6-9B72-C20EBFC967CE}"/>
      </w:docPartPr>
      <w:docPartBody>
        <w:p w:rsidR="00DF6C08" w:rsidRDefault="00BF34A6">
          <w:pPr>
            <w:pStyle w:val="8A2081EB252C4228967A2742C10D6DA13"/>
          </w:pPr>
          <w:r w:rsidRPr="00DF28CB">
            <w:rPr>
              <w:rStyle w:val="Tekstzastpczy"/>
              <w:b/>
              <w:color w:val="FF0000"/>
            </w:rPr>
            <w:t>DATA</w:t>
          </w:r>
        </w:p>
      </w:docPartBody>
    </w:docPart>
    <w:docPart>
      <w:docPartPr>
        <w:name w:val="AAB623AEAE0F45ABAF7353005E4B55BD"/>
        <w:category>
          <w:name w:val="Ogólne"/>
          <w:gallery w:val="placeholder"/>
        </w:category>
        <w:types>
          <w:type w:val="bbPlcHdr"/>
        </w:types>
        <w:behaviors>
          <w:behavior w:val="content"/>
        </w:behaviors>
        <w:guid w:val="{07CA2F63-B2F1-4081-8B07-42C7055D5213}"/>
      </w:docPartPr>
      <w:docPartBody>
        <w:p w:rsidR="00DF6C08" w:rsidRDefault="00BF34A6">
          <w:pPr>
            <w:pStyle w:val="AAB623AEAE0F45ABAF7353005E4B55BD3"/>
          </w:pPr>
          <w:r w:rsidRPr="00DF28CB">
            <w:rPr>
              <w:rStyle w:val="Tekstzastpczy"/>
              <w:b/>
              <w:color w:val="FF0000"/>
            </w:rPr>
            <w:t>DATA</w:t>
          </w:r>
        </w:p>
      </w:docPartBody>
    </w:docPart>
    <w:docPart>
      <w:docPartPr>
        <w:name w:val="AF9370547C6D4F4499ADF1BA64DE7044"/>
        <w:category>
          <w:name w:val="Ogólne"/>
          <w:gallery w:val="placeholder"/>
        </w:category>
        <w:types>
          <w:type w:val="bbPlcHdr"/>
        </w:types>
        <w:behaviors>
          <w:behavior w:val="content"/>
        </w:behaviors>
        <w:guid w:val="{EDAC8731-DB0C-428E-BC3E-C6DFBBD0352E}"/>
      </w:docPartPr>
      <w:docPartBody>
        <w:p w:rsidR="00BF34A6" w:rsidRDefault="00BF34A6">
          <w:pPr>
            <w:pStyle w:val="AF9370547C6D4F4499ADF1BA64DE70442"/>
          </w:pPr>
          <w:r w:rsidRPr="009F7286">
            <w:rPr>
              <w:rStyle w:val="Tekstzastpczy"/>
            </w:rPr>
            <w:t>[Słowa kluczowe]</w:t>
          </w:r>
        </w:p>
      </w:docPartBody>
    </w:docPart>
    <w:docPart>
      <w:docPartPr>
        <w:name w:val="BA1CF139DB9C4BFA8BE99F388B2D26EC"/>
        <w:category>
          <w:name w:val="Ogólne"/>
          <w:gallery w:val="placeholder"/>
        </w:category>
        <w:types>
          <w:type w:val="bbPlcHdr"/>
        </w:types>
        <w:behaviors>
          <w:behavior w:val="content"/>
        </w:behaviors>
        <w:guid w:val="{32674842-76AC-47DA-8BEF-230B8579D822}"/>
      </w:docPartPr>
      <w:docPartBody>
        <w:p w:rsidR="00BF34A6" w:rsidRDefault="00BF34A6">
          <w:pPr>
            <w:pStyle w:val="BA1CF139DB9C4BFA8BE99F388B2D26EC2"/>
          </w:pPr>
          <w:r w:rsidRPr="009F7286">
            <w:rPr>
              <w:rStyle w:val="Tekstzastpczy"/>
            </w:rPr>
            <w:t>[Tytuł]</w:t>
          </w:r>
        </w:p>
      </w:docPartBody>
    </w:docPart>
    <w:docPart>
      <w:docPartPr>
        <w:name w:val="ACAD2BF53C8348A4A12821071434FD55"/>
        <w:category>
          <w:name w:val="Ogólne"/>
          <w:gallery w:val="placeholder"/>
        </w:category>
        <w:types>
          <w:type w:val="bbPlcHdr"/>
        </w:types>
        <w:behaviors>
          <w:behavior w:val="content"/>
        </w:behaviors>
        <w:guid w:val="{6B78A17F-D696-4190-B10F-7483AD0E3394}"/>
      </w:docPartPr>
      <w:docPartBody>
        <w:p w:rsidR="00BF34A6" w:rsidRDefault="00BF34A6">
          <w:pPr>
            <w:pStyle w:val="ACAD2BF53C8348A4A12821071434FD552"/>
          </w:pPr>
          <w:r w:rsidRPr="009F7286">
            <w:rPr>
              <w:rStyle w:val="Tekstzastpczy"/>
            </w:rPr>
            <w:t>[Tytuł]</w:t>
          </w:r>
        </w:p>
      </w:docPartBody>
    </w:docPart>
    <w:docPart>
      <w:docPartPr>
        <w:name w:val="7295A7040DCD45FA982E03B8D204A8E6"/>
        <w:category>
          <w:name w:val="Ogólne"/>
          <w:gallery w:val="placeholder"/>
        </w:category>
        <w:types>
          <w:type w:val="bbPlcHdr"/>
        </w:types>
        <w:behaviors>
          <w:behavior w:val="content"/>
        </w:behaviors>
        <w:guid w:val="{4E558F8A-471F-4036-9EC9-E8CC087F8F01}"/>
      </w:docPartPr>
      <w:docPartBody>
        <w:p w:rsidR="00077F07" w:rsidRDefault="003B47BB">
          <w:r w:rsidRPr="00E304B4">
            <w:rPr>
              <w:rStyle w:val="Tekstzastpczy"/>
            </w:rPr>
            <w:t>[Tytuł]</w:t>
          </w:r>
        </w:p>
      </w:docPartBody>
    </w:docPart>
    <w:docPart>
      <w:docPartPr>
        <w:name w:val="BFBDADAEE5A14EED8F977B89B1346A33"/>
        <w:category>
          <w:name w:val="Ogólne"/>
          <w:gallery w:val="placeholder"/>
        </w:category>
        <w:types>
          <w:type w:val="bbPlcHdr"/>
        </w:types>
        <w:behaviors>
          <w:behavior w:val="content"/>
        </w:behaviors>
        <w:guid w:val="{C01E6CD9-0B76-48A6-B1DF-BB36891678ED}"/>
      </w:docPartPr>
      <w:docPartBody>
        <w:p w:rsidR="006C658D" w:rsidRDefault="00330BC9">
          <w:r w:rsidRPr="00E20E81">
            <w:rPr>
              <w:rStyle w:val="Tekstzastpczy"/>
            </w:rPr>
            <w:t>[Słowa kluczowe]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ont1044">
    <w:altName w:val="Cambria"/>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ndara">
    <w:panose1 w:val="020E0502030303020204"/>
    <w:charset w:val="EE"/>
    <w:family w:val="swiss"/>
    <w:pitch w:val="variable"/>
    <w:sig w:usb0="A00002EF" w:usb1="4000A44B" w:usb2="00000000" w:usb3="00000000" w:csb0="0000019F" w:csb1="00000000"/>
  </w:font>
  <w:font w:name="Aharoni">
    <w:charset w:val="B1"/>
    <w:family w:val="auto"/>
    <w:pitch w:val="variable"/>
    <w:sig w:usb0="00000803" w:usb1="00000000" w:usb2="00000000" w:usb3="00000000" w:csb0="0000002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ulimChe">
    <w:charset w:val="81"/>
    <w:family w:val="modern"/>
    <w:pitch w:val="fixed"/>
    <w:sig w:usb0="B00002AF" w:usb1="69D77CFB" w:usb2="00000030" w:usb3="00000000" w:csb0="0008009F" w:csb1="00000000"/>
  </w:font>
  <w:font w:name="Lato">
    <w:altName w:val="Calibri"/>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336141"/>
    <w:rsid w:val="00002CFF"/>
    <w:rsid w:val="00012271"/>
    <w:rsid w:val="00046068"/>
    <w:rsid w:val="0006424D"/>
    <w:rsid w:val="00077F07"/>
    <w:rsid w:val="000A7C65"/>
    <w:rsid w:val="000B259A"/>
    <w:rsid w:val="000C5855"/>
    <w:rsid w:val="000E6B7C"/>
    <w:rsid w:val="000F710B"/>
    <w:rsid w:val="000F7E5B"/>
    <w:rsid w:val="0011447C"/>
    <w:rsid w:val="00127F31"/>
    <w:rsid w:val="00136DEC"/>
    <w:rsid w:val="001467A1"/>
    <w:rsid w:val="00150A9F"/>
    <w:rsid w:val="00175259"/>
    <w:rsid w:val="00176F0C"/>
    <w:rsid w:val="00185B40"/>
    <w:rsid w:val="00194F5E"/>
    <w:rsid w:val="001A31F3"/>
    <w:rsid w:val="001B555E"/>
    <w:rsid w:val="001B7DB7"/>
    <w:rsid w:val="001E2C98"/>
    <w:rsid w:val="001E6D02"/>
    <w:rsid w:val="001F49FD"/>
    <w:rsid w:val="00241D94"/>
    <w:rsid w:val="00282BD4"/>
    <w:rsid w:val="00286B48"/>
    <w:rsid w:val="002B2682"/>
    <w:rsid w:val="002C18F7"/>
    <w:rsid w:val="002C2136"/>
    <w:rsid w:val="002D0D54"/>
    <w:rsid w:val="002E6E88"/>
    <w:rsid w:val="002F06F9"/>
    <w:rsid w:val="00303C6B"/>
    <w:rsid w:val="00321B7E"/>
    <w:rsid w:val="00326226"/>
    <w:rsid w:val="00330BC9"/>
    <w:rsid w:val="0033159F"/>
    <w:rsid w:val="00336141"/>
    <w:rsid w:val="00344B19"/>
    <w:rsid w:val="003511CF"/>
    <w:rsid w:val="003516E4"/>
    <w:rsid w:val="00372F0F"/>
    <w:rsid w:val="003B47BB"/>
    <w:rsid w:val="003B7519"/>
    <w:rsid w:val="003E34C0"/>
    <w:rsid w:val="003E3F94"/>
    <w:rsid w:val="00401D8E"/>
    <w:rsid w:val="00406066"/>
    <w:rsid w:val="00406743"/>
    <w:rsid w:val="00420632"/>
    <w:rsid w:val="00427592"/>
    <w:rsid w:val="00445E23"/>
    <w:rsid w:val="00460EA3"/>
    <w:rsid w:val="00491579"/>
    <w:rsid w:val="00494F2E"/>
    <w:rsid w:val="00497940"/>
    <w:rsid w:val="004C2466"/>
    <w:rsid w:val="004C3898"/>
    <w:rsid w:val="004D60AB"/>
    <w:rsid w:val="004F420B"/>
    <w:rsid w:val="004F44A5"/>
    <w:rsid w:val="00501991"/>
    <w:rsid w:val="005048D0"/>
    <w:rsid w:val="00510DD8"/>
    <w:rsid w:val="005246F8"/>
    <w:rsid w:val="00553FD2"/>
    <w:rsid w:val="00556FF0"/>
    <w:rsid w:val="00566B30"/>
    <w:rsid w:val="00574FFB"/>
    <w:rsid w:val="00585178"/>
    <w:rsid w:val="00586713"/>
    <w:rsid w:val="00592362"/>
    <w:rsid w:val="00594F7D"/>
    <w:rsid w:val="005B6DCA"/>
    <w:rsid w:val="00627102"/>
    <w:rsid w:val="00660022"/>
    <w:rsid w:val="00664495"/>
    <w:rsid w:val="00682F39"/>
    <w:rsid w:val="006A04D2"/>
    <w:rsid w:val="006B3D7A"/>
    <w:rsid w:val="006C1631"/>
    <w:rsid w:val="006C658D"/>
    <w:rsid w:val="00741F1A"/>
    <w:rsid w:val="007908BC"/>
    <w:rsid w:val="00793BB3"/>
    <w:rsid w:val="007A37DE"/>
    <w:rsid w:val="007F071D"/>
    <w:rsid w:val="00811F82"/>
    <w:rsid w:val="00825E59"/>
    <w:rsid w:val="00826955"/>
    <w:rsid w:val="00836351"/>
    <w:rsid w:val="00837A3B"/>
    <w:rsid w:val="00846DD1"/>
    <w:rsid w:val="00882946"/>
    <w:rsid w:val="00884E20"/>
    <w:rsid w:val="008C075E"/>
    <w:rsid w:val="008C443C"/>
    <w:rsid w:val="008E3007"/>
    <w:rsid w:val="008F2859"/>
    <w:rsid w:val="0090695B"/>
    <w:rsid w:val="00916FE9"/>
    <w:rsid w:val="009349B2"/>
    <w:rsid w:val="00936647"/>
    <w:rsid w:val="00963180"/>
    <w:rsid w:val="00982CA4"/>
    <w:rsid w:val="00990668"/>
    <w:rsid w:val="00993947"/>
    <w:rsid w:val="009C0E88"/>
    <w:rsid w:val="009D19B6"/>
    <w:rsid w:val="00A01349"/>
    <w:rsid w:val="00A1573E"/>
    <w:rsid w:val="00A25315"/>
    <w:rsid w:val="00A5343E"/>
    <w:rsid w:val="00A77FC9"/>
    <w:rsid w:val="00A801F7"/>
    <w:rsid w:val="00AC34FA"/>
    <w:rsid w:val="00AC7538"/>
    <w:rsid w:val="00AD58C1"/>
    <w:rsid w:val="00AD6581"/>
    <w:rsid w:val="00AF2F7D"/>
    <w:rsid w:val="00B46944"/>
    <w:rsid w:val="00B64921"/>
    <w:rsid w:val="00B74E11"/>
    <w:rsid w:val="00B80C6C"/>
    <w:rsid w:val="00BA471A"/>
    <w:rsid w:val="00BB1695"/>
    <w:rsid w:val="00BC187F"/>
    <w:rsid w:val="00BC41D4"/>
    <w:rsid w:val="00BD48D4"/>
    <w:rsid w:val="00BD7012"/>
    <w:rsid w:val="00BE0966"/>
    <w:rsid w:val="00BF2E73"/>
    <w:rsid w:val="00BF34A6"/>
    <w:rsid w:val="00BF7468"/>
    <w:rsid w:val="00C2517C"/>
    <w:rsid w:val="00C358F0"/>
    <w:rsid w:val="00C40281"/>
    <w:rsid w:val="00C44682"/>
    <w:rsid w:val="00C773D1"/>
    <w:rsid w:val="00CD7F03"/>
    <w:rsid w:val="00CF256E"/>
    <w:rsid w:val="00D05F3F"/>
    <w:rsid w:val="00D345AB"/>
    <w:rsid w:val="00D46434"/>
    <w:rsid w:val="00D565D8"/>
    <w:rsid w:val="00D77259"/>
    <w:rsid w:val="00D84809"/>
    <w:rsid w:val="00DA2A34"/>
    <w:rsid w:val="00DA5D06"/>
    <w:rsid w:val="00DD0F9D"/>
    <w:rsid w:val="00DE0077"/>
    <w:rsid w:val="00DE318C"/>
    <w:rsid w:val="00DF6C08"/>
    <w:rsid w:val="00E00828"/>
    <w:rsid w:val="00E00C26"/>
    <w:rsid w:val="00E144BE"/>
    <w:rsid w:val="00E46491"/>
    <w:rsid w:val="00E5444C"/>
    <w:rsid w:val="00E869C1"/>
    <w:rsid w:val="00E924EB"/>
    <w:rsid w:val="00E93A0C"/>
    <w:rsid w:val="00EF1678"/>
    <w:rsid w:val="00EF3C7D"/>
    <w:rsid w:val="00EF5928"/>
    <w:rsid w:val="00F15441"/>
    <w:rsid w:val="00F569B6"/>
    <w:rsid w:val="00F617BC"/>
    <w:rsid w:val="00F7389A"/>
    <w:rsid w:val="00F77CBA"/>
    <w:rsid w:val="00F82DF1"/>
    <w:rsid w:val="00F9313C"/>
    <w:rsid w:val="00F9509C"/>
    <w:rsid w:val="00FA3B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6B3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349B2"/>
    <w:rPr>
      <w:color w:val="808080"/>
    </w:rPr>
  </w:style>
  <w:style w:type="paragraph" w:customStyle="1" w:styleId="BA1CF139DB9C4BFA8BE99F388B2D26EC2">
    <w:name w:val="BA1CF139DB9C4BFA8BE99F388B2D26EC2"/>
    <w:rsid w:val="00566B30"/>
    <w:pPr>
      <w:spacing w:after="0" w:line="240" w:lineRule="auto"/>
      <w:ind w:left="708"/>
    </w:pPr>
    <w:rPr>
      <w:rFonts w:ascii="Times New Roman" w:eastAsia="Times New Roman" w:hAnsi="Times New Roman" w:cs="Times New Roman"/>
      <w:sz w:val="20"/>
      <w:szCs w:val="20"/>
    </w:rPr>
  </w:style>
  <w:style w:type="paragraph" w:customStyle="1" w:styleId="813D678526164F8FA3D45776D8D32BB03">
    <w:name w:val="813D678526164F8FA3D45776D8D32BB03"/>
    <w:rsid w:val="00566B30"/>
    <w:pPr>
      <w:spacing w:after="0" w:line="240" w:lineRule="auto"/>
      <w:ind w:left="708"/>
    </w:pPr>
    <w:rPr>
      <w:rFonts w:ascii="Times New Roman" w:eastAsia="Times New Roman" w:hAnsi="Times New Roman" w:cs="Times New Roman"/>
      <w:sz w:val="20"/>
      <w:szCs w:val="20"/>
    </w:rPr>
  </w:style>
  <w:style w:type="paragraph" w:customStyle="1" w:styleId="8A2081EB252C4228967A2742C10D6DA13">
    <w:name w:val="8A2081EB252C4228967A2742C10D6DA13"/>
    <w:rsid w:val="00566B30"/>
    <w:pPr>
      <w:spacing w:after="0" w:line="240" w:lineRule="auto"/>
      <w:ind w:left="708"/>
    </w:pPr>
    <w:rPr>
      <w:rFonts w:ascii="Times New Roman" w:eastAsia="Times New Roman" w:hAnsi="Times New Roman" w:cs="Times New Roman"/>
      <w:sz w:val="20"/>
      <w:szCs w:val="20"/>
    </w:rPr>
  </w:style>
  <w:style w:type="paragraph" w:customStyle="1" w:styleId="AAB623AEAE0F45ABAF7353005E4B55BD3">
    <w:name w:val="AAB623AEAE0F45ABAF7353005E4B55BD3"/>
    <w:rsid w:val="00566B30"/>
    <w:pPr>
      <w:spacing w:after="0" w:line="240" w:lineRule="auto"/>
      <w:ind w:left="708"/>
    </w:pPr>
    <w:rPr>
      <w:rFonts w:ascii="Times New Roman" w:eastAsia="Times New Roman" w:hAnsi="Times New Roman" w:cs="Times New Roman"/>
      <w:sz w:val="20"/>
      <w:szCs w:val="20"/>
    </w:rPr>
  </w:style>
  <w:style w:type="paragraph" w:customStyle="1" w:styleId="ACAD2BF53C8348A4A12821071434FD552">
    <w:name w:val="ACAD2BF53C8348A4A12821071434FD552"/>
    <w:rsid w:val="00566B30"/>
    <w:rPr>
      <w:rFonts w:eastAsiaTheme="minorHAnsi"/>
      <w:lang w:eastAsia="en-US"/>
    </w:rPr>
  </w:style>
  <w:style w:type="paragraph" w:customStyle="1" w:styleId="AF9370547C6D4F4499ADF1BA64DE70442">
    <w:name w:val="AF9370547C6D4F4499ADF1BA64DE70442"/>
    <w:rsid w:val="00566B30"/>
    <w:rPr>
      <w:rFonts w:eastAsiaTheme="minorHAnsi"/>
      <w:lang w:eastAsia="en-US"/>
    </w:rPr>
  </w:style>
  <w:style w:type="paragraph" w:customStyle="1" w:styleId="B4345BEB88284B96B60915F870FDC92C5">
    <w:name w:val="B4345BEB88284B96B60915F870FDC92C5"/>
    <w:rsid w:val="00566B30"/>
    <w:rPr>
      <w:rFonts w:eastAsiaTheme="minorHAnsi"/>
      <w:lang w:eastAsia="en-US"/>
    </w:rPr>
  </w:style>
  <w:style w:type="paragraph" w:customStyle="1" w:styleId="138813C4B49546AC86606957F67B74315">
    <w:name w:val="138813C4B49546AC86606957F67B74315"/>
    <w:rsid w:val="00566B30"/>
    <w:rPr>
      <w:rFonts w:eastAsiaTheme="minorHAnsi"/>
      <w:lang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0A913-CB75-448F-ACAB-EDF5CD4C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86</Pages>
  <Words>36622</Words>
  <Characters>208750</Characters>
  <Application>Microsoft Office Word</Application>
  <DocSecurity>0</DocSecurity>
  <Lines>1739</Lines>
  <Paragraphs>489</Paragraphs>
  <ScaleCrop>false</ScaleCrop>
  <HeadingPairs>
    <vt:vector size="2" baseType="variant">
      <vt:variant>
        <vt:lpstr>Tytuł</vt:lpstr>
      </vt:variant>
      <vt:variant>
        <vt:i4>1</vt:i4>
      </vt:variant>
    </vt:vector>
  </HeadingPairs>
  <TitlesOfParts>
    <vt:vector size="1" baseType="lpstr">
      <vt:lpstr>Zakup wyposażenia Oddziału Wewnętrznego w ramach projektu „Modernizacja infrastruktury kardiologicznej Oddziału Wewnętrznego SPZOZ w Gostyniu"</vt:lpstr>
    </vt:vector>
  </TitlesOfParts>
  <Company/>
  <LinksUpToDate>false</LinksUpToDate>
  <CharactersWithSpaces>244883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Zakup wyposażenia Oddziału Wewnętrznego w ramach projektu „Modernizacja infrastruktury kardiologicznej Oddziału Wewnętrznego SPZOZ w Gostyniu"</dc:title>
  <dc:creator>Krzysztof Zedlewski</dc:creator>
  <cp:keywords>SPZOZ.XII.231.1/3/2026</cp:keywords>
  <cp:lastModifiedBy>USER</cp:lastModifiedBy>
  <cp:revision>2</cp:revision>
  <cp:lastPrinted>2026-04-10T06:19:00Z</cp:lastPrinted>
  <dcterms:created xsi:type="dcterms:W3CDTF">2026-04-10T07:00:00Z</dcterms:created>
  <dcterms:modified xsi:type="dcterms:W3CDTF">2026-04-10T07:00:00Z</dcterms:modified>
  <dc:language>pl-PL</dc:language>
</cp:coreProperties>
</file>