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CFE" w:rsidRDefault="009D1CFE" w:rsidP="00085ED7">
      <w:pPr>
        <w:rPr>
          <w:rFonts w:ascii="Calibri" w:hAnsi="Calibri" w:cs="Calibri"/>
          <w:b/>
          <w:sz w:val="22"/>
          <w:szCs w:val="22"/>
        </w:rPr>
      </w:pPr>
    </w:p>
    <w:p w:rsidR="009D1CFE" w:rsidRDefault="00D01ECF" w:rsidP="009D1CFE">
      <w:pPr>
        <w:ind w:firstLine="708"/>
        <w:rPr>
          <w:rFonts w:ascii="Calibri" w:hAnsi="Calibri" w:cs="Arial"/>
          <w:b/>
          <w:sz w:val="22"/>
          <w:szCs w:val="22"/>
        </w:rPr>
      </w:pPr>
      <w:proofErr w:type="spellStart"/>
      <w:r w:rsidRPr="00D01ECF">
        <w:rPr>
          <w:rFonts w:ascii="Calibri" w:hAnsi="Calibri" w:cs="Arial"/>
          <w:b/>
          <w:sz w:val="22"/>
          <w:szCs w:val="22"/>
        </w:rPr>
        <w:t>Ozn</w:t>
      </w:r>
      <w:proofErr w:type="spellEnd"/>
      <w:r w:rsidRPr="00D01ECF">
        <w:rPr>
          <w:rFonts w:ascii="Calibri" w:hAnsi="Calibri" w:cs="Arial"/>
          <w:b/>
          <w:sz w:val="22"/>
          <w:szCs w:val="22"/>
        </w:rPr>
        <w:t>. Postępowania: NLZ.2026.271.14</w:t>
      </w:r>
      <w:r w:rsidRPr="00D01ECF">
        <w:rPr>
          <w:rFonts w:ascii="Calibri" w:hAnsi="Calibri" w:cs="Arial"/>
          <w:b/>
          <w:sz w:val="22"/>
          <w:szCs w:val="22"/>
        </w:rPr>
        <w:tab/>
      </w:r>
      <w:r w:rsidR="009D1CFE" w:rsidRPr="00D01ECF">
        <w:rPr>
          <w:rFonts w:ascii="Calibri" w:hAnsi="Calibri" w:cs="Arial"/>
          <w:b/>
          <w:sz w:val="22"/>
          <w:szCs w:val="22"/>
        </w:rPr>
        <w:tab/>
      </w:r>
      <w:r w:rsidR="009D1CFE" w:rsidRPr="00D01ECF">
        <w:rPr>
          <w:rFonts w:ascii="Calibri" w:hAnsi="Calibri" w:cs="Arial"/>
          <w:b/>
          <w:sz w:val="22"/>
          <w:szCs w:val="22"/>
        </w:rPr>
        <w:tab/>
      </w:r>
      <w:r w:rsidR="009D1CFE" w:rsidRPr="00D01ECF">
        <w:rPr>
          <w:rFonts w:ascii="Calibri" w:hAnsi="Calibri" w:cs="Arial"/>
          <w:b/>
          <w:sz w:val="22"/>
          <w:szCs w:val="22"/>
        </w:rPr>
        <w:tab/>
      </w:r>
      <w:r w:rsidR="009D1CFE" w:rsidRPr="00D01ECF">
        <w:rPr>
          <w:rFonts w:ascii="Calibri" w:hAnsi="Calibri" w:cs="Arial"/>
          <w:b/>
          <w:sz w:val="22"/>
          <w:szCs w:val="22"/>
        </w:rPr>
        <w:tab/>
      </w:r>
      <w:r w:rsidR="009D1CFE" w:rsidRPr="00D01ECF">
        <w:rPr>
          <w:rFonts w:ascii="Calibri" w:hAnsi="Calibri" w:cs="Arial"/>
          <w:b/>
          <w:sz w:val="22"/>
          <w:szCs w:val="22"/>
        </w:rPr>
        <w:tab/>
        <w:t>Załącznik nr 3 do SWZ</w:t>
      </w:r>
    </w:p>
    <w:p w:rsidR="009D1CFE" w:rsidRDefault="009D1CFE" w:rsidP="00085ED7">
      <w:pPr>
        <w:rPr>
          <w:rFonts w:ascii="Calibri" w:hAnsi="Calibri" w:cs="Calibri"/>
          <w:b/>
          <w:sz w:val="22"/>
          <w:szCs w:val="22"/>
        </w:rPr>
      </w:pPr>
    </w:p>
    <w:p w:rsidR="009D1CFE" w:rsidRPr="001F53E4" w:rsidRDefault="009D1CFE" w:rsidP="009D1CFE">
      <w:pPr>
        <w:jc w:val="center"/>
        <w:rPr>
          <w:rFonts w:ascii="Calibri" w:hAnsi="Calibri" w:cs="Calibri"/>
          <w:b/>
          <w:sz w:val="22"/>
          <w:szCs w:val="22"/>
        </w:rPr>
      </w:pPr>
      <w:r w:rsidRPr="001F53E4">
        <w:rPr>
          <w:rFonts w:ascii="Calibri" w:hAnsi="Calibri" w:cs="Calibri"/>
          <w:b/>
          <w:sz w:val="22"/>
          <w:szCs w:val="22"/>
        </w:rPr>
        <w:t>OPIS PRZEDMIOTU ZAMÓWIENIA</w:t>
      </w:r>
    </w:p>
    <w:p w:rsidR="009D1CFE" w:rsidRPr="001F53E4" w:rsidRDefault="009D1CFE" w:rsidP="009D1CFE">
      <w:pPr>
        <w:jc w:val="center"/>
        <w:rPr>
          <w:rFonts w:ascii="Calibri" w:hAnsi="Calibri" w:cs="Calibri"/>
          <w:b/>
          <w:sz w:val="22"/>
          <w:szCs w:val="22"/>
        </w:rPr>
      </w:pPr>
    </w:p>
    <w:p w:rsidR="009D1CFE" w:rsidRPr="001F53E4" w:rsidRDefault="009D1CFE" w:rsidP="00F879F7">
      <w:pPr>
        <w:jc w:val="center"/>
        <w:rPr>
          <w:rFonts w:ascii="Calibri" w:hAnsi="Calibri" w:cs="Calibri"/>
          <w:b/>
          <w:sz w:val="22"/>
          <w:szCs w:val="22"/>
        </w:rPr>
      </w:pPr>
      <w:r w:rsidRPr="001F53E4">
        <w:rPr>
          <w:rFonts w:ascii="Calibri" w:hAnsi="Calibri" w:cs="Calibri"/>
          <w:b/>
          <w:sz w:val="22"/>
          <w:szCs w:val="22"/>
        </w:rPr>
        <w:t>CIS - System dla Anestezjologii i Intensywnej Terapii dla 10 stanowisk oraz 2 śluz wraz z integracją z HIS</w:t>
      </w:r>
    </w:p>
    <w:p w:rsidR="009D1CFE" w:rsidRDefault="00F879F7" w:rsidP="009D1CFE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</w:t>
      </w:r>
    </w:p>
    <w:p w:rsidR="00F879F7" w:rsidRPr="00F879F7" w:rsidRDefault="00F879F7" w:rsidP="00F879F7">
      <w:pPr>
        <w:spacing w:after="5" w:line="249" w:lineRule="auto"/>
        <w:ind w:left="72" w:right="31" w:hanging="10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Przedmiotem zamówienia jest wdrożenie systemu anestezjologicznego zapewniającego generowanie elektronicznej karty znieczulenia, zintegrowanego z istniejącym systemem HIS oraz aparaturą medyczną dla 10 stanowisk znieczulenia. </w:t>
      </w:r>
    </w:p>
    <w:p w:rsidR="00F879F7" w:rsidRPr="00F879F7" w:rsidRDefault="00F879F7" w:rsidP="00F879F7">
      <w:pPr>
        <w:spacing w:after="5" w:line="249" w:lineRule="auto"/>
        <w:ind w:left="72" w:right="31" w:hanging="10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Przedmiot zamówienia obejmuje następujące elementy:  </w:t>
      </w:r>
    </w:p>
    <w:p w:rsidR="00F879F7" w:rsidRPr="00F879F7" w:rsidRDefault="00F879F7" w:rsidP="00F879F7">
      <w:pPr>
        <w:numPr>
          <w:ilvl w:val="0"/>
          <w:numId w:val="3"/>
        </w:numPr>
        <w:spacing w:after="23" w:line="259" w:lineRule="auto"/>
        <w:ind w:left="180" w:right="31" w:hanging="118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Licencja stanowiskowa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systemu do tworzenia elektronicznej karty znieczuleń oraz modułu dla Sali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pooperacyjnej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–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 xml:space="preserve">sali </w:t>
      </w:r>
      <w:proofErr w:type="spellStart"/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wybudzeń</w:t>
      </w:r>
      <w:proofErr w:type="spellEnd"/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 -  minimum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min. 10 stanowisk.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Licencja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modułu dla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śluzy bloku operacyjnego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, do obsługi procesu przyjęcia-wyjazdu pacjenta, pozwalająca na pracę min.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 xml:space="preserve">2-óch śluz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Dostarczenie 1 licencji serwerowej systemu do generowania dokumentacji elektronicznej karty znieczulenia, raportów i zestawień oraz zarządzania systemem. </w:t>
      </w:r>
    </w:p>
    <w:p w:rsidR="00F879F7" w:rsidRPr="00F879F7" w:rsidRDefault="00F879F7" w:rsidP="00F879F7">
      <w:pPr>
        <w:spacing w:after="5" w:line="249" w:lineRule="auto"/>
        <w:ind w:left="72" w:right="31" w:hanging="10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Instalacja systemu na serwerze (maszynie wirtualnej) Zamawiającego.  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licencje bezterminowe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>Wyposażenie (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komputery AIO z ekranem dotykowym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min. 21”, czytniki kodów kreskowych, ramiona mocujące, przyłącza i przewody) – </w:t>
      </w: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12 szt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.  </w:t>
      </w:r>
    </w:p>
    <w:p w:rsidR="00F879F7" w:rsidRPr="00F879F7" w:rsidRDefault="00F879F7" w:rsidP="00F879F7">
      <w:pPr>
        <w:numPr>
          <w:ilvl w:val="0"/>
          <w:numId w:val="3"/>
        </w:numPr>
        <w:spacing w:after="23" w:line="25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b/>
          <w:color w:val="000000"/>
          <w:sz w:val="22"/>
          <w:szCs w:val="22"/>
        </w:rPr>
        <w:t>Integracja z systemem HIS Zamawiającego</w:t>
      </w: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Podłączenie urządzeń do systemu zgodnie z wykazem - Szkolenia stanowiskowe – min. 20 godz.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wykonawca zobowiązany jest do dostarczenia wymaganego okablowania, konwerterów oraz przejściówek koniecznych do uruchomienia systemu i podłączenia urządzeń  </w:t>
      </w:r>
    </w:p>
    <w:p w:rsidR="00F879F7" w:rsidRPr="00F879F7" w:rsidRDefault="00F879F7" w:rsidP="00F879F7">
      <w:pPr>
        <w:numPr>
          <w:ilvl w:val="0"/>
          <w:numId w:val="3"/>
        </w:numPr>
        <w:spacing w:after="5" w:line="249" w:lineRule="auto"/>
        <w:ind w:left="180" w:right="31" w:hanging="118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F879F7">
        <w:rPr>
          <w:rFonts w:ascii="Calibri" w:eastAsia="Calibri" w:hAnsi="Calibri" w:cs="Calibri"/>
          <w:color w:val="000000"/>
          <w:sz w:val="22"/>
          <w:szCs w:val="22"/>
        </w:rPr>
        <w:t xml:space="preserve">wykonawca zainstaluje system na udostępnionej maszynie wirtualnej przez zamawiającego  </w:t>
      </w:r>
    </w:p>
    <w:tbl>
      <w:tblPr>
        <w:tblW w:w="10403" w:type="dxa"/>
        <w:tblInd w:w="82" w:type="dxa"/>
        <w:tblCellMar>
          <w:top w:w="38" w:type="dxa"/>
          <w:left w:w="68" w:type="dxa"/>
          <w:right w:w="61" w:type="dxa"/>
        </w:tblCellMar>
        <w:tblLook w:val="04A0" w:firstRow="1" w:lastRow="0" w:firstColumn="1" w:lastColumn="0" w:noHBand="0" w:noVBand="1"/>
      </w:tblPr>
      <w:tblGrid>
        <w:gridCol w:w="602"/>
        <w:gridCol w:w="6205"/>
        <w:gridCol w:w="25"/>
        <w:gridCol w:w="1503"/>
        <w:gridCol w:w="27"/>
        <w:gridCol w:w="2041"/>
      </w:tblGrid>
      <w:tr w:rsidR="00F879F7" w:rsidRPr="00F879F7" w:rsidTr="00F12F3A">
        <w:trPr>
          <w:trHeight w:val="68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879F7" w:rsidRPr="00F879F7" w:rsidRDefault="00F879F7" w:rsidP="00085ED7">
            <w:pPr>
              <w:spacing w:line="259" w:lineRule="auto"/>
              <w:ind w:left="6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6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879F7" w:rsidRPr="00F879F7" w:rsidRDefault="00F879F7" w:rsidP="00085ED7">
            <w:pPr>
              <w:spacing w:line="259" w:lineRule="auto"/>
              <w:ind w:left="38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Parametr / Warunek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879F7" w:rsidRPr="00F879F7" w:rsidRDefault="00F879F7" w:rsidP="00085ED7">
            <w:pPr>
              <w:spacing w:line="259" w:lineRule="auto"/>
              <w:ind w:left="40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Wartość wymagana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F879F7" w:rsidRPr="00F879F7" w:rsidRDefault="00F879F7" w:rsidP="00085ED7">
            <w:pPr>
              <w:spacing w:line="259" w:lineRule="auto"/>
              <w:ind w:left="38" w:right="38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Podać wartość lub opis parametru</w:t>
            </w:r>
          </w:p>
        </w:tc>
      </w:tr>
      <w:tr w:rsidR="00F879F7" w:rsidRPr="00F879F7" w:rsidTr="00F12F3A">
        <w:trPr>
          <w:trHeight w:val="140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8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8"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Oprogramowanie zapewniające ciągły zapis przebiegu znieczulenia z uwzględnieniem podawanych leków, krwi i płynów infuzyjnych automatycznie odczytujący wartości parametrów życiowych i wentylacyjnych z aparatu do znieczulania ogólnego i kardiomonitora. 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8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0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rPr>
          <w:trHeight w:val="118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8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46" w:line="239" w:lineRule="auto"/>
              <w:ind w:left="38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Komunikacja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z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aparatami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do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znieczulania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ogólnego i kardiomonitorami posiadanymi przez Zamawiającego tj.:  </w:t>
            </w:r>
          </w:p>
          <w:p w:rsidR="00F879F7" w:rsidRPr="00F879F7" w:rsidRDefault="00F879F7" w:rsidP="00F879F7">
            <w:pPr>
              <w:numPr>
                <w:ilvl w:val="0"/>
                <w:numId w:val="4"/>
              </w:numPr>
              <w:spacing w:after="49" w:line="238" w:lineRule="auto"/>
              <w:ind w:right="48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  <w:lang w:val="en-US"/>
              </w:rPr>
            </w:pP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Aparaty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znieczulenia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ogólnego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-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Producent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Draeger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typ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: Primus, Primus IE,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Fabius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GS;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Producent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GE: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Avance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CS2,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Avance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Casestation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750c</w:t>
            </w:r>
          </w:p>
          <w:p w:rsidR="00F879F7" w:rsidRPr="00F879F7" w:rsidRDefault="00F879F7" w:rsidP="00F879F7">
            <w:pPr>
              <w:numPr>
                <w:ilvl w:val="0"/>
                <w:numId w:val="4"/>
              </w:numPr>
              <w:spacing w:after="36" w:line="249" w:lineRule="auto"/>
              <w:ind w:right="48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  <w:lang w:val="en-US"/>
              </w:rPr>
            </w:pP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Kardiomonitory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Producent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Draeger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>typ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  <w:lang w:val="en-US"/>
              </w:rPr>
              <w:t xml:space="preserve"> Delta, C500, M540,  Philips: MX. </w:t>
            </w:r>
            <w:r w:rsidRPr="00F879F7">
              <w:rPr>
                <w:rFonts w:eastAsia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F879F7" w:rsidRPr="00ED3CAC" w:rsidRDefault="00F879F7" w:rsidP="00ED3CAC">
            <w:pPr>
              <w:numPr>
                <w:ilvl w:val="0"/>
                <w:numId w:val="4"/>
              </w:numPr>
              <w:spacing w:after="23" w:line="239" w:lineRule="auto"/>
              <w:ind w:right="48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Zamawiający zastrzega sobie prawo do zakupu dodatkowych, innych niż wymienione powyżej monitorów i aparatów do znieczulenia w przyszłości, oraz aktualizacji oprogramowania w sprzętach medycznych.  Wykonawca zobowiązany będzie do integracji w ramach umowy dodatkowo zakupionych urządzeń wykorzystujących protokoły komunikacyjne zgodne lub zapewniających zgodność z protokołami obsługiwanymi przez system  </w:t>
            </w:r>
            <w:r w:rsidRPr="00ED3CA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Wykonawcy, z </w:t>
            </w:r>
            <w:r w:rsidRPr="00ED3CA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systemem elektronicznej karty znieczulenia oraz przeprowadzenia testów i odbiorów po integracji dodatkowych urządzeń, w okresie gwarancji. 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8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TAK 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0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81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wstecznego uzupełnienia karty przebiegu znieczulenia (po rozpoczęciu monitorowania) z wprowadzeniem właściwych godzin i minut prowadzenia zabiegu oraz podanych leków.  </w:t>
            </w:r>
          </w:p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189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System posiada definiowany interwał czasowy kolejnych odczytów parametrów z urządzeń konfigurowalny w zakresie od minimum 2 do 300 sekund z krokiem nie większym niż 10 sekund. Definiowany interwał czasowy prezentacji odczytów parametrów konfigurowalny w zakresie od 60 s do maksymalnie 300 s. Zamawiający wymaga wskazanego zakresu zapisu kolejnych odczytów w celu dokładnego tworzenia elektronicznej dokumentacji anestezjologicznej. </w:t>
            </w:r>
          </w:p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5pkt </w:t>
            </w:r>
          </w:p>
          <w:p w:rsidR="00F879F7" w:rsidRPr="00F879F7" w:rsidRDefault="00F879F7" w:rsidP="00F879F7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NIE- 0pkt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108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zmiany interwału odczytu w trakcie trwania zapisu znieczulenia, w tym możliwość zmiany ustalonego interwału odczytu i zapisu parametrów z urządzeń w trakcie trwania zapisu znieczulenia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135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zapewnia elastyczność w dokumentowaniu danych poprzez możliwość wprowadzania dodatkowych odczytów poza ustalonymi interwałami czasowymi, z dokładnością co najmniej minutową.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2pkt </w:t>
            </w:r>
          </w:p>
          <w:p w:rsidR="00F879F7" w:rsidRPr="00F879F7" w:rsidRDefault="00F879F7" w:rsidP="00F879F7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NIE- 0pkt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81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5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Rejestrowanie pomiaru wszystkich parametrów w przypadku w wygenerowania przez kardiomonitor alarmu na dowolnym parametrze.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118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46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Odczyt z kardiomonitora oraz aparatu do znieczulania parametrów dostępnych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wg.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dokumentacji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interfejsu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komunikacyjnego urządzenia, min. następujących parametrów: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HR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" w:line="237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inwazyjne ciśnienie krwi minimum (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diastolic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systolic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mean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minimum 3 kanały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wartość SpO2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nieinwazyjne ciśnienie krwi minimum (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diastolic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systolic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mean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częstość oddechu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temperatura (min. 2 kanały pomiaru)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CO2, O2, N2O, AIR, AA (wdech/wydech)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MAC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tryb wentylacji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objętość oddechowa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objętość minutowa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ciśnienia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Ppeak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PIP, PEEP </w:t>
            </w:r>
          </w:p>
          <w:p w:rsidR="00F879F7" w:rsidRPr="00F879F7" w:rsidRDefault="00F879F7" w:rsidP="00F879F7">
            <w:pPr>
              <w:numPr>
                <w:ilvl w:val="0"/>
                <w:numId w:val="5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BIS/Entropia (w przypadku wyposażenia kardiomonitora w odpowiedni moduł pomiarowy)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left w:w="106" w:type="dxa"/>
            <w:right w:w="62" w:type="dxa"/>
          </w:tblCellMar>
        </w:tblPrEx>
        <w:trPr>
          <w:trHeight w:val="24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zmiany jednostki rejestrowanych parametrów w min zakresie: </w:t>
            </w:r>
          </w:p>
          <w:p w:rsidR="00F879F7" w:rsidRPr="00F879F7" w:rsidRDefault="00F879F7" w:rsidP="00F879F7">
            <w:pPr>
              <w:numPr>
                <w:ilvl w:val="0"/>
                <w:numId w:val="6"/>
              </w:numPr>
              <w:spacing w:after="23" w:line="23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[mmHg,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mbar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hPa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] dla inwazyjnego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ciśnienienia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krwi (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diastolic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systolic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mean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</w:t>
            </w:r>
          </w:p>
          <w:p w:rsidR="00F879F7" w:rsidRPr="00F879F7" w:rsidRDefault="00F879F7" w:rsidP="00F879F7">
            <w:pPr>
              <w:numPr>
                <w:ilvl w:val="0"/>
                <w:numId w:val="6"/>
              </w:numPr>
              <w:spacing w:after="23" w:line="23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[mmHg,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mbar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hPa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] dla nieinwazyjnego ciśnienia krwi (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diastolic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systolic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mean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- [mmHg, %] dla CO2 </w:t>
            </w:r>
          </w:p>
          <w:p w:rsidR="00F879F7" w:rsidRPr="00F879F7" w:rsidRDefault="00F879F7" w:rsidP="00F879F7">
            <w:pPr>
              <w:numPr>
                <w:ilvl w:val="0"/>
                <w:numId w:val="6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[ml, l] dla objętość oddechowej i objętości minutowej </w:t>
            </w:r>
          </w:p>
          <w:p w:rsidR="00F879F7" w:rsidRPr="00F879F7" w:rsidRDefault="00F879F7" w:rsidP="00F879F7">
            <w:pPr>
              <w:numPr>
                <w:ilvl w:val="0"/>
                <w:numId w:val="6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[mmHg,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mbar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hPa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] dla ciśnień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Ppeak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PIP i PEEP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5pkt </w:t>
            </w:r>
          </w:p>
          <w:p w:rsidR="00F879F7" w:rsidRPr="00F879F7" w:rsidRDefault="00F879F7" w:rsidP="00F879F7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NIE- 0pkt</w:t>
            </w:r>
          </w:p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E6054" w:rsidRPr="00F879F7" w:rsidTr="00F12F3A">
        <w:tblPrEx>
          <w:tblCellMar>
            <w:left w:w="106" w:type="dxa"/>
            <w:right w:w="62" w:type="dxa"/>
          </w:tblCellMar>
        </w:tblPrEx>
        <w:trPr>
          <w:trHeight w:val="144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54" w:rsidRPr="00F879F7" w:rsidRDefault="006E6054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54" w:rsidRPr="00F879F7" w:rsidRDefault="006E6054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Jednostka rejestracji w/w parametrów niezależna od jednostki parametru prezentowanej na kardiomonitorze oraz aparacie do znieczulania ogólnego. Wymóg ma na celu zapewnienie spójności </w:t>
            </w:r>
          </w:p>
          <w:p w:rsidR="006E6054" w:rsidRPr="00F879F7" w:rsidRDefault="006E6054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oraz jednolitości dokumentacji niezależnie od użytego aparatu do znieczulania oraz kardiomonitora.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54" w:rsidRPr="00F879F7" w:rsidRDefault="006E6054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54" w:rsidRPr="00F879F7" w:rsidRDefault="006E6054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08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52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Zapis i wyświetlanie w formie wykresu min. 4 parametrów równocześnie z możliwością ich zmiany i konfiguracji na życzenie Zamawiającego. 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Możliwość wyświetlania min. 2 wykresów równocześnie na ekranie.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5pkt NIE - 0pkt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08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Funkcja dodawania dowolnego dostępnego z urządzeń parametru życiowego lub parametru wentylacji do aktualnie prowadzonego zabiegu. Automatyczne wyszukiwanie dostępnych aktualnie parametrów.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08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5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dynamicznego dodawania parametrów. System z możliwością definiowania parametrów, wyświetlanych w prowadzonej karcie znieczulenia w momencie uruchomienia ich, na urządzeniu medycznym np. inwazyjny pomiar ciśnienia, BIS.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54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komentowania (pisemnie w programie) parametrów wyświetlanych w formie tabelarycznej.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354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oznaczania początku i końca znieczulenia, końca indukcji intubacji oraz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ekstubacji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początku i końca zabiegu operacyjnego oraz założenia i zdjęcia maski, końca indukcji znieczulenia oraz rozpoczęcia znieczulenia regionalnego za pomocą czytelnych symboli graficznych.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08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definiowania przez Użytkownika zdarzeń śródoperacyjnych (np. zmiana pozycji pacjenta, RKO, defibrylacja) z opcją ich oznaczania w dowolnym momencie zabiegu. Możliwość dodatkowego opisu każdego ze zdarzeń.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54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Lista zdarzeń śródoperacyjnych definiowana niezależnie na każde stanowisko robocze.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135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Dodawanie zaleceń pooperacyjnych. Możliwość dodania predefiniowanych zaleceń (definiowane przez Użytkownika) za pomocą przycisków szybkiego wyboru. 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zlecenia podania leku lub płynu wg dostępnej w aplikacji biblioteki leków.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A0AE9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A0AE9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TAK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strike/>
                <w:color w:val="000000"/>
                <w:sz w:val="20"/>
                <w:szCs w:val="22"/>
              </w:rPr>
            </w:pP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strike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54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Skala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Aldreta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automatycznie przeliczana po oznaczeniu stanu pacjenta.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54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wprowadzania informacji za pomocą klawiatury wyświetlanej na ekranie dotykowym.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54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Oznaczenie podawanych leków kolorami wg. Grupy zgodnie z obowiązującym standardem. 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F12F3A">
        <w:tblPrEx>
          <w:tblCellMar>
            <w:top w:w="40" w:type="dxa"/>
            <w:left w:w="106" w:type="dxa"/>
            <w:right w:w="60" w:type="dxa"/>
          </w:tblCellMar>
        </w:tblPrEx>
        <w:trPr>
          <w:trHeight w:val="377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2" w:line="23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Edytowalna przez uprawnionego użytkownika systemu biblioteka leków z określeniem dawki i jednostki wyjściowej na min 1000 pozycji. 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Rozróżnienie podaży jednorazowej i ciągłej.  </w:t>
            </w:r>
          </w:p>
          <w:p w:rsidR="00F879F7" w:rsidRPr="00F879F7" w:rsidRDefault="00F879F7" w:rsidP="00F879F7">
            <w:pPr>
              <w:spacing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Leki kategoryzowane, z określeniem dawki domyślnej oraz jej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inkrementu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Kategorie leków min: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Antybiotyki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Psychotropowe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Narkotyczne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Niedepolaryzujące leki zwiotczające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Depolaryzujące leki zwiotczające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Przeciwwymiotne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Odwracające zwiotczenie </w:t>
            </w:r>
          </w:p>
          <w:p w:rsidR="00F879F7" w:rsidRPr="00F879F7" w:rsidRDefault="00F879F7" w:rsidP="00F879F7">
            <w:pPr>
              <w:numPr>
                <w:ilvl w:val="0"/>
                <w:numId w:val="7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Benzodiazepiny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BDZ 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Style w:val="TableGrid"/>
        <w:tblW w:w="10403" w:type="dxa"/>
        <w:tblInd w:w="82" w:type="dxa"/>
        <w:tblCellMar>
          <w:top w:w="40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603"/>
        <w:gridCol w:w="6229"/>
        <w:gridCol w:w="1445"/>
        <w:gridCol w:w="2126"/>
      </w:tblGrid>
      <w:tr w:rsidR="00F879F7" w:rsidRPr="00F879F7" w:rsidTr="00803166">
        <w:trPr>
          <w:trHeight w:val="108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numPr>
                <w:ilvl w:val="0"/>
                <w:numId w:val="8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Rozkurczowe </w:t>
            </w:r>
          </w:p>
          <w:p w:rsidR="00F879F7" w:rsidRPr="00F879F7" w:rsidRDefault="00F879F7" w:rsidP="00F879F7">
            <w:pPr>
              <w:numPr>
                <w:ilvl w:val="0"/>
                <w:numId w:val="8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Odwracające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benzodiazepiny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8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Odwracające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opioidy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8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Przeciwbólowe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803166">
            <w:pPr>
              <w:spacing w:after="160" w:line="259" w:lineRule="auto"/>
              <w:ind w:left="-110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</w:tr>
      <w:tr w:rsidR="00F879F7" w:rsidRPr="00F879F7" w:rsidTr="00803166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Dla każdego leku w bibliotece możliwość zdefiniowania przez uprawnionego użytkownika systemu możliwych dróg podania (np. dożylnie, doustnie) wraz z domyślną drogą podania.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48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wyszukiwania leków wg substancji aktywnej.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135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6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posiadający funkcjonalność konfigurowania grup leków m.in. w kategorii minimum: intubacja, wlew, antybiotyk. Możliwość w szybki sposób zarejestrowania podania kilku leków w danej grupie, ze wskazaniem dawki dla pacjenta i godziną podania.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5pkt </w:t>
            </w:r>
          </w:p>
          <w:p w:rsidR="00F879F7" w:rsidRPr="00F879F7" w:rsidRDefault="00F879F7" w:rsidP="00F879F7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NIE- 0pkt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108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umożliwiający generowanie raportów sumarycznego zużycia (suma g, mg,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ug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lub ml) leków wg grupy.  </w:t>
            </w:r>
          </w:p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generowania raportu wg daty dla konkretnego stanowiska znieczulania oraz dla konkretnego znieczulenia.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5pkt </w:t>
            </w:r>
          </w:p>
          <w:p w:rsidR="00F879F7" w:rsidRPr="00F879F7" w:rsidRDefault="00F879F7" w:rsidP="00F879F7">
            <w:pPr>
              <w:spacing w:line="259" w:lineRule="auto"/>
              <w:ind w:right="4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NIE- 0pkt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umożliwiający generowanie raportów zużycia leków np. narkotycznych, antybiotyków, w danym okresie czasu, na wskazanej sali operacyjnej, dla wskazanego zabiegu.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5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Indywidualne konto logowania dla każdego z użytkowników zabezpieczone loginem i hasłem. Zgodnie z pkt. 57 OPZ.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548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uniemożliwiający archiwizację dokumentu bez poprawnego zalogowania się przez Użytkownika.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81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awaryjnego logowania użytkownika w przypadku zapomnianego hasła.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189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System posiadający funkcję szybkiego uruchomienia pobierania danych z aparatury medycznej, bez konieczności logowania do systemu lub bez konieczności wypełniania danych demograficznych czyli w trybie „nagły </w:t>
            </w:r>
            <w:r w:rsidRPr="002C2A15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przypadek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” zapewniającą ciągłość rejestracji danych z urządzeń medycznych i umożliwiającą wykorzystanie zarejestrowanych danych do tworzenia elektronicznej karty znieczuleń.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2" w:line="237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(kryterium punktowane) </w:t>
            </w:r>
          </w:p>
          <w:p w:rsidR="00F879F7" w:rsidRPr="00F879F7" w:rsidRDefault="00F879F7" w:rsidP="00F879F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– 3pkt NIE - 0pkt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135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definiowania rodzajów monitorowania wg typów zabiegów/rodzajów anestezji z indywidualnie definiowanym zestawem parametrów rejestrowanych i układem graficznym tabela / wykresy. Możliwość przypisania domyślnych (najczęściej używanych) leków do każdego z rodzajów monitorowania.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973040">
        <w:trPr>
          <w:trHeight w:val="206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" w:line="23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rejestracji informacji nt. transfuzji krwi i preparatów krwiopochodnych za pomocą czytnika kodów kreskowych. Odczyt informacji o preparacie (składnik, nr donacji, objętość) (Numer donacji, Grupa krwi, Data ważności, Nazwa składnika - zgodnie z ISBT128 ). </w:t>
            </w:r>
          </w:p>
          <w:p w:rsidR="00F879F7" w:rsidRPr="00F879F7" w:rsidRDefault="00F879F7" w:rsidP="00F879F7">
            <w:pPr>
              <w:spacing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Automatyczna identyfikacja informacji odczytanej za pomocą czytnika.  </w:t>
            </w:r>
          </w:p>
          <w:p w:rsidR="00F879F7" w:rsidRPr="00F879F7" w:rsidRDefault="00F879F7" w:rsidP="00F879F7">
            <w:pPr>
              <w:spacing w:line="259" w:lineRule="auto"/>
              <w:ind w:right="50"/>
              <w:jc w:val="both"/>
              <w:rPr>
                <w:rFonts w:ascii="Calibri" w:eastAsia="Calibri" w:hAnsi="Calibri" w:cs="Calibri"/>
                <w:strike/>
                <w:color w:val="000000"/>
                <w:sz w:val="20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548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Generowanie raportu z przeprowadzonej transfuzji preparatów krwi w formacie pdf lub równoważnym formacie dokumentu zawierającego min. informacje: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W w:w="10403" w:type="dxa"/>
        <w:tblInd w:w="82" w:type="dxa"/>
        <w:tblCellMar>
          <w:top w:w="40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603"/>
        <w:gridCol w:w="6229"/>
        <w:gridCol w:w="1445"/>
        <w:gridCol w:w="2126"/>
      </w:tblGrid>
      <w:tr w:rsidR="00F879F7" w:rsidRPr="00F879F7" w:rsidTr="00803166">
        <w:trPr>
          <w:trHeight w:val="75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Nazwa składnika krwi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Nr donacji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Termin ważności składnika krwi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Dawca AB0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RhD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Biorca AB0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RhD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Imię, nazwisko, PESEL biorcy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Nazwisko lekarza zlecającego przetoczenie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Data i godzina rozpoczęcia przetaczania składnika krwi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Data i godzina zakończenia przetaczania składnika krwi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Imię i nazwisko osoby wykonującej przetoczenie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Przetoczona objętość </w:t>
            </w:r>
          </w:p>
          <w:p w:rsidR="00F879F7" w:rsidRPr="00F879F7" w:rsidRDefault="00F879F7" w:rsidP="00F879F7">
            <w:pPr>
              <w:numPr>
                <w:ilvl w:val="0"/>
                <w:numId w:val="9"/>
              </w:numPr>
              <w:spacing w:after="23"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Ocena przebiegu przetoczenia (np. bez powikłań/powikłania)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</w:tr>
      <w:tr w:rsidR="00F879F7" w:rsidRPr="00F879F7" w:rsidTr="00803166">
        <w:trPr>
          <w:trHeight w:val="189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35.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Generowanie karty oceny przebiegu przetoczenia zawierającej minimum: </w:t>
            </w:r>
          </w:p>
          <w:p w:rsidR="00F879F7" w:rsidRPr="00F879F7" w:rsidRDefault="00F879F7" w:rsidP="00F879F7">
            <w:pPr>
              <w:numPr>
                <w:ilvl w:val="0"/>
                <w:numId w:val="10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dane identyfikacyjne Pacjenta </w:t>
            </w:r>
          </w:p>
          <w:p w:rsidR="00F879F7" w:rsidRPr="00F879F7" w:rsidRDefault="00F879F7" w:rsidP="00F879F7">
            <w:pPr>
              <w:numPr>
                <w:ilvl w:val="0"/>
                <w:numId w:val="10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dane przetaczanego produktu </w:t>
            </w:r>
          </w:p>
          <w:p w:rsidR="00F879F7" w:rsidRPr="00F879F7" w:rsidRDefault="00F879F7" w:rsidP="00F879F7">
            <w:pPr>
              <w:numPr>
                <w:ilvl w:val="0"/>
                <w:numId w:val="10"/>
              </w:numPr>
              <w:spacing w:after="23" w:line="23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parametry życiowe (HR, Temperatura, NIBP) zarejestrowane w momencie rozpoczęcia transfuzji, po określonym z użytkownikiem interwale czasowym np. 15 minutach od rozpoczęcia transfuzji oraz bezpośrednio po jej zakończeniu.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wydruku lub zapisania dokumentu min. w formacie pdf lub równoważnym formacie dokumentu.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511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rejestracji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szczegółowych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informacji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o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 xml:space="preserve">różnych procedurach anestezji minimum: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Znieczulenie ogólne (rodzaj indukcji 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kondukcji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3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Znieczulenie regionalne (min. podpajęczynówkowe, ZO, CSE, splot szyjny, ramienny, nerwy k. górnej i dolnej) </w:t>
            </w:r>
          </w:p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jednoczesnej rejestracji procedur wg kodów ICD-9 (minimum 1 procedura główna oraz minimum 2 dodatkowe) </w:t>
            </w:r>
          </w:p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rejestracji procedur i czynności przedoperacyjnych takich jak: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Preoksygenacja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Intubacja dotchawicza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Intubacja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dooskrzelowa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Maska krtaniowa i twarzowa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Rurka ustno-gardłowa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Tracheostomia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Intubacja przez usta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Intubacja przez nos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Intubacja z bronchofiberoskopem </w:t>
            </w:r>
          </w:p>
          <w:p w:rsidR="00F879F7" w:rsidRPr="00F879F7" w:rsidRDefault="00F879F7" w:rsidP="00F879F7">
            <w:pPr>
              <w:numPr>
                <w:ilvl w:val="0"/>
                <w:numId w:val="11"/>
              </w:numPr>
              <w:spacing w:after="23" w:line="259" w:lineRule="auto"/>
              <w:ind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Informacje o rozmiarze i typie stosowanych rurek i masek 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5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rejestracji rozmiaru rurki intubacyjnej oraz głębokości jej wprowadzenia. Osobny zestaw rozmiarów dla rurek DLT.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Definiowanie głównej oraz min dwóch dodatkowych procedur znieczulenia wg kodów ICD-9 dla każdej prowadzonej karty znieczulenia.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Generowanie raportu z zabiegu w postaci dokumentu pdf lub równoważny format dokumentów z możliwością wydruku. Możliwość zmiany szablonu wydruku (ustalane na etapie analizy przedwdrożeniowej)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48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40.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Wydruk raportu zawierający logo oraz nazwę szpitala.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803166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Instalacja aktualizacji w ramach dostarczonej wersji oprogramowania (gwarancja aktualności oprogramowania przez cały okres gwarancji).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F879F7" w:rsidRPr="00F879F7" w:rsidRDefault="00F879F7" w:rsidP="00F879F7">
      <w:pPr>
        <w:spacing w:line="259" w:lineRule="auto"/>
        <w:ind w:left="-643" w:right="11233"/>
        <w:rPr>
          <w:rFonts w:ascii="Calibri" w:eastAsia="Calibri" w:hAnsi="Calibri" w:cs="Calibri"/>
          <w:color w:val="000000"/>
          <w:sz w:val="20"/>
          <w:szCs w:val="22"/>
        </w:rPr>
      </w:pPr>
    </w:p>
    <w:tbl>
      <w:tblPr>
        <w:tblW w:w="10403" w:type="dxa"/>
        <w:tblInd w:w="82" w:type="dxa"/>
        <w:tblCellMar>
          <w:top w:w="40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603"/>
        <w:gridCol w:w="6229"/>
        <w:gridCol w:w="1529"/>
        <w:gridCol w:w="2042"/>
      </w:tblGrid>
      <w:tr w:rsidR="00F879F7" w:rsidRPr="00F879F7" w:rsidTr="00E4082B">
        <w:trPr>
          <w:trHeight w:val="404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42.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5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posiadający moduł / profil do obsługi przyjęcia i wypisu pacjentów na bloku operacyjnym, instalowany na dodatkowym komputerze typu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All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in One z ekranem dotykowym, zainstalowany w śluzie, służący do generowania elektronicznej dokumentacji pacjenta. Rejestracja przyjęcia z danymi minimum: imię, nazwisko, data urodzenia, oddział wydający, osoba wydająca, osoba przyjmująca. </w:t>
            </w:r>
          </w:p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Rejestracja wydania z danymi minimum: imię, nazwisko, data urodzenia, oddział przyjmujący, osoba wydająca, osoba przyjmująca. </w:t>
            </w:r>
          </w:p>
          <w:p w:rsidR="00F879F7" w:rsidRPr="00F879F7" w:rsidRDefault="00F879F7" w:rsidP="00F879F7">
            <w:pPr>
              <w:spacing w:after="2" w:line="23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Uwierzytelnienie poprzez indywidualny PIN lub hasło osoby przyjmującej / wydającej. </w:t>
            </w:r>
          </w:p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Generowany dokument przyjęcia/ wydania pacjenta, zawierający dane identyfikujące personel medyczny wraz z jego podpisem, które to informacje będą integralną częścią dokumentacji medycznej znieczulenia przesyłanej automatycznie do HIS po zakończeniu pobytu pacjenta na Bloku Operacyjnym.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973040">
        <w:trPr>
          <w:trHeight w:val="637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5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posiadający moduł obsługi pobytu pacjenta na Sali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służący do generowania elektronicznego raportu z pobytu pacjenta na Sali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spacing w:after="1" w:line="238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Rejestracja przyjęcia na Salę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minimum: imię, nazwisko, data urodzenia, lekarz przekazujący, pielęgniarka przekazująca, pielęgniarka przyjmująca.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spacing w:line="23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Zapis parametrów życiowych pacjenta z monitorów pacjenta używanych na Sali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tj. Kardiomonitory- Producent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Draeger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C500, M540; Producent Philips: MX. Rejestracja podania leków minimum (iniekcje jednorazowe, infuzje, wlewy). Biblioteka leków wspólna z dostępną na salach operacyjnych. Rejestracja czynności wykonywanych przy pacjencie minimum (toaleta dróg oddechowych, zmiana pozycji,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ekstubacja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spacing w:after="1" w:line="238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Prezentacja bieżących parametrów z urządzeń w postaci numerycznej. Zapis i prezentacja w postaci trendów graficznych, osobnych dla każdego parametru.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Rejestracja opuszczenia Sali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minimum: imię, nazwisko, data urodzenia, lekarz przekazujący, pielęgniarka przekazująca, pielęgniarka przyjmująca. Uwierzytelnienie wydania poprzez indywidualny pin osoby wydającej.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06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Wykonawca w ramach realizacji zapewni podłączenie do systemu monitorów pacjenta i aparatów do znieczulenia posiadanych przez Zamawiającego określonych w OPZ.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35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umożliwiający wypełnianie Okołooperacyjnej Karty Kontroli ze wskazaniem osoby będącej Koordynatorem Karty.  </w:t>
            </w:r>
          </w:p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Okołooperacyjna Karta Kontroli częściowo wypełniana automatycznie w części informacyjnej minimum: data i godzina początku i końca znieczulenia, imię i nazwisko pacjenta, PESEL.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48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46.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Eksport Okołooperacyjnej Karty Kontroli do HIS min. w formacie pdf lub równoważnym formacie dokumentów.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973040">
        <w:trPr>
          <w:trHeight w:val="97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7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Funkcja generowania elektronicznej dokumentacji , zgodnej z przepisami prawa w standardzie odpowiadającym wymogom dla dokumentacji medycznej,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269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tworzenia miesięcznych raportów statystycznych dla administracji dotyczących minimum ilości zabiegów (w podziale na planowane i ostre), zajętości poszczególnych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sal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minut pracy bloku operacyjnego i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sal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wybudzeniowych ze wskazaniem czasu i rodzaju zabiegów i ilości wykonanych procedur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osłownikowanych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przez Zamawiającego na etapie analizy przedwdrożeniowej i w podziale na personel uczestniczący w danej procedurze, a także raportów z oznaczeniem znaczników czasowych takich jak minimum: dla danej operacji wskazanie minimum: początku znieczulenia, końca znieczulenia, czas zabiegu operacyjnego (początek zabiegu-koniec zabiegu).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08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Import z systemu HIS zleceń na zabiegi kierowane do wybranych komórek org. wraz z danymi pacjenta minimum: PESEL pacjenta, ID pacjenta, imię i nazwisko, płeć, grupa krwi, numer zlecenia operacji, status, data zabiegu.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5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50.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Eksport dokumentu pdf lub równoważnego formatu dokumentu elektronicznej karty znieczulenia do systemu HIS.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51.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Eksport znaczników do HIS znaczników czasowych minimum: czas anestezjologiczny (początek/koniec), czas znieczulenia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(początek/koniec), czas operacji (początek/koniec).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406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52.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after="1"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Wymiana danych pomiędzy systemami CIS i HIS opisana w pkt 47, 48, 50, 51 i 52 powinna odbywać się z wykorzystaniem jednego z poniższych, uzgodnionych z Zamawiającym, standardów komunikacji: </w:t>
            </w:r>
          </w:p>
          <w:p w:rsidR="00F879F7" w:rsidRPr="00F879F7" w:rsidRDefault="00F879F7" w:rsidP="00F879F7">
            <w:pPr>
              <w:numPr>
                <w:ilvl w:val="0"/>
                <w:numId w:val="12"/>
              </w:numPr>
              <w:spacing w:after="23" w:line="239" w:lineRule="auto"/>
              <w:ind w:right="70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Interfejsów REST API z wykorzystaniem formatu danych JSON lub </w:t>
            </w:r>
          </w:p>
          <w:p w:rsidR="00F879F7" w:rsidRPr="00F879F7" w:rsidRDefault="00F879F7" w:rsidP="00F879F7">
            <w:pPr>
              <w:numPr>
                <w:ilvl w:val="0"/>
                <w:numId w:val="12"/>
              </w:numPr>
              <w:spacing w:after="259" w:line="259" w:lineRule="auto"/>
              <w:ind w:right="70" w:hanging="1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komunikatów w standardzie HL7. </w:t>
            </w:r>
          </w:p>
          <w:p w:rsidR="00F879F7" w:rsidRPr="00F879F7" w:rsidRDefault="00F879F7" w:rsidP="00F879F7">
            <w:pPr>
              <w:spacing w:after="278" w:line="23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Wymiana danych musi odbywać się w sposób zautomatyzowany, bez udziału użytkownika.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Format i struktura komunikatów (API/HL7) oraz parametry i tryb wymiany danych zostaną uzgodnione na etapie analizy integracyjnej pomiędzy Wykonawcą CIS a Zamawiającym, posiadającym HIS.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88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53.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Dostawa systemu do dokumentacji przebiegu znieczulenia będącego wyrobem medycznym minimum Klasy I zgodnie z dyrektywą UE 745/2017 oraz ustawą z dnia 7 kwietnia 2022 r. o wyrobach medycznych. </w:t>
            </w:r>
          </w:p>
          <w:p w:rsidR="00F879F7" w:rsidRPr="00F879F7" w:rsidRDefault="00F879F7" w:rsidP="00F879F7">
            <w:pPr>
              <w:spacing w:line="259" w:lineRule="auto"/>
              <w:ind w:right="48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Wykonawca posiada certyfikat ISO 27001 – certyfikat ISO bezpieczeństwa informacji w zakresie budowy systemów informatycznych.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082B" w:rsidRPr="00F879F7" w:rsidTr="00973040">
        <w:trPr>
          <w:trHeight w:val="217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082B" w:rsidRPr="00F879F7" w:rsidRDefault="00E4082B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54.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082B" w:rsidRPr="00F879F7" w:rsidRDefault="00E4082B" w:rsidP="007C0C2A">
            <w:pPr>
              <w:spacing w:line="259" w:lineRule="auto"/>
              <w:ind w:right="46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Dostarczona aplikacja musi być zgodna z powszechnie obowiązującymi przepisami prawa polskiego i europejskiego. Oprogramowanie musi pozwalać na gromadzenie, przetwarzanie i analizowanie danych i informacji w obszarach objętych wdrożeniem, na bazie tych danych musi umożliwiać wytwarzanie prawidłowej, kompletnej, ujętej w obowiązujących przepisach prawa dokumentacji (dokumenty, raporty, itp.).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082B" w:rsidRPr="00F879F7" w:rsidRDefault="00E4082B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082B" w:rsidRPr="00F879F7" w:rsidRDefault="00E4082B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48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Oprogramowanie i obsługa serwisowa w języku polskim.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5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56.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Programy, komponenty, instrukcje, podręczniki, narzędzia administracyjne dostępne w formie aktualnej w języku polskim.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3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08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57.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Dostarczony system musi umożliwiać integrację z usługą Active Directory (AD) Zamawiającego, umożliwiającą centralne uwierzytelnianie użytkowników z wykorzystaniem kont domenowych użytkowników szpitala.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Połączenie pomiędzy stacjami roboczymi a serwerem odbywa się w sposób zapewniający poufność transmisji przesyłanych danych, za pomocą protokołu SSL/TLS.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89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59.</w:t>
            </w:r>
            <w:r w:rsidRPr="00F879F7">
              <w:rPr>
                <w:rFonts w:eastAsia="Arial" w:cs="Arial"/>
                <w:color w:val="000000"/>
                <w:sz w:val="22"/>
                <w:szCs w:val="22"/>
              </w:rPr>
              <w:t xml:space="preserve">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Dostarczona aplikacja musi być zgodna z powszechnie obowiązującymi przepisami prawa polskiego i europejskiego. Oprogramowanie musi pozwalać na gromadzenie, przetwarzanie i analizowanie danych i informacji w obszarach objętych wdrożeniem, na bazie tych danych musi umożliwiać wytwarzanie prawidłowej, kompletnej, ujętej w obowiązujących przepisach prawa dokumentacji (dokumenty, raporty, itp.).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7C0C2A">
        <w:trPr>
          <w:trHeight w:val="97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Wykonawca przekaże  dane do logowania do systemu dla użytkownika - Administratora posiadającego  najwyższe i wszystkie możliwe uprawnienia w systemie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F879F7" w:rsidRPr="00F879F7" w:rsidTr="00973040">
        <w:trPr>
          <w:trHeight w:val="1628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musi umożliwiać określenie przez użytkownika z jakich urządzeń mają być pobierane dane w ramach danego stanowiska. System musi umożliwiać obsługę przez użytkownika systemu dokonywania zmiany każdego urządzenia na danym stanowisku na inne uwzględnione w systemie w przypadku np. awarii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F879F7" w:rsidRPr="00F879F7" w:rsidTr="00E4082B">
        <w:trPr>
          <w:trHeight w:val="545"/>
        </w:trPr>
        <w:tc>
          <w:tcPr>
            <w:tcW w:w="10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879F7" w:rsidRPr="00F879F7" w:rsidRDefault="00F879F7" w:rsidP="00F879F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Wyposażenie –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komputery AIO z ekranem dotykowym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min. 21”, czytniki kodów kreskowych, ramiona mocujące, przyłącza i przewody) –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12 szt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  </w:t>
            </w:r>
          </w:p>
        </w:tc>
      </w:tr>
      <w:tr w:rsidR="00F879F7" w:rsidRPr="00F879F7" w:rsidTr="007C0C2A">
        <w:trPr>
          <w:trHeight w:val="75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1.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Komputer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All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in One – 12 szt. z ekranem dotykowym minimum 21’’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Procesor min. 2-rdzeniowy, min 2 GHz, osiągający w teście </w:t>
            </w:r>
            <w:proofErr w:type="spellStart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PassMark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CPU Mark wynik min. 23000 punktów;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Pamięć RAM min. 16 GB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Pamięć masowa min. dysk SSD 240 GB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Matryca dotykowa min. 21” lub większa, rozdzielczość Full HD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1920x1080 lub większa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Komunikacja minimum: USB, RJ-45,  </w:t>
            </w:r>
          </w:p>
          <w:p w:rsidR="00F879F7" w:rsidRPr="00F879F7" w:rsidRDefault="00F879F7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System operacyjny min. Windows 11 Professional (niezbędny do zastosowania w usłudze katalogowej Active Directory)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35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2.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ind w:right="52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Komputer zamocowany na ruchomym ramieniu dostarczonym przez wykonawcę przy kolumnie anestezjologicznej lub aparacie do znieczulania ogólnego.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Montaż ramion, oraz komputerów zostanie zrealizowany przez Wykonawcę.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5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3.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Czytnik kodów kreskowych obsługujący co najmniej standard CODE 128 (12 szt.)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277"/>
        </w:trPr>
        <w:tc>
          <w:tcPr>
            <w:tcW w:w="10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879F7" w:rsidRPr="00F879F7" w:rsidRDefault="00F879F7" w:rsidP="00F879F7">
            <w:pPr>
              <w:spacing w:line="259" w:lineRule="auto"/>
              <w:ind w:right="42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Licencje </w:t>
            </w:r>
          </w:p>
        </w:tc>
      </w:tr>
      <w:tr w:rsidR="009E617E" w:rsidRPr="00F879F7" w:rsidTr="007C0C2A">
        <w:trPr>
          <w:trHeight w:val="1508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617E" w:rsidRPr="00F879F7" w:rsidRDefault="009E617E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617E" w:rsidRPr="00F879F7" w:rsidRDefault="009E617E" w:rsidP="00F879F7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Licencja stanowiskowa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systemu do tworzenia elektronicznej karty znieczuleń -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10 szt.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 </w:t>
            </w:r>
          </w:p>
          <w:p w:rsidR="009E617E" w:rsidRPr="00F879F7" w:rsidRDefault="009E617E" w:rsidP="00F879F7">
            <w:pPr>
              <w:spacing w:line="259" w:lineRule="auto"/>
              <w:ind w:right="50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licencje bezterminowa(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pozwalających na pracę co najmniej 10 Równoczesnych użytkowników) systemu w celu edycji i uzupełnienia danych dokumentacji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617E" w:rsidRPr="00F879F7" w:rsidRDefault="009E617E" w:rsidP="00F879F7">
            <w:pPr>
              <w:spacing w:line="259" w:lineRule="auto"/>
              <w:ind w:right="44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617E" w:rsidRPr="00F879F7" w:rsidRDefault="009E617E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8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Licencja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modułu dla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sali pooperacyjnej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–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sali </w:t>
            </w:r>
            <w:proofErr w:type="spellStart"/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wybudzeń</w:t>
            </w:r>
            <w:proofErr w:type="spellEnd"/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pozwalająca na obsługę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min. 10 stanowisk 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- licencje bezterminowa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226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Licencja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modułu / profil dla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śluzy bloku operacyjnego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do obsługi procesu przyjęcia-wyjazdu pacjenta, pozwalająca na pracę min. </w:t>
            </w: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2-óch śluz</w:t>
            </w: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Dostarczenie 1 licencji serwerowej systemu do generowania dokumentacji elektronicznej karty znieczulenia, raportów i zestawień oraz zarządzania systemem.  Instalacja na serwerze (maszynie wirtualnej) Zamawiającego. - licencje bezterminowa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124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Dostarczenie 1 licencji serwerowej systemu do generowania dokumentacji elektronicznej karty znieczulenia, raportów i zestawień oraz zarządzania systemem.   - licencje bezterminowa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973040">
        <w:trPr>
          <w:trHeight w:val="80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5.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firstLine="12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 przypadku gdy oprogramowanie nie wymaga licencji do działania, wówczas zamawiający uzna taki warunek za spełniony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43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62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/>
          </w:tcPr>
          <w:p w:rsidR="00F879F7" w:rsidRPr="00F879F7" w:rsidRDefault="00F879F7" w:rsidP="00F879F7">
            <w:pPr>
              <w:spacing w:line="259" w:lineRule="auto"/>
              <w:ind w:right="413"/>
              <w:jc w:val="right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Gwarancja, serwis 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879F7" w:rsidRPr="00F879F7" w:rsidRDefault="00F879F7" w:rsidP="00F879F7">
            <w:pPr>
              <w:spacing w:after="160"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</w:p>
        </w:tc>
      </w:tr>
      <w:tr w:rsidR="00F879F7" w:rsidRPr="00F879F7" w:rsidTr="00E4082B">
        <w:trPr>
          <w:trHeight w:val="135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6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Serwis gwarancyjny – czas reakcji maksimum 3 godziny od zgłoszenia telefonicznego, czas naprawy do 3 dni kalendarzowych, w uzasadnionych przypadkach nie dłużej niż 5 dni kalendarzowych – wymaga uzasadnienia na piśmie przesłanego do użytkownika w terminie do 7 dni kalendarzowych od zgłoszenia awarii.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2.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9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Instalacja aktualizacji w ramach dostarczonej wersji oprogramowania (gwarancja aktualności oprogramowania przez cały okres gwarancji).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32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3.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Gwarancja 36 miesięcy na sprzęt i system.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32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4.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Nadzór serwisowy nad oprogramowaniem 36 miesięcy.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879F7" w:rsidRPr="00F879F7" w:rsidTr="00E4082B">
        <w:trPr>
          <w:trHeight w:val="81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5.  </w:t>
            </w:r>
          </w:p>
        </w:tc>
        <w:tc>
          <w:tcPr>
            <w:tcW w:w="6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39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 okresie gwarancji i nadzoru serwisowego dostęp do infolinii lub portalu serwisowego  Helpdesk 24h 7 dni w tygodniu.  </w:t>
            </w:r>
          </w:p>
          <w:p w:rsidR="00F879F7" w:rsidRPr="00F879F7" w:rsidRDefault="00F879F7" w:rsidP="00F879F7">
            <w:pPr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Możliwość zgłoszeń telefonicznych, email.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F7" w:rsidRPr="00F879F7" w:rsidRDefault="00F879F7" w:rsidP="00F879F7">
            <w:pPr>
              <w:spacing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F7" w:rsidRPr="00F879F7" w:rsidRDefault="00F879F7" w:rsidP="00F879F7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0"/>
                <w:szCs w:val="22"/>
              </w:rPr>
            </w:pPr>
            <w:r w:rsidRPr="00F879F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F879F7" w:rsidRPr="001F53E4" w:rsidRDefault="00F879F7" w:rsidP="009D1CFE">
      <w:pPr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sectPr w:rsidR="00F879F7" w:rsidRPr="001F53E4" w:rsidSect="00085ED7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1CE" w:rsidRDefault="00D171CE">
      <w:r>
        <w:separator/>
      </w:r>
    </w:p>
  </w:endnote>
  <w:endnote w:type="continuationSeparator" w:id="0">
    <w:p w:rsidR="00D171CE" w:rsidRDefault="00D1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1CE" w:rsidRDefault="00D171CE">
      <w:r>
        <w:separator/>
      </w:r>
    </w:p>
  </w:footnote>
  <w:footnote w:type="continuationSeparator" w:id="0">
    <w:p w:rsidR="00D171CE" w:rsidRDefault="00D17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86A" w:rsidRDefault="009D1CFE" w:rsidP="008F0362">
    <w:pPr>
      <w:pStyle w:val="Nagwek"/>
      <w:jc w:val="center"/>
    </w:pPr>
    <w:r>
      <w:rPr>
        <w:noProof/>
      </w:rPr>
      <w:drawing>
        <wp:inline distT="0" distB="0" distL="0" distR="0" wp14:anchorId="091B1030" wp14:editId="6E48C878">
          <wp:extent cx="5772150" cy="581025"/>
          <wp:effectExtent l="0" t="0" r="0" b="0"/>
          <wp:docPr id="7" name="Obraz 7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686A" w:rsidRDefault="00973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640A0"/>
    <w:multiLevelType w:val="hybridMultilevel"/>
    <w:tmpl w:val="E5E2B1AA"/>
    <w:lvl w:ilvl="0" w:tplc="3D32074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488B6A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BE2CF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542D32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0A5E9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38C24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A78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E75B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C462B2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350623"/>
    <w:multiLevelType w:val="hybridMultilevel"/>
    <w:tmpl w:val="1826BD14"/>
    <w:lvl w:ilvl="0" w:tplc="42C4C7E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CECCD4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1C7C6A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129A7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68AB68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F0314C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CCD5B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E25D96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58D6D0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E779D8"/>
    <w:multiLevelType w:val="hybridMultilevel"/>
    <w:tmpl w:val="271A6A9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014D2"/>
    <w:multiLevelType w:val="hybridMultilevel"/>
    <w:tmpl w:val="B4DE3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93446"/>
    <w:multiLevelType w:val="hybridMultilevel"/>
    <w:tmpl w:val="57049C16"/>
    <w:lvl w:ilvl="0" w:tplc="96E2C788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4BD4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24B720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0A4F8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EC32E6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3CB06C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B63630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9A5C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BE539E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9A7F3E"/>
    <w:multiLevelType w:val="hybridMultilevel"/>
    <w:tmpl w:val="64685BE6"/>
    <w:lvl w:ilvl="0" w:tplc="FC665E3A">
      <w:start w:val="1"/>
      <w:numFmt w:val="bullet"/>
      <w:lvlText w:val="-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D63D02">
      <w:start w:val="1"/>
      <w:numFmt w:val="bullet"/>
      <w:lvlText w:val="o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FAE052">
      <w:start w:val="1"/>
      <w:numFmt w:val="bullet"/>
      <w:lvlText w:val="▪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26104A">
      <w:start w:val="1"/>
      <w:numFmt w:val="bullet"/>
      <w:lvlText w:val="•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E6E8CA">
      <w:start w:val="1"/>
      <w:numFmt w:val="bullet"/>
      <w:lvlText w:val="o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8A578A">
      <w:start w:val="1"/>
      <w:numFmt w:val="bullet"/>
      <w:lvlText w:val="▪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8C5732">
      <w:start w:val="1"/>
      <w:numFmt w:val="bullet"/>
      <w:lvlText w:val="•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6E1680">
      <w:start w:val="1"/>
      <w:numFmt w:val="bullet"/>
      <w:lvlText w:val="o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7C6850">
      <w:start w:val="1"/>
      <w:numFmt w:val="bullet"/>
      <w:lvlText w:val="▪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227523"/>
    <w:multiLevelType w:val="hybridMultilevel"/>
    <w:tmpl w:val="1D48D8F8"/>
    <w:lvl w:ilvl="0" w:tplc="531A90A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1220B4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285ACC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F611F2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5884BC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204252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1A5436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F0A96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84FF6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F850CE"/>
    <w:multiLevelType w:val="hybridMultilevel"/>
    <w:tmpl w:val="7DEE704C"/>
    <w:lvl w:ilvl="0" w:tplc="901045B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CF646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2FEE4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72D82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108C52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3222F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0989E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E3ADE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0E4680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6B3A61"/>
    <w:multiLevelType w:val="hybridMultilevel"/>
    <w:tmpl w:val="AE186032"/>
    <w:lvl w:ilvl="0" w:tplc="CCB02CF6">
      <w:start w:val="1"/>
      <w:numFmt w:val="bullet"/>
      <w:lvlText w:val="-"/>
      <w:lvlJc w:val="left"/>
      <w:pPr>
        <w:ind w:left="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CAD2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6C1ED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20CFB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724E3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AC3FF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3CEF4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1237D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C69C6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33233F"/>
    <w:multiLevelType w:val="hybridMultilevel"/>
    <w:tmpl w:val="C46AB156"/>
    <w:lvl w:ilvl="0" w:tplc="E35606C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A213AA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060068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24A1AA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324414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225056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90F00E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4A37AE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3827E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6876D74"/>
    <w:multiLevelType w:val="hybridMultilevel"/>
    <w:tmpl w:val="9A9E3E74"/>
    <w:lvl w:ilvl="0" w:tplc="5492F10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28382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165F9A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CE451A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706206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EE1048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8C078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96339E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8E7532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616722"/>
    <w:multiLevelType w:val="hybridMultilevel"/>
    <w:tmpl w:val="83A0F116"/>
    <w:lvl w:ilvl="0" w:tplc="83FA7B9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907E88">
      <w:start w:val="1"/>
      <w:numFmt w:val="bullet"/>
      <w:lvlText w:val="o"/>
      <w:lvlJc w:val="left"/>
      <w:pPr>
        <w:ind w:left="1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26E140">
      <w:start w:val="1"/>
      <w:numFmt w:val="bullet"/>
      <w:lvlText w:val="▪"/>
      <w:lvlJc w:val="left"/>
      <w:pPr>
        <w:ind w:left="1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103A08">
      <w:start w:val="1"/>
      <w:numFmt w:val="bullet"/>
      <w:lvlText w:val="•"/>
      <w:lvlJc w:val="left"/>
      <w:pPr>
        <w:ind w:left="2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2CD07E">
      <w:start w:val="1"/>
      <w:numFmt w:val="bullet"/>
      <w:lvlText w:val="o"/>
      <w:lvlJc w:val="left"/>
      <w:pPr>
        <w:ind w:left="3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EC43E">
      <w:start w:val="1"/>
      <w:numFmt w:val="bullet"/>
      <w:lvlText w:val="▪"/>
      <w:lvlJc w:val="left"/>
      <w:pPr>
        <w:ind w:left="4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60681C">
      <w:start w:val="1"/>
      <w:numFmt w:val="bullet"/>
      <w:lvlText w:val="•"/>
      <w:lvlJc w:val="left"/>
      <w:pPr>
        <w:ind w:left="4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3CC412">
      <w:start w:val="1"/>
      <w:numFmt w:val="bullet"/>
      <w:lvlText w:val="o"/>
      <w:lvlJc w:val="left"/>
      <w:pPr>
        <w:ind w:left="5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C82C08">
      <w:start w:val="1"/>
      <w:numFmt w:val="bullet"/>
      <w:lvlText w:val="▪"/>
      <w:lvlJc w:val="left"/>
      <w:pPr>
        <w:ind w:left="6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1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4DB"/>
    <w:rsid w:val="00004CA3"/>
    <w:rsid w:val="00085ED7"/>
    <w:rsid w:val="001C5C42"/>
    <w:rsid w:val="002C2A15"/>
    <w:rsid w:val="00376292"/>
    <w:rsid w:val="003E14DB"/>
    <w:rsid w:val="006B05A7"/>
    <w:rsid w:val="006E6054"/>
    <w:rsid w:val="007C0C2A"/>
    <w:rsid w:val="00803166"/>
    <w:rsid w:val="00945806"/>
    <w:rsid w:val="00973040"/>
    <w:rsid w:val="009A22C4"/>
    <w:rsid w:val="009D1CFE"/>
    <w:rsid w:val="009E617E"/>
    <w:rsid w:val="00BC6682"/>
    <w:rsid w:val="00D01ECF"/>
    <w:rsid w:val="00D171CE"/>
    <w:rsid w:val="00E06E39"/>
    <w:rsid w:val="00E4082B"/>
    <w:rsid w:val="00E76DF9"/>
    <w:rsid w:val="00ED3CAC"/>
    <w:rsid w:val="00F12F3A"/>
    <w:rsid w:val="00F879F7"/>
    <w:rsid w:val="00FA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28DF6"/>
  <w15:chartTrackingRefBased/>
  <w15:docId w15:val="{BA689056-0D69-461F-9E67-BF0134ED7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1CF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2 heading,A_wyliczenie,K-P_odwolanie,Akapit z listą5,maz_wyliczenie,opis dzialania,normalny tekst,Akapit z listą BS,lp1,Preambuła,Colorful Shading - Accent 31,Light List - Accent 51,Bulleted list"/>
    <w:basedOn w:val="Normalny"/>
    <w:link w:val="AkapitzlistZnak"/>
    <w:uiPriority w:val="34"/>
    <w:qFormat/>
    <w:rsid w:val="009D1CF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2 heading Znak,A_wyliczenie Znak,K-P_odwolanie Znak,Akapit z listą5 Znak,maz_wyliczenie Znak,opis dzialania Znak,normalny tekst Znak,Akapit z listą BS Znak,lp1 Znak"/>
    <w:basedOn w:val="Domylnaczcionkaakapitu"/>
    <w:link w:val="Akapitzlist"/>
    <w:uiPriority w:val="34"/>
    <w:qFormat/>
    <w:locked/>
    <w:rsid w:val="009D1CFE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1C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1CFE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D1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TableParagraph">
    <w:name w:val="Table Paragraph"/>
    <w:basedOn w:val="Normalny"/>
    <w:uiPriority w:val="1"/>
    <w:qFormat/>
    <w:rsid w:val="009D1CF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Grid">
    <w:name w:val="TableGrid"/>
    <w:rsid w:val="00F879F7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85E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ED7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3189</Words>
  <Characters>19140</Characters>
  <Application>Microsoft Office Word</Application>
  <DocSecurity>0</DocSecurity>
  <Lines>159</Lines>
  <Paragraphs>44</Paragraphs>
  <ScaleCrop>false</ScaleCrop>
  <Company>Szpital Uniwersytecki nr 1</Company>
  <LinksUpToDate>false</LinksUpToDate>
  <CharactersWithSpaces>22285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Joanna Grocholska</cp:lastModifiedBy>
  <cp:revision>22</cp:revision>
  <dcterms:created xsi:type="dcterms:W3CDTF">2026-03-02T09:59:00Z</dcterms:created>
  <dcterms:modified xsi:type="dcterms:W3CDTF">2026-03-06T08:21:00Z</dcterms:modified>
</cp:coreProperties>
</file>